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B2" w:rsidRDefault="00E750B2" w:rsidP="00E750B2">
      <w:pPr>
        <w:pStyle w:val="HeadingOrange"/>
      </w:pPr>
      <w:bookmarkStart w:id="0" w:name="_Toc387916729"/>
      <w:r w:rsidRPr="00E750B2">
        <w:rPr>
          <w:noProof/>
          <w:lang w:eastAsia="en-AU"/>
        </w:rPr>
        <w:drawing>
          <wp:anchor distT="0" distB="0" distL="114300" distR="114300" simplePos="0" relativeHeight="251660288" behindDoc="1" locked="0" layoutInCell="1" allowOverlap="1" wp14:anchorId="4C474925" wp14:editId="65CDFEF5">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E750B2">
        <w:rPr>
          <w:noProof/>
          <w:lang w:eastAsia="en-AU"/>
        </w:rPr>
        <w:drawing>
          <wp:anchor distT="0" distB="0" distL="114300" distR="114300" simplePos="0" relativeHeight="251659264" behindDoc="1" locked="0" layoutInCell="1" allowOverlap="1" wp14:anchorId="2ABAFA23" wp14:editId="621AD13A">
            <wp:simplePos x="0" y="0"/>
            <wp:positionH relativeFrom="column">
              <wp:posOffset>8280400</wp:posOffset>
            </wp:positionH>
            <wp:positionV relativeFrom="paragraph">
              <wp:posOffset>-946150</wp:posOffset>
            </wp:positionV>
            <wp:extent cx="7635875" cy="10784205"/>
            <wp:effectExtent l="19050" t="0" r="3175" b="0"/>
            <wp:wrapNone/>
            <wp:docPr id="8" name="Picture 8"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E750B2" w:rsidRDefault="00E750B2" w:rsidP="00E750B2">
      <w:pPr>
        <w:pStyle w:val="AERtitle1"/>
      </w:pPr>
    </w:p>
    <w:p w:rsidR="00E750B2" w:rsidRDefault="00E750B2" w:rsidP="00E750B2">
      <w:pPr>
        <w:pStyle w:val="AERtitle1"/>
      </w:pPr>
    </w:p>
    <w:p w:rsidR="00E750B2" w:rsidRDefault="00E750B2" w:rsidP="00E750B2">
      <w:pPr>
        <w:pStyle w:val="AERtitle1"/>
      </w:pPr>
    </w:p>
    <w:p w:rsidR="00E750B2" w:rsidRDefault="00E750B2" w:rsidP="00E750B2">
      <w:pPr>
        <w:pStyle w:val="AERtitle1"/>
      </w:pPr>
    </w:p>
    <w:p w:rsidR="00E750B2" w:rsidRDefault="00E750B2" w:rsidP="00E750B2">
      <w:pPr>
        <w:pStyle w:val="AERtitle1"/>
      </w:pPr>
    </w:p>
    <w:p w:rsidR="00E750B2" w:rsidRDefault="00E750B2" w:rsidP="00E750B2">
      <w:pPr>
        <w:pStyle w:val="AERtitle1"/>
      </w:pPr>
    </w:p>
    <w:p w:rsidR="00E750B2" w:rsidRDefault="00E750B2" w:rsidP="00E750B2">
      <w:pPr>
        <w:pStyle w:val="AERtitle1"/>
      </w:pPr>
      <w:r>
        <w:t>Draft decision</w:t>
      </w:r>
    </w:p>
    <w:p w:rsidR="00E750B2" w:rsidRDefault="00E750B2" w:rsidP="00E750B2">
      <w:pPr>
        <w:pStyle w:val="AERtitle1"/>
      </w:pPr>
      <w:r>
        <w:t>TransGrid transmission determination</w:t>
      </w:r>
    </w:p>
    <w:p w:rsidR="00E750B2" w:rsidRDefault="00AB54CB" w:rsidP="00E750B2">
      <w:pPr>
        <w:pStyle w:val="AERtitle1"/>
      </w:pPr>
      <w:r>
        <w:t>2015</w:t>
      </w:r>
      <w:r w:rsidR="00F02D30">
        <w:rPr>
          <w:rFonts w:cs="Gautami"/>
        </w:rPr>
        <w:t>–</w:t>
      </w:r>
      <w:r>
        <w:t>16</w:t>
      </w:r>
      <w:r w:rsidR="00E750B2">
        <w:t xml:space="preserve"> to 2017</w:t>
      </w:r>
      <w:r w:rsidR="00F02D30">
        <w:rPr>
          <w:rFonts w:cs="Gautami"/>
        </w:rPr>
        <w:t>–</w:t>
      </w:r>
      <w:r w:rsidR="00E750B2">
        <w:t>18</w:t>
      </w:r>
    </w:p>
    <w:p w:rsidR="008A179D" w:rsidRDefault="008A179D" w:rsidP="00E750B2">
      <w:pPr>
        <w:pStyle w:val="AERtitle1"/>
      </w:pPr>
      <w:r>
        <w:t>Overview</w:t>
      </w:r>
    </w:p>
    <w:p w:rsidR="00E750B2" w:rsidRDefault="00E750B2" w:rsidP="00E750B2">
      <w:pPr>
        <w:pStyle w:val="AERtitle1"/>
      </w:pPr>
    </w:p>
    <w:p w:rsidR="00E750B2" w:rsidRDefault="00E750B2" w:rsidP="00E750B2"/>
    <w:p w:rsidR="00E750B2" w:rsidRPr="00F6235D" w:rsidRDefault="00E750B2" w:rsidP="00E750B2"/>
    <w:p w:rsidR="00E750B2" w:rsidRPr="00F6235D" w:rsidRDefault="00E750B2" w:rsidP="00E750B2">
      <w:pPr>
        <w:pStyle w:val="AERtitle2"/>
      </w:pPr>
      <w:r>
        <w:t>November 2014</w:t>
      </w:r>
    </w:p>
    <w:p w:rsidR="00E750B2" w:rsidRPr="00F6235D" w:rsidRDefault="00E750B2" w:rsidP="00E750B2">
      <w:r w:rsidRPr="00F6235D">
        <w:t xml:space="preserve"> </w:t>
      </w:r>
    </w:p>
    <w:p w:rsidR="00E750B2" w:rsidRPr="00EF0E19" w:rsidRDefault="00E750B2" w:rsidP="00E750B2">
      <w:pPr>
        <w:rPr>
          <w:rStyle w:val="AERtextbold"/>
        </w:rPr>
      </w:pPr>
      <w:r>
        <w:rPr>
          <w:rStyle w:val="AERtextbold"/>
        </w:rPr>
        <w:br w:type="page"/>
      </w:r>
    </w:p>
    <w:p w:rsidR="00E750B2" w:rsidRPr="00B06FB7" w:rsidRDefault="00E750B2" w:rsidP="00E750B2">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E750B2" w:rsidRPr="00B06FB7" w:rsidRDefault="00E750B2" w:rsidP="00E750B2">
      <w:r w:rsidRPr="00B06FB7">
        <w:t>This work is copyright. In addition to any use permitted under the Copyright Act 1968, all material contained within this work is provided under a Creative Commons Attribution 3.0 Australia licence, with the exception of:</w:t>
      </w:r>
    </w:p>
    <w:p w:rsidR="00E750B2" w:rsidRPr="00B06FB7" w:rsidRDefault="00E750B2" w:rsidP="00E750B2">
      <w:pPr>
        <w:pStyle w:val="AERbulletlistfirststyle"/>
      </w:pPr>
      <w:r w:rsidRPr="00B06FB7">
        <w:t>the Commonwealth Coat of Arms</w:t>
      </w:r>
    </w:p>
    <w:p w:rsidR="00E750B2" w:rsidRPr="00B06FB7" w:rsidRDefault="00E750B2" w:rsidP="00E750B2">
      <w:pPr>
        <w:pStyle w:val="AERbulletlistfirststyle"/>
      </w:pPr>
      <w:r w:rsidRPr="00B06FB7">
        <w:t>the ACCC and AER logos</w:t>
      </w:r>
    </w:p>
    <w:p w:rsidR="00E750B2" w:rsidRPr="00E750B2" w:rsidRDefault="00E750B2" w:rsidP="00E750B2">
      <w:r w:rsidRPr="00B06FB7">
        <w:t>any illustration, diagram, photograph or graphic over which the Australian Competition and Consumer Commission does not hold copyright, but which may be part of or contained within this publication.</w:t>
      </w:r>
    </w:p>
    <w:p w:rsidR="00E750B2" w:rsidRPr="00B06FB7" w:rsidRDefault="00E750B2" w:rsidP="00E750B2">
      <w:r w:rsidRPr="00B06FB7">
        <w:t>The details of the relevant licence conditions are available on the Creative Commons website, as is the full legal code for the CC BY 3.0 AU licence.</w:t>
      </w:r>
    </w:p>
    <w:p w:rsidR="00E750B2" w:rsidRPr="00B06FB7" w:rsidRDefault="00E750B2" w:rsidP="0014159B">
      <w:pPr>
        <w:numPr>
          <w:ilvl w:val="0"/>
          <w:numId w:val="5"/>
        </w:numPr>
      </w:pPr>
      <w:r w:rsidRPr="00B06FB7">
        <w:t>Requests and inquiries concerning reproduction and rights should be addressed to the Director, Corporate Communications, ACCC, GPO Box 3131, Canberra ACT 2601, or</w:t>
      </w:r>
      <w:r w:rsidR="0014159B">
        <w:t xml:space="preserve"> </w:t>
      </w:r>
      <w:hyperlink r:id="rId10" w:history="1">
        <w:r w:rsidRPr="00B06FB7">
          <w:t>publishing.unit@accc.gov.au</w:t>
        </w:r>
      </w:hyperlink>
      <w:r w:rsidRPr="00B06FB7">
        <w:t>.</w:t>
      </w:r>
    </w:p>
    <w:p w:rsidR="00E750B2" w:rsidRDefault="00E750B2" w:rsidP="00E750B2">
      <w:r>
        <w:t>Inquiries about this document should be addressed to:</w:t>
      </w:r>
    </w:p>
    <w:p w:rsidR="00E750B2" w:rsidRDefault="00E750B2" w:rsidP="00E750B2">
      <w:pPr>
        <w:pStyle w:val="AERbodytextnospace"/>
      </w:pPr>
      <w:r>
        <w:t>Australian Energy Regulator</w:t>
      </w:r>
    </w:p>
    <w:p w:rsidR="00E750B2" w:rsidRDefault="00E750B2" w:rsidP="00E750B2">
      <w:pPr>
        <w:pStyle w:val="AERbodytextnospace"/>
      </w:pPr>
      <w:r>
        <w:t>GPO Box 520</w:t>
      </w:r>
    </w:p>
    <w:p w:rsidR="00E750B2" w:rsidRDefault="00E750B2" w:rsidP="00E750B2">
      <w:pPr>
        <w:pStyle w:val="AERbodytextnospace"/>
      </w:pPr>
      <w:r>
        <w:t>Melbourne  Vic  3001</w:t>
      </w:r>
    </w:p>
    <w:p w:rsidR="00E750B2" w:rsidRDefault="00E750B2" w:rsidP="00E750B2">
      <w:pPr>
        <w:pStyle w:val="AERbodytextnospace"/>
      </w:pPr>
      <w:r>
        <w:t>Tel: (03) 9290 1444</w:t>
      </w:r>
    </w:p>
    <w:p w:rsidR="00E750B2" w:rsidRDefault="00E750B2" w:rsidP="00E750B2">
      <w:pPr>
        <w:pStyle w:val="AERbodytextnospace"/>
      </w:pPr>
      <w:r>
        <w:t>Fax: (03) 9290 1457</w:t>
      </w:r>
    </w:p>
    <w:p w:rsidR="00E750B2" w:rsidRDefault="00E750B2" w:rsidP="00E750B2">
      <w:pPr>
        <w:pStyle w:val="AERbodytextnospace"/>
      </w:pPr>
      <w:r>
        <w:t xml:space="preserve">Email: </w:t>
      </w:r>
      <w:hyperlink r:id="rId11" w:history="1">
        <w:r w:rsidRPr="003E184A">
          <w:rPr>
            <w:rStyle w:val="Hyperlink"/>
          </w:rPr>
          <w:t>AERInquiry@aer.gov.au</w:t>
        </w:r>
      </w:hyperlink>
    </w:p>
    <w:p w:rsidR="00E750B2" w:rsidRPr="008F1A4A" w:rsidRDefault="00E750B2" w:rsidP="00E750B2"/>
    <w:p w:rsidR="00E750B2" w:rsidRDefault="00E750B2" w:rsidP="00E750B2">
      <w:pPr>
        <w:pStyle w:val="AERbodytext"/>
      </w:pPr>
      <w:r>
        <w:t>AER reference</w:t>
      </w:r>
      <w:r w:rsidRPr="00B06FB7">
        <w:rPr>
          <w:rStyle w:val="AERbody"/>
        </w:rPr>
        <w:t>:   53444</w:t>
      </w:r>
      <w:r>
        <w:rPr>
          <w:rStyle w:val="AERbody"/>
        </w:rPr>
        <w:t xml:space="preserve">   </w:t>
      </w:r>
    </w:p>
    <w:p w:rsidR="00F02D30" w:rsidRDefault="00F02D30" w:rsidP="00F02D30">
      <w:pPr>
        <w:pStyle w:val="UnnumberedHeading"/>
        <w:numPr>
          <w:ilvl w:val="0"/>
          <w:numId w:val="11"/>
        </w:numPr>
      </w:pPr>
      <w:bookmarkStart w:id="1" w:name="_Toc404153950"/>
      <w:bookmarkStart w:id="2" w:name="_Toc404437593"/>
      <w:r>
        <w:lastRenderedPageBreak/>
        <w:t>Note</w:t>
      </w:r>
      <w:bookmarkEnd w:id="1"/>
      <w:bookmarkEnd w:id="2"/>
    </w:p>
    <w:p w:rsidR="00F02D30" w:rsidRDefault="00F02D30" w:rsidP="00F02D30">
      <w:pPr>
        <w:pStyle w:val="AERbodytext"/>
      </w:pPr>
      <w:r>
        <w:t xml:space="preserve">This </w:t>
      </w:r>
      <w:r w:rsidR="00CF23CB">
        <w:t xml:space="preserve">overview </w:t>
      </w:r>
      <w:r>
        <w:t>forms part of the AER's draft decision on TransGrid’s revenue proposal 2015</w:t>
      </w:r>
      <w:r w:rsidRPr="00F02D30">
        <w:t>–</w:t>
      </w:r>
      <w:r>
        <w:t>18. It should be read with other parts of the draft decision.</w:t>
      </w:r>
    </w:p>
    <w:p w:rsidR="00F02D30" w:rsidRDefault="00F02D30" w:rsidP="00F02D30">
      <w:pPr>
        <w:pStyle w:val="AERbodytext"/>
      </w:pPr>
      <w:r>
        <w:t>The draft decision includes the following documents:</w:t>
      </w:r>
    </w:p>
    <w:p w:rsidR="00F02D30" w:rsidRDefault="00F02D30" w:rsidP="00F02D30">
      <w:pPr>
        <w:pStyle w:val="AERbodytext"/>
      </w:pPr>
      <w:r>
        <w:t>Overview</w:t>
      </w:r>
    </w:p>
    <w:p w:rsidR="00F02D30" w:rsidRDefault="00F02D30" w:rsidP="00F02D30">
      <w:pPr>
        <w:pStyle w:val="AERbodytext"/>
      </w:pPr>
      <w:r>
        <w:t>Attachment 1 – maximum allowed revenue</w:t>
      </w:r>
    </w:p>
    <w:p w:rsidR="00F02D30" w:rsidRDefault="00F02D30" w:rsidP="00F02D30">
      <w:pPr>
        <w:pStyle w:val="AERbodytext"/>
      </w:pPr>
      <w:r>
        <w:t>Attachment 2 – regulatory asset base</w:t>
      </w:r>
    </w:p>
    <w:p w:rsidR="00F02D30" w:rsidRDefault="00F02D30" w:rsidP="00F02D30">
      <w:pPr>
        <w:pStyle w:val="AERbodytext"/>
      </w:pPr>
      <w:r>
        <w:t>Attachment 3 – rate of return</w:t>
      </w:r>
    </w:p>
    <w:p w:rsidR="00F02D30" w:rsidRDefault="00F02D30" w:rsidP="00F02D30">
      <w:pPr>
        <w:pStyle w:val="AERbodytext"/>
      </w:pPr>
      <w:r>
        <w:t>Attachment 4 – value of imputation credits</w:t>
      </w:r>
    </w:p>
    <w:p w:rsidR="00F02D30" w:rsidRDefault="00F02D30" w:rsidP="00F02D30">
      <w:pPr>
        <w:pStyle w:val="AERbodytext"/>
      </w:pPr>
      <w:r>
        <w:t>Attachment 5 – regulatory depreciation</w:t>
      </w:r>
    </w:p>
    <w:p w:rsidR="00F02D30" w:rsidRDefault="00F02D30" w:rsidP="00F02D30">
      <w:pPr>
        <w:pStyle w:val="AERbodytext"/>
      </w:pPr>
      <w:r>
        <w:t xml:space="preserve">Attachment 6 – capital expenditure </w:t>
      </w:r>
    </w:p>
    <w:p w:rsidR="00F02D30" w:rsidRDefault="00F02D30" w:rsidP="00F02D30">
      <w:pPr>
        <w:pStyle w:val="AERbodytext"/>
      </w:pPr>
      <w:r>
        <w:t>Attachment 7 – operating expenditure</w:t>
      </w:r>
    </w:p>
    <w:p w:rsidR="00F02D30" w:rsidRDefault="00F02D30" w:rsidP="00F02D30">
      <w:pPr>
        <w:pStyle w:val="AERbodytext"/>
      </w:pPr>
      <w:r>
        <w:t>Attachment 8 – corporate income tax</w:t>
      </w:r>
    </w:p>
    <w:p w:rsidR="00F02D30" w:rsidRDefault="00F02D30" w:rsidP="00F02D30">
      <w:pPr>
        <w:pStyle w:val="AERbodytext"/>
      </w:pPr>
      <w:r>
        <w:t>Attachment 9 – efficiency benefit sharing scheme</w:t>
      </w:r>
    </w:p>
    <w:p w:rsidR="00F02D30" w:rsidRDefault="00F02D30" w:rsidP="00F02D30">
      <w:pPr>
        <w:pStyle w:val="AERbodytext"/>
      </w:pPr>
      <w:r>
        <w:t>Attachment 10 – capital expenditure sharing scheme</w:t>
      </w:r>
    </w:p>
    <w:p w:rsidR="00F02D30" w:rsidRDefault="00F02D30" w:rsidP="00F02D30">
      <w:pPr>
        <w:pStyle w:val="AERbodytext"/>
      </w:pPr>
      <w:r>
        <w:t>Attachment 11 – service target performance incentive scheme</w:t>
      </w:r>
    </w:p>
    <w:p w:rsidR="00F02D30" w:rsidRPr="00F02D30" w:rsidRDefault="00F02D30" w:rsidP="00F02D30">
      <w:pPr>
        <w:pStyle w:val="AERbodytext"/>
      </w:pPr>
      <w:r>
        <w:t xml:space="preserve">Attachment 12 – </w:t>
      </w:r>
      <w:r w:rsidRPr="00F02D30">
        <w:t>pricing methodology</w:t>
      </w:r>
    </w:p>
    <w:p w:rsidR="00F02D30" w:rsidRPr="00F02D30" w:rsidRDefault="00F02D30" w:rsidP="00F02D30">
      <w:pPr>
        <w:pStyle w:val="AERbodytext"/>
      </w:pPr>
      <w:r>
        <w:t xml:space="preserve">Attachment 13 </w:t>
      </w:r>
      <w:r w:rsidRPr="00F02D30">
        <w:t>– pass through events</w:t>
      </w:r>
    </w:p>
    <w:p w:rsidR="00F02D30" w:rsidRPr="00F02D30" w:rsidRDefault="00F02D30" w:rsidP="00F02D30">
      <w:pPr>
        <w:pStyle w:val="AERbodytext"/>
      </w:pPr>
      <w:r>
        <w:t xml:space="preserve">Attachment 14 </w:t>
      </w:r>
      <w:r w:rsidRPr="00F02D30">
        <w:t>– negotiated services</w:t>
      </w:r>
    </w:p>
    <w:p w:rsidR="00F02D30" w:rsidRDefault="00F02D30" w:rsidP="00F02D30">
      <w:pPr>
        <w:pStyle w:val="AERbodytext"/>
      </w:pPr>
    </w:p>
    <w:p w:rsidR="00E750B2" w:rsidRDefault="00E750B2" w:rsidP="0039524C">
      <w:pPr>
        <w:pStyle w:val="UnnumberedHeading"/>
        <w:numPr>
          <w:ilvl w:val="0"/>
          <w:numId w:val="11"/>
        </w:numPr>
      </w:pPr>
      <w:bookmarkStart w:id="3" w:name="_Toc404437594"/>
      <w:r>
        <w:lastRenderedPageBreak/>
        <w:t>Contents</w:t>
      </w:r>
      <w:bookmarkEnd w:id="3"/>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E750B2" w:rsidRPr="00F0258A" w:rsidRDefault="00E750B2" w:rsidP="00E750B2">
          <w:pPr>
            <w:pStyle w:val="TOCHeading"/>
          </w:pPr>
        </w:p>
        <w:p w:rsidR="00796FA5" w:rsidRDefault="00E750B2">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E750B2">
            <w:instrText xml:space="preserve"> TOC \o "1-3" \h \z \u </w:instrText>
          </w:r>
          <w:bookmarkStart w:id="4" w:name="_GoBack"/>
          <w:bookmarkEnd w:id="4"/>
          <w:r w:rsidRPr="00F0258A">
            <w:fldChar w:fldCharType="separate"/>
          </w:r>
          <w:hyperlink w:anchor="_Toc404437593" w:history="1">
            <w:r w:rsidR="00796FA5" w:rsidRPr="007707AC">
              <w:rPr>
                <w:rStyle w:val="Hyperlink"/>
                <w:noProof/>
              </w:rPr>
              <w:t>Note</w:t>
            </w:r>
            <w:r w:rsidR="00796FA5">
              <w:rPr>
                <w:noProof/>
                <w:webHidden/>
              </w:rPr>
              <w:tab/>
            </w:r>
            <w:r w:rsidR="00796FA5">
              <w:rPr>
                <w:noProof/>
                <w:webHidden/>
              </w:rPr>
              <w:fldChar w:fldCharType="begin"/>
            </w:r>
            <w:r w:rsidR="00796FA5">
              <w:rPr>
                <w:noProof/>
                <w:webHidden/>
              </w:rPr>
              <w:instrText xml:space="preserve"> PAGEREF _Toc404437593 \h </w:instrText>
            </w:r>
            <w:r w:rsidR="00796FA5">
              <w:rPr>
                <w:noProof/>
                <w:webHidden/>
              </w:rPr>
            </w:r>
            <w:r w:rsidR="00796FA5">
              <w:rPr>
                <w:noProof/>
                <w:webHidden/>
              </w:rPr>
              <w:fldChar w:fldCharType="separate"/>
            </w:r>
            <w:r w:rsidR="003D301A">
              <w:rPr>
                <w:noProof/>
                <w:webHidden/>
              </w:rPr>
              <w:t>3</w:t>
            </w:r>
            <w:r w:rsidR="00796FA5">
              <w:rPr>
                <w:noProof/>
                <w:webHidden/>
              </w:rPr>
              <w:fldChar w:fldCharType="end"/>
            </w:r>
          </w:hyperlink>
        </w:p>
        <w:p w:rsidR="00796FA5" w:rsidRDefault="00864D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594" w:history="1">
            <w:r w:rsidR="00796FA5" w:rsidRPr="007707AC">
              <w:rPr>
                <w:rStyle w:val="Hyperlink"/>
                <w:noProof/>
              </w:rPr>
              <w:t>Contents</w:t>
            </w:r>
            <w:r w:rsidR="00796FA5">
              <w:rPr>
                <w:noProof/>
                <w:webHidden/>
              </w:rPr>
              <w:tab/>
            </w:r>
            <w:r w:rsidR="00796FA5">
              <w:rPr>
                <w:noProof/>
                <w:webHidden/>
              </w:rPr>
              <w:fldChar w:fldCharType="begin"/>
            </w:r>
            <w:r w:rsidR="00796FA5">
              <w:rPr>
                <w:noProof/>
                <w:webHidden/>
              </w:rPr>
              <w:instrText xml:space="preserve"> PAGEREF _Toc404437594 \h </w:instrText>
            </w:r>
            <w:r w:rsidR="00796FA5">
              <w:rPr>
                <w:noProof/>
                <w:webHidden/>
              </w:rPr>
            </w:r>
            <w:r w:rsidR="00796FA5">
              <w:rPr>
                <w:noProof/>
                <w:webHidden/>
              </w:rPr>
              <w:fldChar w:fldCharType="separate"/>
            </w:r>
            <w:r w:rsidR="003D301A">
              <w:rPr>
                <w:noProof/>
                <w:webHidden/>
              </w:rPr>
              <w:t>4</w:t>
            </w:r>
            <w:r w:rsidR="00796FA5">
              <w:rPr>
                <w:noProof/>
                <w:webHidden/>
              </w:rPr>
              <w:fldChar w:fldCharType="end"/>
            </w:r>
          </w:hyperlink>
        </w:p>
        <w:p w:rsidR="00796FA5" w:rsidRDefault="00864D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595" w:history="1">
            <w:r w:rsidR="00796FA5" w:rsidRPr="007707AC">
              <w:rPr>
                <w:rStyle w:val="Hyperlink"/>
                <w:noProof/>
              </w:rPr>
              <w:t>Shortened forms</w:t>
            </w:r>
            <w:r w:rsidR="00796FA5">
              <w:rPr>
                <w:noProof/>
                <w:webHidden/>
              </w:rPr>
              <w:tab/>
            </w:r>
            <w:r w:rsidR="00796FA5">
              <w:rPr>
                <w:noProof/>
                <w:webHidden/>
              </w:rPr>
              <w:fldChar w:fldCharType="begin"/>
            </w:r>
            <w:r w:rsidR="00796FA5">
              <w:rPr>
                <w:noProof/>
                <w:webHidden/>
              </w:rPr>
              <w:instrText xml:space="preserve"> PAGEREF _Toc404437595 \h </w:instrText>
            </w:r>
            <w:r w:rsidR="00796FA5">
              <w:rPr>
                <w:noProof/>
                <w:webHidden/>
              </w:rPr>
            </w:r>
            <w:r w:rsidR="00796FA5">
              <w:rPr>
                <w:noProof/>
                <w:webHidden/>
              </w:rPr>
              <w:fldChar w:fldCharType="separate"/>
            </w:r>
            <w:r w:rsidR="003D301A">
              <w:rPr>
                <w:noProof/>
                <w:webHidden/>
              </w:rPr>
              <w:t>6</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596" w:history="1">
            <w:r w:rsidR="00796FA5" w:rsidRPr="007707AC">
              <w:rPr>
                <w:rStyle w:val="Hyperlink"/>
                <w:noProof/>
              </w:rPr>
              <w:t>1</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Our draft decision</w:t>
            </w:r>
            <w:r w:rsidR="00796FA5">
              <w:rPr>
                <w:noProof/>
                <w:webHidden/>
              </w:rPr>
              <w:tab/>
            </w:r>
            <w:r w:rsidR="00796FA5">
              <w:rPr>
                <w:noProof/>
                <w:webHidden/>
              </w:rPr>
              <w:fldChar w:fldCharType="begin"/>
            </w:r>
            <w:r w:rsidR="00796FA5">
              <w:rPr>
                <w:noProof/>
                <w:webHidden/>
              </w:rPr>
              <w:instrText xml:space="preserve"> PAGEREF _Toc404437596 \h </w:instrText>
            </w:r>
            <w:r w:rsidR="00796FA5">
              <w:rPr>
                <w:noProof/>
                <w:webHidden/>
              </w:rPr>
            </w:r>
            <w:r w:rsidR="00796FA5">
              <w:rPr>
                <w:noProof/>
                <w:webHidden/>
              </w:rPr>
              <w:fldChar w:fldCharType="separate"/>
            </w:r>
            <w:r w:rsidR="003D301A">
              <w:rPr>
                <w:noProof/>
                <w:webHidden/>
              </w:rPr>
              <w:t>8</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597" w:history="1">
            <w:r w:rsidR="00796FA5" w:rsidRPr="007707AC">
              <w:rPr>
                <w:rStyle w:val="Hyperlink"/>
                <w:noProof/>
              </w:rPr>
              <w:t>2</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About our draft decision – context and framework</w:t>
            </w:r>
            <w:r w:rsidR="00796FA5">
              <w:rPr>
                <w:noProof/>
                <w:webHidden/>
              </w:rPr>
              <w:tab/>
            </w:r>
            <w:r w:rsidR="00796FA5">
              <w:rPr>
                <w:noProof/>
                <w:webHidden/>
              </w:rPr>
              <w:fldChar w:fldCharType="begin"/>
            </w:r>
            <w:r w:rsidR="00796FA5">
              <w:rPr>
                <w:noProof/>
                <w:webHidden/>
              </w:rPr>
              <w:instrText xml:space="preserve"> PAGEREF _Toc404437597 \h </w:instrText>
            </w:r>
            <w:r w:rsidR="00796FA5">
              <w:rPr>
                <w:noProof/>
                <w:webHidden/>
              </w:rPr>
            </w:r>
            <w:r w:rsidR="00796FA5">
              <w:rPr>
                <w:noProof/>
                <w:webHidden/>
              </w:rPr>
              <w:fldChar w:fldCharType="separate"/>
            </w:r>
            <w:r w:rsidR="003D301A">
              <w:rPr>
                <w:noProof/>
                <w:webHidden/>
              </w:rPr>
              <w:t>12</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598" w:history="1">
            <w:r w:rsidR="00796FA5" w:rsidRPr="007707AC">
              <w:rPr>
                <w:rStyle w:val="Hyperlink"/>
                <w:noProof/>
                <w14:scene3d>
                  <w14:camera w14:prst="orthographicFront"/>
                  <w14:lightRig w14:rig="threePt" w14:dir="t">
                    <w14:rot w14:lat="0" w14:lon="0" w14:rev="0"/>
                  </w14:lightRig>
                </w14:scene3d>
              </w:rPr>
              <w:t>2.1</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Structure of our draft decision</w:t>
            </w:r>
            <w:r w:rsidR="00796FA5">
              <w:rPr>
                <w:noProof/>
                <w:webHidden/>
              </w:rPr>
              <w:tab/>
            </w:r>
            <w:r w:rsidR="00796FA5">
              <w:rPr>
                <w:noProof/>
                <w:webHidden/>
              </w:rPr>
              <w:fldChar w:fldCharType="begin"/>
            </w:r>
            <w:r w:rsidR="00796FA5">
              <w:rPr>
                <w:noProof/>
                <w:webHidden/>
              </w:rPr>
              <w:instrText xml:space="preserve"> PAGEREF _Toc404437598 \h </w:instrText>
            </w:r>
            <w:r w:rsidR="00796FA5">
              <w:rPr>
                <w:noProof/>
                <w:webHidden/>
              </w:rPr>
            </w:r>
            <w:r w:rsidR="00796FA5">
              <w:rPr>
                <w:noProof/>
                <w:webHidden/>
              </w:rPr>
              <w:fldChar w:fldCharType="separate"/>
            </w:r>
            <w:r w:rsidR="003D301A">
              <w:rPr>
                <w:noProof/>
                <w:webHidden/>
              </w:rPr>
              <w:t>13</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599" w:history="1">
            <w:r w:rsidR="00796FA5" w:rsidRPr="007707AC">
              <w:rPr>
                <w:rStyle w:val="Hyperlink"/>
                <w:noProof/>
                <w14:scene3d>
                  <w14:camera w14:prst="orthographicFront"/>
                  <w14:lightRig w14:rig="threePt" w14:dir="t">
                    <w14:rot w14:lat="0" w14:lon="0" w14:rev="0"/>
                  </w14:lightRig>
                </w14:scene3d>
              </w:rPr>
              <w:t>2.2</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What is different about this decision?</w:t>
            </w:r>
            <w:r w:rsidR="00796FA5">
              <w:rPr>
                <w:noProof/>
                <w:webHidden/>
              </w:rPr>
              <w:tab/>
            </w:r>
            <w:r w:rsidR="00796FA5">
              <w:rPr>
                <w:noProof/>
                <w:webHidden/>
              </w:rPr>
              <w:fldChar w:fldCharType="begin"/>
            </w:r>
            <w:r w:rsidR="00796FA5">
              <w:rPr>
                <w:noProof/>
                <w:webHidden/>
              </w:rPr>
              <w:instrText xml:space="preserve"> PAGEREF _Toc404437599 \h </w:instrText>
            </w:r>
            <w:r w:rsidR="00796FA5">
              <w:rPr>
                <w:noProof/>
                <w:webHidden/>
              </w:rPr>
            </w:r>
            <w:r w:rsidR="00796FA5">
              <w:rPr>
                <w:noProof/>
                <w:webHidden/>
              </w:rPr>
              <w:fldChar w:fldCharType="separate"/>
            </w:r>
            <w:r w:rsidR="003D301A">
              <w:rPr>
                <w:noProof/>
                <w:webHidden/>
              </w:rPr>
              <w:t>14</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00" w:history="1">
            <w:r w:rsidR="00796FA5" w:rsidRPr="007707AC">
              <w:rPr>
                <w:rStyle w:val="Hyperlink"/>
                <w:noProof/>
                <w14:scene3d>
                  <w14:camera w14:prst="orthographicFront"/>
                  <w14:lightRig w14:rig="threePt" w14:dir="t">
                    <w14:rot w14:lat="0" w14:lon="0" w14:rev="0"/>
                  </w14:lightRig>
                </w14:scene3d>
              </w:rPr>
              <w:t>2.3</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Understanding the NEO</w:t>
            </w:r>
            <w:r w:rsidR="00796FA5">
              <w:rPr>
                <w:noProof/>
                <w:webHidden/>
              </w:rPr>
              <w:tab/>
            </w:r>
            <w:r w:rsidR="00796FA5">
              <w:rPr>
                <w:noProof/>
                <w:webHidden/>
              </w:rPr>
              <w:fldChar w:fldCharType="begin"/>
            </w:r>
            <w:r w:rsidR="00796FA5">
              <w:rPr>
                <w:noProof/>
                <w:webHidden/>
              </w:rPr>
              <w:instrText xml:space="preserve"> PAGEREF _Toc404437600 \h </w:instrText>
            </w:r>
            <w:r w:rsidR="00796FA5">
              <w:rPr>
                <w:noProof/>
                <w:webHidden/>
              </w:rPr>
            </w:r>
            <w:r w:rsidR="00796FA5">
              <w:rPr>
                <w:noProof/>
                <w:webHidden/>
              </w:rPr>
              <w:fldChar w:fldCharType="separate"/>
            </w:r>
            <w:r w:rsidR="003D301A">
              <w:rPr>
                <w:noProof/>
                <w:webHidden/>
              </w:rPr>
              <w:t>15</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01" w:history="1">
            <w:r w:rsidR="00796FA5" w:rsidRPr="007707AC">
              <w:rPr>
                <w:rStyle w:val="Hyperlink"/>
                <w:noProof/>
                <w14:scene3d>
                  <w14:camera w14:prst="orthographicFront"/>
                  <w14:lightRig w14:rig="threePt" w14:dir="t">
                    <w14:rot w14:lat="0" w14:lon="0" w14:rev="0"/>
                  </w14:lightRig>
                </w14:scene3d>
              </w:rPr>
              <w:t>2.4</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The transitional and subsequent regulatory control periods</w:t>
            </w:r>
            <w:r w:rsidR="00796FA5">
              <w:rPr>
                <w:noProof/>
                <w:webHidden/>
              </w:rPr>
              <w:tab/>
            </w:r>
            <w:r w:rsidR="00796FA5">
              <w:rPr>
                <w:noProof/>
                <w:webHidden/>
              </w:rPr>
              <w:fldChar w:fldCharType="begin"/>
            </w:r>
            <w:r w:rsidR="00796FA5">
              <w:rPr>
                <w:noProof/>
                <w:webHidden/>
              </w:rPr>
              <w:instrText xml:space="preserve"> PAGEREF _Toc404437601 \h </w:instrText>
            </w:r>
            <w:r w:rsidR="00796FA5">
              <w:rPr>
                <w:noProof/>
                <w:webHidden/>
              </w:rPr>
            </w:r>
            <w:r w:rsidR="00796FA5">
              <w:rPr>
                <w:noProof/>
                <w:webHidden/>
              </w:rPr>
              <w:fldChar w:fldCharType="separate"/>
            </w:r>
            <w:r w:rsidR="003D301A">
              <w:rPr>
                <w:noProof/>
                <w:webHidden/>
              </w:rPr>
              <w:t>16</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602" w:history="1">
            <w:r w:rsidR="00796FA5" w:rsidRPr="007707AC">
              <w:rPr>
                <w:rStyle w:val="Hyperlink"/>
                <w:noProof/>
              </w:rPr>
              <w:t>3</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Our approach to this decision and why it contributes to the achievement of the NEO</w:t>
            </w:r>
            <w:r w:rsidR="00796FA5">
              <w:rPr>
                <w:noProof/>
                <w:webHidden/>
              </w:rPr>
              <w:tab/>
            </w:r>
            <w:r w:rsidR="00796FA5">
              <w:rPr>
                <w:noProof/>
                <w:webHidden/>
              </w:rPr>
              <w:fldChar w:fldCharType="begin"/>
            </w:r>
            <w:r w:rsidR="00796FA5">
              <w:rPr>
                <w:noProof/>
                <w:webHidden/>
              </w:rPr>
              <w:instrText xml:space="preserve"> PAGEREF _Toc404437602 \h </w:instrText>
            </w:r>
            <w:r w:rsidR="00796FA5">
              <w:rPr>
                <w:noProof/>
                <w:webHidden/>
              </w:rPr>
            </w:r>
            <w:r w:rsidR="00796FA5">
              <w:rPr>
                <w:noProof/>
                <w:webHidden/>
              </w:rPr>
              <w:fldChar w:fldCharType="separate"/>
            </w:r>
            <w:r w:rsidR="003D301A">
              <w:rPr>
                <w:noProof/>
                <w:webHidden/>
              </w:rPr>
              <w:t>18</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03" w:history="1">
            <w:r w:rsidR="00796FA5" w:rsidRPr="007707AC">
              <w:rPr>
                <w:rStyle w:val="Hyperlink"/>
                <w:noProof/>
                <w14:scene3d>
                  <w14:camera w14:prst="orthographicFront"/>
                  <w14:lightRig w14:rig="threePt" w14:dir="t">
                    <w14:rot w14:lat="0" w14:lon="0" w14:rev="0"/>
                  </w14:lightRig>
                </w14:scene3d>
              </w:rPr>
              <w:t>3.1</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Better Regulation program</w:t>
            </w:r>
            <w:r w:rsidR="00796FA5">
              <w:rPr>
                <w:noProof/>
                <w:webHidden/>
              </w:rPr>
              <w:tab/>
            </w:r>
            <w:r w:rsidR="00796FA5">
              <w:rPr>
                <w:noProof/>
                <w:webHidden/>
              </w:rPr>
              <w:fldChar w:fldCharType="begin"/>
            </w:r>
            <w:r w:rsidR="00796FA5">
              <w:rPr>
                <w:noProof/>
                <w:webHidden/>
              </w:rPr>
              <w:instrText xml:space="preserve"> PAGEREF _Toc404437603 \h </w:instrText>
            </w:r>
            <w:r w:rsidR="00796FA5">
              <w:rPr>
                <w:noProof/>
                <w:webHidden/>
              </w:rPr>
            </w:r>
            <w:r w:rsidR="00796FA5">
              <w:rPr>
                <w:noProof/>
                <w:webHidden/>
              </w:rPr>
              <w:fldChar w:fldCharType="separate"/>
            </w:r>
            <w:r w:rsidR="003D301A">
              <w:rPr>
                <w:noProof/>
                <w:webHidden/>
              </w:rPr>
              <w:t>18</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604" w:history="1">
            <w:r w:rsidR="00796FA5" w:rsidRPr="007707AC">
              <w:rPr>
                <w:rStyle w:val="Hyperlink"/>
                <w:noProof/>
              </w:rPr>
              <w:t>4</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Material issues and opportunity to be heard</w:t>
            </w:r>
            <w:r w:rsidR="00796FA5">
              <w:rPr>
                <w:noProof/>
                <w:webHidden/>
              </w:rPr>
              <w:tab/>
            </w:r>
            <w:r w:rsidR="00796FA5">
              <w:rPr>
                <w:noProof/>
                <w:webHidden/>
              </w:rPr>
              <w:fldChar w:fldCharType="begin"/>
            </w:r>
            <w:r w:rsidR="00796FA5">
              <w:rPr>
                <w:noProof/>
                <w:webHidden/>
              </w:rPr>
              <w:instrText xml:space="preserve"> PAGEREF _Toc404437604 \h </w:instrText>
            </w:r>
            <w:r w:rsidR="00796FA5">
              <w:rPr>
                <w:noProof/>
                <w:webHidden/>
              </w:rPr>
            </w:r>
            <w:r w:rsidR="00796FA5">
              <w:rPr>
                <w:noProof/>
                <w:webHidden/>
              </w:rPr>
              <w:fldChar w:fldCharType="separate"/>
            </w:r>
            <w:r w:rsidR="003D301A">
              <w:rPr>
                <w:noProof/>
                <w:webHidden/>
              </w:rPr>
              <w:t>20</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05" w:history="1">
            <w:r w:rsidR="00796FA5" w:rsidRPr="007707AC">
              <w:rPr>
                <w:rStyle w:val="Hyperlink"/>
                <w:noProof/>
                <w14:scene3d>
                  <w14:camera w14:prst="orthographicFront"/>
                  <w14:lightRig w14:rig="threePt" w14:dir="t">
                    <w14:rot w14:lat="0" w14:lon="0" w14:rev="0"/>
                  </w14:lightRig>
                </w14:scene3d>
              </w:rPr>
              <w:t>4.1</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Our engagement</w:t>
            </w:r>
            <w:r w:rsidR="00796FA5">
              <w:rPr>
                <w:noProof/>
                <w:webHidden/>
              </w:rPr>
              <w:tab/>
            </w:r>
            <w:r w:rsidR="00796FA5">
              <w:rPr>
                <w:noProof/>
                <w:webHidden/>
              </w:rPr>
              <w:fldChar w:fldCharType="begin"/>
            </w:r>
            <w:r w:rsidR="00796FA5">
              <w:rPr>
                <w:noProof/>
                <w:webHidden/>
              </w:rPr>
              <w:instrText xml:space="preserve"> PAGEREF _Toc404437605 \h </w:instrText>
            </w:r>
            <w:r w:rsidR="00796FA5">
              <w:rPr>
                <w:noProof/>
                <w:webHidden/>
              </w:rPr>
            </w:r>
            <w:r w:rsidR="00796FA5">
              <w:rPr>
                <w:noProof/>
                <w:webHidden/>
              </w:rPr>
              <w:fldChar w:fldCharType="separate"/>
            </w:r>
            <w:r w:rsidR="003D301A">
              <w:rPr>
                <w:noProof/>
                <w:webHidden/>
              </w:rPr>
              <w:t>20</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06" w:history="1">
            <w:r w:rsidR="00796FA5" w:rsidRPr="007707AC">
              <w:rPr>
                <w:rStyle w:val="Hyperlink"/>
                <w:noProof/>
                <w14:scene3d>
                  <w14:camera w14:prst="orthographicFront"/>
                  <w14:lightRig w14:rig="threePt" w14:dir="t">
                    <w14:rot w14:lat="0" w14:lon="0" w14:rev="0"/>
                  </w14:lightRig>
                </w14:scene3d>
              </w:rPr>
              <w:t>4.1.1</w:t>
            </w:r>
            <w:r w:rsidR="00796FA5">
              <w:rPr>
                <w:rFonts w:asciiTheme="minorHAnsi" w:eastAsiaTheme="minorEastAsia" w:hAnsiTheme="minorHAnsi" w:cstheme="minorBidi"/>
                <w:noProof/>
                <w:sz w:val="22"/>
                <w:szCs w:val="22"/>
                <w:lang w:eastAsia="en-AU"/>
              </w:rPr>
              <w:tab/>
            </w:r>
            <w:r w:rsidR="00796FA5" w:rsidRPr="007707AC">
              <w:rPr>
                <w:rStyle w:val="Hyperlink"/>
                <w:noProof/>
              </w:rPr>
              <w:t>Our issues paper</w:t>
            </w:r>
            <w:r w:rsidR="00796FA5">
              <w:rPr>
                <w:noProof/>
                <w:webHidden/>
              </w:rPr>
              <w:tab/>
            </w:r>
            <w:r w:rsidR="00796FA5">
              <w:rPr>
                <w:noProof/>
                <w:webHidden/>
              </w:rPr>
              <w:fldChar w:fldCharType="begin"/>
            </w:r>
            <w:r w:rsidR="00796FA5">
              <w:rPr>
                <w:noProof/>
                <w:webHidden/>
              </w:rPr>
              <w:instrText xml:space="preserve"> PAGEREF _Toc404437606 \h </w:instrText>
            </w:r>
            <w:r w:rsidR="00796FA5">
              <w:rPr>
                <w:noProof/>
                <w:webHidden/>
              </w:rPr>
            </w:r>
            <w:r w:rsidR="00796FA5">
              <w:rPr>
                <w:noProof/>
                <w:webHidden/>
              </w:rPr>
              <w:fldChar w:fldCharType="separate"/>
            </w:r>
            <w:r w:rsidR="003D301A">
              <w:rPr>
                <w:noProof/>
                <w:webHidden/>
              </w:rPr>
              <w:t>20</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07" w:history="1">
            <w:r w:rsidR="00796FA5" w:rsidRPr="007707AC">
              <w:rPr>
                <w:rStyle w:val="Hyperlink"/>
                <w:noProof/>
                <w14:scene3d>
                  <w14:camera w14:prst="orthographicFront"/>
                  <w14:lightRig w14:rig="threePt" w14:dir="t">
                    <w14:rot w14:lat="0" w14:lon="0" w14:rev="0"/>
                  </w14:lightRig>
                </w14:scene3d>
              </w:rPr>
              <w:t>4.1.2</w:t>
            </w:r>
            <w:r w:rsidR="00796FA5">
              <w:rPr>
                <w:rFonts w:asciiTheme="minorHAnsi" w:eastAsiaTheme="minorEastAsia" w:hAnsiTheme="minorHAnsi" w:cstheme="minorBidi"/>
                <w:noProof/>
                <w:sz w:val="22"/>
                <w:szCs w:val="22"/>
                <w:lang w:eastAsia="en-AU"/>
              </w:rPr>
              <w:tab/>
            </w:r>
            <w:r w:rsidR="00796FA5" w:rsidRPr="007707AC">
              <w:rPr>
                <w:rStyle w:val="Hyperlink"/>
                <w:noProof/>
              </w:rPr>
              <w:t>Outcome of submissions</w:t>
            </w:r>
            <w:r w:rsidR="00796FA5">
              <w:rPr>
                <w:noProof/>
                <w:webHidden/>
              </w:rPr>
              <w:tab/>
            </w:r>
            <w:r w:rsidR="00796FA5">
              <w:rPr>
                <w:noProof/>
                <w:webHidden/>
              </w:rPr>
              <w:fldChar w:fldCharType="begin"/>
            </w:r>
            <w:r w:rsidR="00796FA5">
              <w:rPr>
                <w:noProof/>
                <w:webHidden/>
              </w:rPr>
              <w:instrText xml:space="preserve"> PAGEREF _Toc404437607 \h </w:instrText>
            </w:r>
            <w:r w:rsidR="00796FA5">
              <w:rPr>
                <w:noProof/>
                <w:webHidden/>
              </w:rPr>
            </w:r>
            <w:r w:rsidR="00796FA5">
              <w:rPr>
                <w:noProof/>
                <w:webHidden/>
              </w:rPr>
              <w:fldChar w:fldCharType="separate"/>
            </w:r>
            <w:r w:rsidR="003D301A">
              <w:rPr>
                <w:noProof/>
                <w:webHidden/>
              </w:rPr>
              <w:t>21</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608" w:history="1">
            <w:r w:rsidR="00796FA5" w:rsidRPr="007707AC">
              <w:rPr>
                <w:rStyle w:val="Hyperlink"/>
                <w:noProof/>
              </w:rPr>
              <w:t>5</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Constituent components and interrelationships</w:t>
            </w:r>
            <w:r w:rsidR="00796FA5">
              <w:rPr>
                <w:noProof/>
                <w:webHidden/>
              </w:rPr>
              <w:tab/>
            </w:r>
            <w:r w:rsidR="00796FA5">
              <w:rPr>
                <w:noProof/>
                <w:webHidden/>
              </w:rPr>
              <w:fldChar w:fldCharType="begin"/>
            </w:r>
            <w:r w:rsidR="00796FA5">
              <w:rPr>
                <w:noProof/>
                <w:webHidden/>
              </w:rPr>
              <w:instrText xml:space="preserve"> PAGEREF _Toc404437608 \h </w:instrText>
            </w:r>
            <w:r w:rsidR="00796FA5">
              <w:rPr>
                <w:noProof/>
                <w:webHidden/>
              </w:rPr>
            </w:r>
            <w:r w:rsidR="00796FA5">
              <w:rPr>
                <w:noProof/>
                <w:webHidden/>
              </w:rPr>
              <w:fldChar w:fldCharType="separate"/>
            </w:r>
            <w:r w:rsidR="003D301A">
              <w:rPr>
                <w:noProof/>
                <w:webHidden/>
              </w:rPr>
              <w:t>22</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09" w:history="1">
            <w:r w:rsidR="00796FA5" w:rsidRPr="007707AC">
              <w:rPr>
                <w:rStyle w:val="Hyperlink"/>
                <w:noProof/>
                <w14:scene3d>
                  <w14:camera w14:prst="orthographicFront"/>
                  <w14:lightRig w14:rig="threePt" w14:dir="t">
                    <w14:rot w14:lat="0" w14:lon="0" w14:rev="0"/>
                  </w14:lightRig>
                </w14:scene3d>
              </w:rPr>
              <w:t>5.1</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Key drivers impacting revenue</w:t>
            </w:r>
            <w:r w:rsidR="00796FA5">
              <w:rPr>
                <w:noProof/>
                <w:webHidden/>
              </w:rPr>
              <w:tab/>
            </w:r>
            <w:r w:rsidR="00796FA5">
              <w:rPr>
                <w:noProof/>
                <w:webHidden/>
              </w:rPr>
              <w:fldChar w:fldCharType="begin"/>
            </w:r>
            <w:r w:rsidR="00796FA5">
              <w:rPr>
                <w:noProof/>
                <w:webHidden/>
              </w:rPr>
              <w:instrText xml:space="preserve"> PAGEREF _Toc404437609 \h </w:instrText>
            </w:r>
            <w:r w:rsidR="00796FA5">
              <w:rPr>
                <w:noProof/>
                <w:webHidden/>
              </w:rPr>
            </w:r>
            <w:r w:rsidR="00796FA5">
              <w:rPr>
                <w:noProof/>
                <w:webHidden/>
              </w:rPr>
              <w:fldChar w:fldCharType="separate"/>
            </w:r>
            <w:r w:rsidR="003D301A">
              <w:rPr>
                <w:noProof/>
                <w:webHidden/>
              </w:rPr>
              <w:t>23</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610" w:history="1">
            <w:r w:rsidR="00796FA5" w:rsidRPr="007707AC">
              <w:rPr>
                <w:rStyle w:val="Hyperlink"/>
                <w:noProof/>
              </w:rPr>
              <w:t>6</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Why our decision, as a whole, is preferable</w:t>
            </w:r>
            <w:r w:rsidR="00796FA5">
              <w:rPr>
                <w:noProof/>
                <w:webHidden/>
              </w:rPr>
              <w:tab/>
            </w:r>
            <w:r w:rsidR="00796FA5">
              <w:rPr>
                <w:noProof/>
                <w:webHidden/>
              </w:rPr>
              <w:fldChar w:fldCharType="begin"/>
            </w:r>
            <w:r w:rsidR="00796FA5">
              <w:rPr>
                <w:noProof/>
                <w:webHidden/>
              </w:rPr>
              <w:instrText xml:space="preserve"> PAGEREF _Toc404437610 \h </w:instrText>
            </w:r>
            <w:r w:rsidR="00796FA5">
              <w:rPr>
                <w:noProof/>
                <w:webHidden/>
              </w:rPr>
            </w:r>
            <w:r w:rsidR="00796FA5">
              <w:rPr>
                <w:noProof/>
                <w:webHidden/>
              </w:rPr>
              <w:fldChar w:fldCharType="separate"/>
            </w:r>
            <w:r w:rsidR="003D301A">
              <w:rPr>
                <w:noProof/>
                <w:webHidden/>
              </w:rPr>
              <w:t>26</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611" w:history="1">
            <w:r w:rsidR="00796FA5" w:rsidRPr="007707AC">
              <w:rPr>
                <w:rStyle w:val="Hyperlink"/>
                <w:noProof/>
              </w:rPr>
              <w:t>7</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Total revenue requirements and impact on price</w:t>
            </w:r>
            <w:r w:rsidR="00796FA5">
              <w:rPr>
                <w:noProof/>
                <w:webHidden/>
              </w:rPr>
              <w:tab/>
            </w:r>
            <w:r w:rsidR="00796FA5">
              <w:rPr>
                <w:noProof/>
                <w:webHidden/>
              </w:rPr>
              <w:fldChar w:fldCharType="begin"/>
            </w:r>
            <w:r w:rsidR="00796FA5">
              <w:rPr>
                <w:noProof/>
                <w:webHidden/>
              </w:rPr>
              <w:instrText xml:space="preserve"> PAGEREF _Toc404437611 \h </w:instrText>
            </w:r>
            <w:r w:rsidR="00796FA5">
              <w:rPr>
                <w:noProof/>
                <w:webHidden/>
              </w:rPr>
            </w:r>
            <w:r w:rsidR="00796FA5">
              <w:rPr>
                <w:noProof/>
                <w:webHidden/>
              </w:rPr>
              <w:fldChar w:fldCharType="separate"/>
            </w:r>
            <w:r w:rsidR="003D301A">
              <w:rPr>
                <w:noProof/>
                <w:webHidden/>
              </w:rPr>
              <w:t>28</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12" w:history="1">
            <w:r w:rsidR="00796FA5" w:rsidRPr="007707AC">
              <w:rPr>
                <w:rStyle w:val="Hyperlink"/>
                <w:noProof/>
                <w14:scene3d>
                  <w14:camera w14:prst="orthographicFront"/>
                  <w14:lightRig w14:rig="threePt" w14:dir="t">
                    <w14:rot w14:lat="0" w14:lon="0" w14:rev="0"/>
                  </w14:lightRig>
                </w14:scene3d>
              </w:rPr>
              <w:t>7.1</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_Toc404437612 \h </w:instrText>
            </w:r>
            <w:r w:rsidR="00796FA5">
              <w:rPr>
                <w:noProof/>
                <w:webHidden/>
              </w:rPr>
            </w:r>
            <w:r w:rsidR="00796FA5">
              <w:rPr>
                <w:noProof/>
                <w:webHidden/>
              </w:rPr>
              <w:fldChar w:fldCharType="separate"/>
            </w:r>
            <w:r w:rsidR="003D301A">
              <w:rPr>
                <w:noProof/>
                <w:webHidden/>
              </w:rPr>
              <w:t>28</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13" w:history="1">
            <w:r w:rsidR="00796FA5" w:rsidRPr="007707AC">
              <w:rPr>
                <w:rStyle w:val="Hyperlink"/>
                <w:noProof/>
                <w14:scene3d>
                  <w14:camera w14:prst="orthographicFront"/>
                  <w14:lightRig w14:rig="threePt" w14:dir="t">
                    <w14:rot w14:lat="0" w14:lon="0" w14:rev="0"/>
                  </w14:lightRig>
                </w14:scene3d>
              </w:rPr>
              <w:t>7.2</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Indicative impact of transmission charges on electricity bills in NSW and the ACT</w:t>
            </w:r>
            <w:r w:rsidR="00796FA5">
              <w:rPr>
                <w:noProof/>
                <w:webHidden/>
              </w:rPr>
              <w:tab/>
            </w:r>
            <w:r w:rsidR="00796FA5">
              <w:rPr>
                <w:noProof/>
                <w:webHidden/>
              </w:rPr>
              <w:fldChar w:fldCharType="begin"/>
            </w:r>
            <w:r w:rsidR="00796FA5">
              <w:rPr>
                <w:noProof/>
                <w:webHidden/>
              </w:rPr>
              <w:instrText xml:space="preserve"> PAGEREF _Toc404437613 \h </w:instrText>
            </w:r>
            <w:r w:rsidR="00796FA5">
              <w:rPr>
                <w:noProof/>
                <w:webHidden/>
              </w:rPr>
            </w:r>
            <w:r w:rsidR="00796FA5">
              <w:rPr>
                <w:noProof/>
                <w:webHidden/>
              </w:rPr>
              <w:fldChar w:fldCharType="separate"/>
            </w:r>
            <w:r w:rsidR="003D301A">
              <w:rPr>
                <w:noProof/>
                <w:webHidden/>
              </w:rPr>
              <w:t>31</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614" w:history="1">
            <w:r w:rsidR="00796FA5" w:rsidRPr="007707AC">
              <w:rPr>
                <w:rStyle w:val="Hyperlink"/>
                <w:noProof/>
              </w:rPr>
              <w:t>8</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Key elements of the building blocks</w:t>
            </w:r>
            <w:r w:rsidR="00796FA5">
              <w:rPr>
                <w:noProof/>
                <w:webHidden/>
              </w:rPr>
              <w:tab/>
            </w:r>
            <w:r w:rsidR="00796FA5">
              <w:rPr>
                <w:noProof/>
                <w:webHidden/>
              </w:rPr>
              <w:fldChar w:fldCharType="begin"/>
            </w:r>
            <w:r w:rsidR="00796FA5">
              <w:rPr>
                <w:noProof/>
                <w:webHidden/>
              </w:rPr>
              <w:instrText xml:space="preserve"> PAGEREF _Toc404437614 \h </w:instrText>
            </w:r>
            <w:r w:rsidR="00796FA5">
              <w:rPr>
                <w:noProof/>
                <w:webHidden/>
              </w:rPr>
            </w:r>
            <w:r w:rsidR="00796FA5">
              <w:rPr>
                <w:noProof/>
                <w:webHidden/>
              </w:rPr>
              <w:fldChar w:fldCharType="separate"/>
            </w:r>
            <w:r w:rsidR="003D301A">
              <w:rPr>
                <w:noProof/>
                <w:webHidden/>
              </w:rPr>
              <w:t>34</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15" w:history="1">
            <w:r w:rsidR="00796FA5" w:rsidRPr="007707AC">
              <w:rPr>
                <w:rStyle w:val="Hyperlink"/>
                <w:noProof/>
                <w14:scene3d>
                  <w14:camera w14:prst="orthographicFront"/>
                  <w14:lightRig w14:rig="threePt" w14:dir="t">
                    <w14:rot w14:lat="0" w14:lon="0" w14:rev="0"/>
                  </w14:lightRig>
                </w14:scene3d>
              </w:rPr>
              <w:t>8.1</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The building block approach</w:t>
            </w:r>
            <w:r w:rsidR="00796FA5">
              <w:rPr>
                <w:noProof/>
                <w:webHidden/>
              </w:rPr>
              <w:tab/>
            </w:r>
            <w:r w:rsidR="00796FA5">
              <w:rPr>
                <w:noProof/>
                <w:webHidden/>
              </w:rPr>
              <w:fldChar w:fldCharType="begin"/>
            </w:r>
            <w:r w:rsidR="00796FA5">
              <w:rPr>
                <w:noProof/>
                <w:webHidden/>
              </w:rPr>
              <w:instrText xml:space="preserve"> PAGEREF _Toc404437615 \h </w:instrText>
            </w:r>
            <w:r w:rsidR="00796FA5">
              <w:rPr>
                <w:noProof/>
                <w:webHidden/>
              </w:rPr>
            </w:r>
            <w:r w:rsidR="00796FA5">
              <w:rPr>
                <w:noProof/>
                <w:webHidden/>
              </w:rPr>
              <w:fldChar w:fldCharType="separate"/>
            </w:r>
            <w:r w:rsidR="003D301A">
              <w:rPr>
                <w:noProof/>
                <w:webHidden/>
              </w:rPr>
              <w:t>34</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16" w:history="1">
            <w:r w:rsidR="00796FA5" w:rsidRPr="007707AC">
              <w:rPr>
                <w:rStyle w:val="Hyperlink"/>
                <w:noProof/>
                <w14:scene3d>
                  <w14:camera w14:prst="orthographicFront"/>
                  <w14:lightRig w14:rig="threePt" w14:dir="t">
                    <w14:rot w14:lat="0" w14:lon="0" w14:rev="0"/>
                  </w14:lightRig>
                </w14:scene3d>
              </w:rPr>
              <w:t>8.2</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Regulatory asset base</w:t>
            </w:r>
            <w:r w:rsidR="00796FA5">
              <w:rPr>
                <w:noProof/>
                <w:webHidden/>
              </w:rPr>
              <w:tab/>
            </w:r>
            <w:r w:rsidR="00796FA5">
              <w:rPr>
                <w:noProof/>
                <w:webHidden/>
              </w:rPr>
              <w:fldChar w:fldCharType="begin"/>
            </w:r>
            <w:r w:rsidR="00796FA5">
              <w:rPr>
                <w:noProof/>
                <w:webHidden/>
              </w:rPr>
              <w:instrText xml:space="preserve"> PAGEREF _Toc404437616 \h </w:instrText>
            </w:r>
            <w:r w:rsidR="00796FA5">
              <w:rPr>
                <w:noProof/>
                <w:webHidden/>
              </w:rPr>
            </w:r>
            <w:r w:rsidR="00796FA5">
              <w:rPr>
                <w:noProof/>
                <w:webHidden/>
              </w:rPr>
              <w:fldChar w:fldCharType="separate"/>
            </w:r>
            <w:r w:rsidR="003D301A">
              <w:rPr>
                <w:noProof/>
                <w:webHidden/>
              </w:rPr>
              <w:t>35</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17" w:history="1">
            <w:r w:rsidR="00796FA5" w:rsidRPr="007707AC">
              <w:rPr>
                <w:rStyle w:val="Hyperlink"/>
                <w:noProof/>
                <w14:scene3d>
                  <w14:camera w14:prst="orthographicFront"/>
                  <w14:lightRig w14:rig="threePt" w14:dir="t">
                    <w14:rot w14:lat="0" w14:lon="0" w14:rev="0"/>
                  </w14:lightRig>
                </w14:scene3d>
              </w:rPr>
              <w:t>8.2.1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_Toc404437617 \h </w:instrText>
            </w:r>
            <w:r w:rsidR="00796FA5">
              <w:rPr>
                <w:noProof/>
                <w:webHidden/>
              </w:rPr>
            </w:r>
            <w:r w:rsidR="00796FA5">
              <w:rPr>
                <w:noProof/>
                <w:webHidden/>
              </w:rPr>
              <w:fldChar w:fldCharType="separate"/>
            </w:r>
            <w:r w:rsidR="003D301A">
              <w:rPr>
                <w:noProof/>
                <w:webHidden/>
              </w:rPr>
              <w:t>35</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18" w:history="1">
            <w:r w:rsidR="00796FA5" w:rsidRPr="007707AC">
              <w:rPr>
                <w:rStyle w:val="Hyperlink"/>
                <w:noProof/>
                <w14:scene3d>
                  <w14:camera w14:prst="orthographicFront"/>
                  <w14:lightRig w14:rig="threePt" w14:dir="t">
                    <w14:rot w14:lat="0" w14:lon="0" w14:rev="0"/>
                  </w14:lightRig>
                </w14:scene3d>
              </w:rPr>
              <w:t>8.2.2</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_Toc404437618 \h </w:instrText>
            </w:r>
            <w:r w:rsidR="00796FA5">
              <w:rPr>
                <w:noProof/>
                <w:webHidden/>
              </w:rPr>
            </w:r>
            <w:r w:rsidR="00796FA5">
              <w:rPr>
                <w:noProof/>
                <w:webHidden/>
              </w:rPr>
              <w:fldChar w:fldCharType="separate"/>
            </w:r>
            <w:r w:rsidR="003D301A">
              <w:rPr>
                <w:noProof/>
                <w:webHidden/>
              </w:rPr>
              <w:t>37</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19" w:history="1">
            <w:r w:rsidR="00796FA5" w:rsidRPr="007707AC">
              <w:rPr>
                <w:rStyle w:val="Hyperlink"/>
                <w:noProof/>
                <w14:scene3d>
                  <w14:camera w14:prst="orthographicFront"/>
                  <w14:lightRig w14:rig="threePt" w14:dir="t">
                    <w14:rot w14:lat="0" w14:lon="0" w14:rev="0"/>
                  </w14:lightRig>
                </w14:scene3d>
              </w:rPr>
              <w:t>8.3</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Rate of return (return on capital)</w:t>
            </w:r>
            <w:r w:rsidR="00796FA5">
              <w:rPr>
                <w:noProof/>
                <w:webHidden/>
              </w:rPr>
              <w:tab/>
            </w:r>
            <w:r w:rsidR="00796FA5">
              <w:rPr>
                <w:noProof/>
                <w:webHidden/>
              </w:rPr>
              <w:fldChar w:fldCharType="begin"/>
            </w:r>
            <w:r w:rsidR="00796FA5">
              <w:rPr>
                <w:noProof/>
                <w:webHidden/>
              </w:rPr>
              <w:instrText xml:space="preserve"> PAGEREF _Toc404437619 \h </w:instrText>
            </w:r>
            <w:r w:rsidR="00796FA5">
              <w:rPr>
                <w:noProof/>
                <w:webHidden/>
              </w:rPr>
            </w:r>
            <w:r w:rsidR="00796FA5">
              <w:rPr>
                <w:noProof/>
                <w:webHidden/>
              </w:rPr>
              <w:fldChar w:fldCharType="separate"/>
            </w:r>
            <w:r w:rsidR="003D301A">
              <w:rPr>
                <w:noProof/>
                <w:webHidden/>
              </w:rPr>
              <w:t>37</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20" w:history="1">
            <w:r w:rsidR="00796FA5" w:rsidRPr="007707AC">
              <w:rPr>
                <w:rStyle w:val="Hyperlink"/>
                <w:noProof/>
                <w14:scene3d>
                  <w14:camera w14:prst="orthographicFront"/>
                  <w14:lightRig w14:rig="threePt" w14:dir="t">
                    <w14:rot w14:lat="0" w14:lon="0" w14:rev="0"/>
                  </w14:lightRig>
                </w14:scene3d>
              </w:rPr>
              <w:t>8.3.1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_Toc404437620 \h </w:instrText>
            </w:r>
            <w:r w:rsidR="00796FA5">
              <w:rPr>
                <w:noProof/>
                <w:webHidden/>
              </w:rPr>
            </w:r>
            <w:r w:rsidR="00796FA5">
              <w:rPr>
                <w:noProof/>
                <w:webHidden/>
              </w:rPr>
              <w:fldChar w:fldCharType="separate"/>
            </w:r>
            <w:r w:rsidR="003D301A">
              <w:rPr>
                <w:noProof/>
                <w:webHidden/>
              </w:rPr>
              <w:t>37</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21" w:history="1">
            <w:r w:rsidR="00796FA5" w:rsidRPr="007707AC">
              <w:rPr>
                <w:rStyle w:val="Hyperlink"/>
                <w:noProof/>
                <w14:scene3d>
                  <w14:camera w14:prst="orthographicFront"/>
                  <w14:lightRig w14:rig="threePt" w14:dir="t">
                    <w14:rot w14:lat="0" w14:lon="0" w14:rev="0"/>
                  </w14:lightRig>
                </w14:scene3d>
              </w:rPr>
              <w:t>8.3.2</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_Toc404437621 \h </w:instrText>
            </w:r>
            <w:r w:rsidR="00796FA5">
              <w:rPr>
                <w:noProof/>
                <w:webHidden/>
              </w:rPr>
            </w:r>
            <w:r w:rsidR="00796FA5">
              <w:rPr>
                <w:noProof/>
                <w:webHidden/>
              </w:rPr>
              <w:fldChar w:fldCharType="separate"/>
            </w:r>
            <w:r w:rsidR="003D301A">
              <w:rPr>
                <w:noProof/>
                <w:webHidden/>
              </w:rPr>
              <w:t>38</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22" w:history="1">
            <w:r w:rsidR="00796FA5" w:rsidRPr="007707AC">
              <w:rPr>
                <w:rStyle w:val="Hyperlink"/>
                <w:noProof/>
                <w14:scene3d>
                  <w14:camera w14:prst="orthographicFront"/>
                  <w14:lightRig w14:rig="threePt" w14:dir="t">
                    <w14:rot w14:lat="0" w14:lon="0" w14:rev="0"/>
                  </w14:lightRig>
                </w14:scene3d>
              </w:rPr>
              <w:t>8.4</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Value of imputation credits (gamma)</w:t>
            </w:r>
            <w:r w:rsidR="00796FA5">
              <w:rPr>
                <w:noProof/>
                <w:webHidden/>
              </w:rPr>
              <w:tab/>
            </w:r>
            <w:r w:rsidR="00796FA5">
              <w:rPr>
                <w:noProof/>
                <w:webHidden/>
              </w:rPr>
              <w:fldChar w:fldCharType="begin"/>
            </w:r>
            <w:r w:rsidR="00796FA5">
              <w:rPr>
                <w:noProof/>
                <w:webHidden/>
              </w:rPr>
              <w:instrText xml:space="preserve"> PAGEREF _Toc404437622 \h </w:instrText>
            </w:r>
            <w:r w:rsidR="00796FA5">
              <w:rPr>
                <w:noProof/>
                <w:webHidden/>
              </w:rPr>
            </w:r>
            <w:r w:rsidR="00796FA5">
              <w:rPr>
                <w:noProof/>
                <w:webHidden/>
              </w:rPr>
              <w:fldChar w:fldCharType="separate"/>
            </w:r>
            <w:r w:rsidR="003D301A">
              <w:rPr>
                <w:noProof/>
                <w:webHidden/>
              </w:rPr>
              <w:t>41</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23" w:history="1">
            <w:r w:rsidR="00796FA5" w:rsidRPr="007707AC">
              <w:rPr>
                <w:rStyle w:val="Hyperlink"/>
                <w:noProof/>
                <w14:scene3d>
                  <w14:camera w14:prst="orthographicFront"/>
                  <w14:lightRig w14:rig="threePt" w14:dir="t">
                    <w14:rot w14:lat="0" w14:lon="0" w14:rev="0"/>
                  </w14:lightRig>
                </w14:scene3d>
              </w:rPr>
              <w:t>8.4.1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_Toc404437623 \h </w:instrText>
            </w:r>
            <w:r w:rsidR="00796FA5">
              <w:rPr>
                <w:noProof/>
                <w:webHidden/>
              </w:rPr>
            </w:r>
            <w:r w:rsidR="00796FA5">
              <w:rPr>
                <w:noProof/>
                <w:webHidden/>
              </w:rPr>
              <w:fldChar w:fldCharType="separate"/>
            </w:r>
            <w:r w:rsidR="003D301A">
              <w:rPr>
                <w:noProof/>
                <w:webHidden/>
              </w:rPr>
              <w:t>42</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24" w:history="1">
            <w:r w:rsidR="00796FA5" w:rsidRPr="007707AC">
              <w:rPr>
                <w:rStyle w:val="Hyperlink"/>
                <w:noProof/>
                <w14:scene3d>
                  <w14:camera w14:prst="orthographicFront"/>
                  <w14:lightRig w14:rig="threePt" w14:dir="t">
                    <w14:rot w14:lat="0" w14:lon="0" w14:rev="0"/>
                  </w14:lightRig>
                </w14:scene3d>
              </w:rPr>
              <w:t>8.4.2</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_Toc404437624 \h </w:instrText>
            </w:r>
            <w:r w:rsidR="00796FA5">
              <w:rPr>
                <w:noProof/>
                <w:webHidden/>
              </w:rPr>
            </w:r>
            <w:r w:rsidR="00796FA5">
              <w:rPr>
                <w:noProof/>
                <w:webHidden/>
              </w:rPr>
              <w:fldChar w:fldCharType="separate"/>
            </w:r>
            <w:r w:rsidR="003D301A">
              <w:rPr>
                <w:noProof/>
                <w:webHidden/>
              </w:rPr>
              <w:t>42</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25" w:history="1">
            <w:r w:rsidR="00796FA5" w:rsidRPr="007707AC">
              <w:rPr>
                <w:rStyle w:val="Hyperlink"/>
                <w:noProof/>
                <w14:scene3d>
                  <w14:camera w14:prst="orthographicFront"/>
                  <w14:lightRig w14:rig="threePt" w14:dir="t">
                    <w14:rot w14:lat="0" w14:lon="0" w14:rev="0"/>
                  </w14:lightRig>
                </w14:scene3d>
              </w:rPr>
              <w:t>8.5</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Regulatory depreciation (return of capital)</w:t>
            </w:r>
            <w:r w:rsidR="00796FA5">
              <w:rPr>
                <w:noProof/>
                <w:webHidden/>
              </w:rPr>
              <w:tab/>
            </w:r>
            <w:r w:rsidR="00796FA5">
              <w:rPr>
                <w:noProof/>
                <w:webHidden/>
              </w:rPr>
              <w:fldChar w:fldCharType="begin"/>
            </w:r>
            <w:r w:rsidR="00796FA5">
              <w:rPr>
                <w:noProof/>
                <w:webHidden/>
              </w:rPr>
              <w:instrText xml:space="preserve"> PAGEREF _Toc404437625 \h </w:instrText>
            </w:r>
            <w:r w:rsidR="00796FA5">
              <w:rPr>
                <w:noProof/>
                <w:webHidden/>
              </w:rPr>
            </w:r>
            <w:r w:rsidR="00796FA5">
              <w:rPr>
                <w:noProof/>
                <w:webHidden/>
              </w:rPr>
              <w:fldChar w:fldCharType="separate"/>
            </w:r>
            <w:r w:rsidR="003D301A">
              <w:rPr>
                <w:noProof/>
                <w:webHidden/>
              </w:rPr>
              <w:t>43</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26" w:history="1">
            <w:r w:rsidR="00796FA5" w:rsidRPr="007707AC">
              <w:rPr>
                <w:rStyle w:val="Hyperlink"/>
                <w:noProof/>
                <w14:scene3d>
                  <w14:camera w14:prst="orthographicFront"/>
                  <w14:lightRig w14:rig="threePt" w14:dir="t">
                    <w14:rot w14:lat="0" w14:lon="0" w14:rev="0"/>
                  </w14:lightRig>
                </w14:scene3d>
              </w:rPr>
              <w:t>8.5.1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_Toc404437626 \h </w:instrText>
            </w:r>
            <w:r w:rsidR="00796FA5">
              <w:rPr>
                <w:noProof/>
                <w:webHidden/>
              </w:rPr>
            </w:r>
            <w:r w:rsidR="00796FA5">
              <w:rPr>
                <w:noProof/>
                <w:webHidden/>
              </w:rPr>
              <w:fldChar w:fldCharType="separate"/>
            </w:r>
            <w:r w:rsidR="003D301A">
              <w:rPr>
                <w:noProof/>
                <w:webHidden/>
              </w:rPr>
              <w:t>44</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27" w:history="1">
            <w:r w:rsidR="00796FA5" w:rsidRPr="007707AC">
              <w:rPr>
                <w:rStyle w:val="Hyperlink"/>
                <w:noProof/>
                <w14:scene3d>
                  <w14:camera w14:prst="orthographicFront"/>
                  <w14:lightRig w14:rig="threePt" w14:dir="t">
                    <w14:rot w14:lat="0" w14:lon="0" w14:rev="0"/>
                  </w14:lightRig>
                </w14:scene3d>
              </w:rPr>
              <w:t>8.5.2</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_Toc404437627 \h </w:instrText>
            </w:r>
            <w:r w:rsidR="00796FA5">
              <w:rPr>
                <w:noProof/>
                <w:webHidden/>
              </w:rPr>
            </w:r>
            <w:r w:rsidR="00796FA5">
              <w:rPr>
                <w:noProof/>
                <w:webHidden/>
              </w:rPr>
              <w:fldChar w:fldCharType="separate"/>
            </w:r>
            <w:r w:rsidR="003D301A">
              <w:rPr>
                <w:noProof/>
                <w:webHidden/>
              </w:rPr>
              <w:t>44</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28" w:history="1">
            <w:r w:rsidR="00796FA5" w:rsidRPr="007707AC">
              <w:rPr>
                <w:rStyle w:val="Hyperlink"/>
                <w:noProof/>
                <w14:scene3d>
                  <w14:camera w14:prst="orthographicFront"/>
                  <w14:lightRig w14:rig="threePt" w14:dir="t">
                    <w14:rot w14:lat="0" w14:lon="0" w14:rev="0"/>
                  </w14:lightRig>
                </w14:scene3d>
              </w:rPr>
              <w:t>8.6</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Capital expenditure</w:t>
            </w:r>
            <w:r w:rsidR="00796FA5">
              <w:rPr>
                <w:noProof/>
                <w:webHidden/>
              </w:rPr>
              <w:tab/>
            </w:r>
            <w:r w:rsidR="00796FA5">
              <w:rPr>
                <w:noProof/>
                <w:webHidden/>
              </w:rPr>
              <w:fldChar w:fldCharType="begin"/>
            </w:r>
            <w:r w:rsidR="00796FA5">
              <w:rPr>
                <w:noProof/>
                <w:webHidden/>
              </w:rPr>
              <w:instrText xml:space="preserve"> PAGEREF _Toc404437628 \h </w:instrText>
            </w:r>
            <w:r w:rsidR="00796FA5">
              <w:rPr>
                <w:noProof/>
                <w:webHidden/>
              </w:rPr>
            </w:r>
            <w:r w:rsidR="00796FA5">
              <w:rPr>
                <w:noProof/>
                <w:webHidden/>
              </w:rPr>
              <w:fldChar w:fldCharType="separate"/>
            </w:r>
            <w:r w:rsidR="003D301A">
              <w:rPr>
                <w:noProof/>
                <w:webHidden/>
              </w:rPr>
              <w:t>45</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29" w:history="1">
            <w:r w:rsidR="00796FA5" w:rsidRPr="007707AC">
              <w:rPr>
                <w:rStyle w:val="Hyperlink"/>
                <w:noProof/>
                <w14:scene3d>
                  <w14:camera w14:prst="orthographicFront"/>
                  <w14:lightRig w14:rig="threePt" w14:dir="t">
                    <w14:rot w14:lat="0" w14:lon="0" w14:rev="0"/>
                  </w14:lightRig>
                </w14:scene3d>
              </w:rPr>
              <w:t>8.6.1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_Toc404437629 \h </w:instrText>
            </w:r>
            <w:r w:rsidR="00796FA5">
              <w:rPr>
                <w:noProof/>
                <w:webHidden/>
              </w:rPr>
            </w:r>
            <w:r w:rsidR="00796FA5">
              <w:rPr>
                <w:noProof/>
                <w:webHidden/>
              </w:rPr>
              <w:fldChar w:fldCharType="separate"/>
            </w:r>
            <w:r w:rsidR="003D301A">
              <w:rPr>
                <w:noProof/>
                <w:webHidden/>
              </w:rPr>
              <w:t>45</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30" w:history="1">
            <w:r w:rsidR="00796FA5" w:rsidRPr="007707AC">
              <w:rPr>
                <w:rStyle w:val="Hyperlink"/>
                <w:noProof/>
                <w14:scene3d>
                  <w14:camera w14:prst="orthographicFront"/>
                  <w14:lightRig w14:rig="threePt" w14:dir="t">
                    <w14:rot w14:lat="0" w14:lon="0" w14:rev="0"/>
                  </w14:lightRig>
                </w14:scene3d>
              </w:rPr>
              <w:t>8.6.2</w:t>
            </w:r>
            <w:r w:rsidR="00796FA5">
              <w:rPr>
                <w:rFonts w:asciiTheme="minorHAnsi" w:eastAsiaTheme="minorEastAsia" w:hAnsiTheme="minorHAnsi" w:cstheme="minorBidi"/>
                <w:noProof/>
                <w:sz w:val="22"/>
                <w:szCs w:val="22"/>
                <w:lang w:eastAsia="en-AU"/>
              </w:rPr>
              <w:tab/>
            </w:r>
            <w:r w:rsidR="00796FA5" w:rsidRPr="007707AC">
              <w:rPr>
                <w:rStyle w:val="Hyperlink"/>
                <w:noProof/>
              </w:rPr>
              <w:t>Comparison of historical and forecast capital expenditure</w:t>
            </w:r>
            <w:r w:rsidR="00796FA5">
              <w:rPr>
                <w:noProof/>
                <w:webHidden/>
              </w:rPr>
              <w:tab/>
            </w:r>
            <w:r w:rsidR="00796FA5">
              <w:rPr>
                <w:noProof/>
                <w:webHidden/>
              </w:rPr>
              <w:fldChar w:fldCharType="begin"/>
            </w:r>
            <w:r w:rsidR="00796FA5">
              <w:rPr>
                <w:noProof/>
                <w:webHidden/>
              </w:rPr>
              <w:instrText xml:space="preserve"> PAGEREF _Toc404437630 \h </w:instrText>
            </w:r>
            <w:r w:rsidR="00796FA5">
              <w:rPr>
                <w:noProof/>
                <w:webHidden/>
              </w:rPr>
            </w:r>
            <w:r w:rsidR="00796FA5">
              <w:rPr>
                <w:noProof/>
                <w:webHidden/>
              </w:rPr>
              <w:fldChar w:fldCharType="separate"/>
            </w:r>
            <w:r w:rsidR="003D301A">
              <w:rPr>
                <w:noProof/>
                <w:webHidden/>
              </w:rPr>
              <w:t>45</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31" w:history="1">
            <w:r w:rsidR="00796FA5" w:rsidRPr="007707AC">
              <w:rPr>
                <w:rStyle w:val="Hyperlink"/>
                <w:noProof/>
                <w14:scene3d>
                  <w14:camera w14:prst="orthographicFront"/>
                  <w14:lightRig w14:rig="threePt" w14:dir="t">
                    <w14:rot w14:lat="0" w14:lon="0" w14:rev="0"/>
                  </w14:lightRig>
                </w14:scene3d>
              </w:rPr>
              <w:t>8.6.3</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_Toc404437631 \h </w:instrText>
            </w:r>
            <w:r w:rsidR="00796FA5">
              <w:rPr>
                <w:noProof/>
                <w:webHidden/>
              </w:rPr>
            </w:r>
            <w:r w:rsidR="00796FA5">
              <w:rPr>
                <w:noProof/>
                <w:webHidden/>
              </w:rPr>
              <w:fldChar w:fldCharType="separate"/>
            </w:r>
            <w:r w:rsidR="003D301A">
              <w:rPr>
                <w:noProof/>
                <w:webHidden/>
              </w:rPr>
              <w:t>46</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32" w:history="1">
            <w:r w:rsidR="00796FA5" w:rsidRPr="007707AC">
              <w:rPr>
                <w:rStyle w:val="Hyperlink"/>
                <w:noProof/>
                <w14:scene3d>
                  <w14:camera w14:prst="orthographicFront"/>
                  <w14:lightRig w14:rig="threePt" w14:dir="t">
                    <w14:rot w14:lat="0" w14:lon="0" w14:rev="0"/>
                  </w14:lightRig>
                </w14:scene3d>
              </w:rPr>
              <w:t>8.7</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Operating expenditure (opex)</w:t>
            </w:r>
            <w:r w:rsidR="00796FA5">
              <w:rPr>
                <w:noProof/>
                <w:webHidden/>
              </w:rPr>
              <w:tab/>
            </w:r>
            <w:r w:rsidR="00796FA5">
              <w:rPr>
                <w:noProof/>
                <w:webHidden/>
              </w:rPr>
              <w:fldChar w:fldCharType="begin"/>
            </w:r>
            <w:r w:rsidR="00796FA5">
              <w:rPr>
                <w:noProof/>
                <w:webHidden/>
              </w:rPr>
              <w:instrText xml:space="preserve"> PAGEREF _Toc404437632 \h </w:instrText>
            </w:r>
            <w:r w:rsidR="00796FA5">
              <w:rPr>
                <w:noProof/>
                <w:webHidden/>
              </w:rPr>
            </w:r>
            <w:r w:rsidR="00796FA5">
              <w:rPr>
                <w:noProof/>
                <w:webHidden/>
              </w:rPr>
              <w:fldChar w:fldCharType="separate"/>
            </w:r>
            <w:r w:rsidR="003D301A">
              <w:rPr>
                <w:noProof/>
                <w:webHidden/>
              </w:rPr>
              <w:t>49</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33" w:history="1">
            <w:r w:rsidR="00796FA5" w:rsidRPr="007707AC">
              <w:rPr>
                <w:rStyle w:val="Hyperlink"/>
                <w:noProof/>
                <w14:scene3d>
                  <w14:camera w14:prst="orthographicFront"/>
                  <w14:lightRig w14:rig="threePt" w14:dir="t">
                    <w14:rot w14:lat="0" w14:lon="0" w14:rev="0"/>
                  </w14:lightRig>
                </w14:scene3d>
              </w:rPr>
              <w:t>8.7.1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_Toc404437633 \h </w:instrText>
            </w:r>
            <w:r w:rsidR="00796FA5">
              <w:rPr>
                <w:noProof/>
                <w:webHidden/>
              </w:rPr>
            </w:r>
            <w:r w:rsidR="00796FA5">
              <w:rPr>
                <w:noProof/>
                <w:webHidden/>
              </w:rPr>
              <w:fldChar w:fldCharType="separate"/>
            </w:r>
            <w:r w:rsidR="003D301A">
              <w:rPr>
                <w:noProof/>
                <w:webHidden/>
              </w:rPr>
              <w:t>49</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34" w:history="1">
            <w:r w:rsidR="00796FA5" w:rsidRPr="007707AC">
              <w:rPr>
                <w:rStyle w:val="Hyperlink"/>
                <w:noProof/>
                <w14:scene3d>
                  <w14:camera w14:prst="orthographicFront"/>
                  <w14:lightRig w14:rig="threePt" w14:dir="t">
                    <w14:rot w14:lat="0" w14:lon="0" w14:rev="0"/>
                  </w14:lightRig>
                </w14:scene3d>
              </w:rPr>
              <w:t>8.7.2</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_Toc404437634 \h </w:instrText>
            </w:r>
            <w:r w:rsidR="00796FA5">
              <w:rPr>
                <w:noProof/>
                <w:webHidden/>
              </w:rPr>
            </w:r>
            <w:r w:rsidR="00796FA5">
              <w:rPr>
                <w:noProof/>
                <w:webHidden/>
              </w:rPr>
              <w:fldChar w:fldCharType="separate"/>
            </w:r>
            <w:r w:rsidR="003D301A">
              <w:rPr>
                <w:noProof/>
                <w:webHidden/>
              </w:rPr>
              <w:t>50</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35" w:history="1">
            <w:r w:rsidR="00796FA5" w:rsidRPr="007707AC">
              <w:rPr>
                <w:rStyle w:val="Hyperlink"/>
                <w:noProof/>
                <w14:scene3d>
                  <w14:camera w14:prst="orthographicFront"/>
                  <w14:lightRig w14:rig="threePt" w14:dir="t">
                    <w14:rot w14:lat="0" w14:lon="0" w14:rev="0"/>
                  </w14:lightRig>
                </w14:scene3d>
              </w:rPr>
              <w:t>8.8</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Corporate income tax</w:t>
            </w:r>
            <w:r w:rsidR="00796FA5">
              <w:rPr>
                <w:noProof/>
                <w:webHidden/>
              </w:rPr>
              <w:tab/>
            </w:r>
            <w:r w:rsidR="00796FA5">
              <w:rPr>
                <w:noProof/>
                <w:webHidden/>
              </w:rPr>
              <w:fldChar w:fldCharType="begin"/>
            </w:r>
            <w:r w:rsidR="00796FA5">
              <w:rPr>
                <w:noProof/>
                <w:webHidden/>
              </w:rPr>
              <w:instrText xml:space="preserve"> PAGEREF _Toc404437635 \h </w:instrText>
            </w:r>
            <w:r w:rsidR="00796FA5">
              <w:rPr>
                <w:noProof/>
                <w:webHidden/>
              </w:rPr>
            </w:r>
            <w:r w:rsidR="00796FA5">
              <w:rPr>
                <w:noProof/>
                <w:webHidden/>
              </w:rPr>
              <w:fldChar w:fldCharType="separate"/>
            </w:r>
            <w:r w:rsidR="003D301A">
              <w:rPr>
                <w:noProof/>
                <w:webHidden/>
              </w:rPr>
              <w:t>51</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36" w:history="1">
            <w:r w:rsidR="00796FA5" w:rsidRPr="007707AC">
              <w:rPr>
                <w:rStyle w:val="Hyperlink"/>
                <w:noProof/>
                <w14:scene3d>
                  <w14:camera w14:prst="orthographicFront"/>
                  <w14:lightRig w14:rig="threePt" w14:dir="t">
                    <w14:rot w14:lat="0" w14:lon="0" w14:rev="0"/>
                  </w14:lightRig>
                </w14:scene3d>
              </w:rPr>
              <w:t>8.8.1</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_Toc404437636 \h </w:instrText>
            </w:r>
            <w:r w:rsidR="00796FA5">
              <w:rPr>
                <w:noProof/>
                <w:webHidden/>
              </w:rPr>
            </w:r>
            <w:r w:rsidR="00796FA5">
              <w:rPr>
                <w:noProof/>
                <w:webHidden/>
              </w:rPr>
              <w:fldChar w:fldCharType="separate"/>
            </w:r>
            <w:r w:rsidR="003D301A">
              <w:rPr>
                <w:noProof/>
                <w:webHidden/>
              </w:rPr>
              <w:t>52</w:t>
            </w:r>
            <w:r w:rsidR="00796FA5">
              <w:rPr>
                <w:noProof/>
                <w:webHidden/>
              </w:rPr>
              <w:fldChar w:fldCharType="end"/>
            </w:r>
          </w:hyperlink>
        </w:p>
        <w:p w:rsidR="00796FA5" w:rsidRDefault="00864D5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637" w:history="1">
            <w:r w:rsidR="00796FA5" w:rsidRPr="007707AC">
              <w:rPr>
                <w:rStyle w:val="Hyperlink"/>
                <w:noProof/>
              </w:rPr>
              <w:t>9</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Incentive schemes</w:t>
            </w:r>
            <w:r w:rsidR="00796FA5">
              <w:rPr>
                <w:noProof/>
                <w:webHidden/>
              </w:rPr>
              <w:tab/>
            </w:r>
            <w:r w:rsidR="00796FA5">
              <w:rPr>
                <w:noProof/>
                <w:webHidden/>
              </w:rPr>
              <w:fldChar w:fldCharType="begin"/>
            </w:r>
            <w:r w:rsidR="00796FA5">
              <w:rPr>
                <w:noProof/>
                <w:webHidden/>
              </w:rPr>
              <w:instrText xml:space="preserve"> PAGEREF _Toc404437637 \h </w:instrText>
            </w:r>
            <w:r w:rsidR="00796FA5">
              <w:rPr>
                <w:noProof/>
                <w:webHidden/>
              </w:rPr>
            </w:r>
            <w:r w:rsidR="00796FA5">
              <w:rPr>
                <w:noProof/>
                <w:webHidden/>
              </w:rPr>
              <w:fldChar w:fldCharType="separate"/>
            </w:r>
            <w:r w:rsidR="003D301A">
              <w:rPr>
                <w:noProof/>
                <w:webHidden/>
              </w:rPr>
              <w:t>53</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38" w:history="1">
            <w:r w:rsidR="00796FA5" w:rsidRPr="007707AC">
              <w:rPr>
                <w:rStyle w:val="Hyperlink"/>
                <w:noProof/>
                <w14:scene3d>
                  <w14:camera w14:prst="orthographicFront"/>
                  <w14:lightRig w14:rig="threePt" w14:dir="t">
                    <w14:rot w14:lat="0" w14:lon="0" w14:rev="0"/>
                  </w14:lightRig>
                </w14:scene3d>
              </w:rPr>
              <w:t>9.1</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Efficiency benefit sharing scheme</w:t>
            </w:r>
            <w:r w:rsidR="00796FA5">
              <w:rPr>
                <w:noProof/>
                <w:webHidden/>
              </w:rPr>
              <w:tab/>
            </w:r>
            <w:r w:rsidR="00796FA5">
              <w:rPr>
                <w:noProof/>
                <w:webHidden/>
              </w:rPr>
              <w:fldChar w:fldCharType="begin"/>
            </w:r>
            <w:r w:rsidR="00796FA5">
              <w:rPr>
                <w:noProof/>
                <w:webHidden/>
              </w:rPr>
              <w:instrText xml:space="preserve"> PAGEREF _Toc404437638 \h </w:instrText>
            </w:r>
            <w:r w:rsidR="00796FA5">
              <w:rPr>
                <w:noProof/>
                <w:webHidden/>
              </w:rPr>
            </w:r>
            <w:r w:rsidR="00796FA5">
              <w:rPr>
                <w:noProof/>
                <w:webHidden/>
              </w:rPr>
              <w:fldChar w:fldCharType="separate"/>
            </w:r>
            <w:r w:rsidR="003D301A">
              <w:rPr>
                <w:noProof/>
                <w:webHidden/>
              </w:rPr>
              <w:t>53</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39" w:history="1">
            <w:r w:rsidR="00796FA5" w:rsidRPr="007707AC">
              <w:rPr>
                <w:rStyle w:val="Hyperlink"/>
                <w:noProof/>
                <w14:scene3d>
                  <w14:camera w14:prst="orthographicFront"/>
                  <w14:lightRig w14:rig="threePt" w14:dir="t">
                    <w14:rot w14:lat="0" w14:lon="0" w14:rev="0"/>
                  </w14:lightRig>
                </w14:scene3d>
              </w:rPr>
              <w:t>9.1.1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 and reasons for decision</w:t>
            </w:r>
            <w:r w:rsidR="00796FA5">
              <w:rPr>
                <w:noProof/>
                <w:webHidden/>
              </w:rPr>
              <w:tab/>
            </w:r>
            <w:r w:rsidR="00796FA5">
              <w:rPr>
                <w:noProof/>
                <w:webHidden/>
              </w:rPr>
              <w:fldChar w:fldCharType="begin"/>
            </w:r>
            <w:r w:rsidR="00796FA5">
              <w:rPr>
                <w:noProof/>
                <w:webHidden/>
              </w:rPr>
              <w:instrText xml:space="preserve"> PAGEREF _Toc404437639 \h </w:instrText>
            </w:r>
            <w:r w:rsidR="00796FA5">
              <w:rPr>
                <w:noProof/>
                <w:webHidden/>
              </w:rPr>
            </w:r>
            <w:r w:rsidR="00796FA5">
              <w:rPr>
                <w:noProof/>
                <w:webHidden/>
              </w:rPr>
              <w:fldChar w:fldCharType="separate"/>
            </w:r>
            <w:r w:rsidR="003D301A">
              <w:rPr>
                <w:noProof/>
                <w:webHidden/>
              </w:rPr>
              <w:t>53</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40" w:history="1">
            <w:r w:rsidR="00796FA5" w:rsidRPr="007707AC">
              <w:rPr>
                <w:rStyle w:val="Hyperlink"/>
                <w:noProof/>
                <w14:scene3d>
                  <w14:camera w14:prst="orthographicFront"/>
                  <w14:lightRig w14:rig="threePt" w14:dir="t">
                    <w14:rot w14:lat="0" w14:lon="0" w14:rev="0"/>
                  </w14:lightRig>
                </w14:scene3d>
              </w:rPr>
              <w:t>9.2</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Capital expenditure sharing scheme</w:t>
            </w:r>
            <w:r w:rsidR="00796FA5">
              <w:rPr>
                <w:noProof/>
                <w:webHidden/>
              </w:rPr>
              <w:tab/>
            </w:r>
            <w:r w:rsidR="00796FA5">
              <w:rPr>
                <w:noProof/>
                <w:webHidden/>
              </w:rPr>
              <w:fldChar w:fldCharType="begin"/>
            </w:r>
            <w:r w:rsidR="00796FA5">
              <w:rPr>
                <w:noProof/>
                <w:webHidden/>
              </w:rPr>
              <w:instrText xml:space="preserve"> PAGEREF _Toc404437640 \h </w:instrText>
            </w:r>
            <w:r w:rsidR="00796FA5">
              <w:rPr>
                <w:noProof/>
                <w:webHidden/>
              </w:rPr>
            </w:r>
            <w:r w:rsidR="00796FA5">
              <w:rPr>
                <w:noProof/>
                <w:webHidden/>
              </w:rPr>
              <w:fldChar w:fldCharType="separate"/>
            </w:r>
            <w:r w:rsidR="003D301A">
              <w:rPr>
                <w:noProof/>
                <w:webHidden/>
              </w:rPr>
              <w:t>54</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41" w:history="1">
            <w:r w:rsidR="00796FA5" w:rsidRPr="007707AC">
              <w:rPr>
                <w:rStyle w:val="Hyperlink"/>
                <w:noProof/>
                <w14:scene3d>
                  <w14:camera w14:prst="orthographicFront"/>
                  <w14:lightRig w14:rig="threePt" w14:dir="t">
                    <w14:rot w14:lat="0" w14:lon="0" w14:rev="0"/>
                  </w14:lightRig>
                </w14:scene3d>
              </w:rPr>
              <w:t>9.2.1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_Toc404437641 \h </w:instrText>
            </w:r>
            <w:r w:rsidR="00796FA5">
              <w:rPr>
                <w:noProof/>
                <w:webHidden/>
              </w:rPr>
            </w:r>
            <w:r w:rsidR="00796FA5">
              <w:rPr>
                <w:noProof/>
                <w:webHidden/>
              </w:rPr>
              <w:fldChar w:fldCharType="separate"/>
            </w:r>
            <w:r w:rsidR="003D301A">
              <w:rPr>
                <w:noProof/>
                <w:webHidden/>
              </w:rPr>
              <w:t>54</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42" w:history="1">
            <w:r w:rsidR="00796FA5" w:rsidRPr="007707AC">
              <w:rPr>
                <w:rStyle w:val="Hyperlink"/>
                <w:noProof/>
                <w14:scene3d>
                  <w14:camera w14:prst="orthographicFront"/>
                  <w14:lightRig w14:rig="threePt" w14:dir="t">
                    <w14:rot w14:lat="0" w14:lon="0" w14:rev="0"/>
                  </w14:lightRig>
                </w14:scene3d>
              </w:rPr>
              <w:t>9.2.2</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_Toc404437642 \h </w:instrText>
            </w:r>
            <w:r w:rsidR="00796FA5">
              <w:rPr>
                <w:noProof/>
                <w:webHidden/>
              </w:rPr>
            </w:r>
            <w:r w:rsidR="00796FA5">
              <w:rPr>
                <w:noProof/>
                <w:webHidden/>
              </w:rPr>
              <w:fldChar w:fldCharType="separate"/>
            </w:r>
            <w:r w:rsidR="003D301A">
              <w:rPr>
                <w:noProof/>
                <w:webHidden/>
              </w:rPr>
              <w:t>55</w:t>
            </w:r>
            <w:r w:rsidR="00796FA5">
              <w:rPr>
                <w:noProof/>
                <w:webHidden/>
              </w:rPr>
              <w:fldChar w:fldCharType="end"/>
            </w:r>
          </w:hyperlink>
        </w:p>
        <w:p w:rsidR="00796FA5" w:rsidRDefault="00864D5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643" w:history="1">
            <w:r w:rsidR="00796FA5" w:rsidRPr="007707AC">
              <w:rPr>
                <w:rStyle w:val="Hyperlink"/>
                <w:noProof/>
                <w14:scene3d>
                  <w14:camera w14:prst="orthographicFront"/>
                  <w14:lightRig w14:rig="threePt" w14:dir="t">
                    <w14:rot w14:lat="0" w14:lon="0" w14:rev="0"/>
                  </w14:lightRig>
                </w14:scene3d>
              </w:rPr>
              <w:t>9.3</w:t>
            </w:r>
            <w:r w:rsidR="00796FA5">
              <w:rPr>
                <w:rFonts w:asciiTheme="minorHAnsi" w:eastAsiaTheme="minorEastAsia" w:hAnsiTheme="minorHAnsi" w:cstheme="minorBidi"/>
                <w:iCs w:val="0"/>
                <w:noProof/>
                <w:sz w:val="22"/>
                <w:szCs w:val="22"/>
                <w:lang w:eastAsia="en-AU"/>
              </w:rPr>
              <w:tab/>
            </w:r>
            <w:r w:rsidR="00796FA5" w:rsidRPr="007707AC">
              <w:rPr>
                <w:rStyle w:val="Hyperlink"/>
                <w:noProof/>
              </w:rPr>
              <w:t>Service target performance incentive scheme</w:t>
            </w:r>
            <w:r w:rsidR="00796FA5">
              <w:rPr>
                <w:noProof/>
                <w:webHidden/>
              </w:rPr>
              <w:tab/>
            </w:r>
            <w:r w:rsidR="00796FA5">
              <w:rPr>
                <w:noProof/>
                <w:webHidden/>
              </w:rPr>
              <w:fldChar w:fldCharType="begin"/>
            </w:r>
            <w:r w:rsidR="00796FA5">
              <w:rPr>
                <w:noProof/>
                <w:webHidden/>
              </w:rPr>
              <w:instrText xml:space="preserve"> PAGEREF _Toc404437643 \h </w:instrText>
            </w:r>
            <w:r w:rsidR="00796FA5">
              <w:rPr>
                <w:noProof/>
                <w:webHidden/>
              </w:rPr>
            </w:r>
            <w:r w:rsidR="00796FA5">
              <w:rPr>
                <w:noProof/>
                <w:webHidden/>
              </w:rPr>
              <w:fldChar w:fldCharType="separate"/>
            </w:r>
            <w:r w:rsidR="003D301A">
              <w:rPr>
                <w:noProof/>
                <w:webHidden/>
              </w:rPr>
              <w:t>55</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44" w:history="1">
            <w:r w:rsidR="00796FA5" w:rsidRPr="007707AC">
              <w:rPr>
                <w:rStyle w:val="Hyperlink"/>
                <w:noProof/>
                <w14:scene3d>
                  <w14:camera w14:prst="orthographicFront"/>
                  <w14:lightRig w14:rig="threePt" w14:dir="t">
                    <w14:rot w14:lat="0" w14:lon="0" w14:rev="0"/>
                  </w14:lightRig>
                </w14:scene3d>
              </w:rPr>
              <w:t>9.3.1</w:t>
            </w:r>
            <w:r w:rsidR="00796FA5">
              <w:rPr>
                <w:rFonts w:asciiTheme="minorHAnsi" w:eastAsiaTheme="minorEastAsia" w:hAnsiTheme="minorHAnsi" w:cstheme="minorBidi"/>
                <w:noProof/>
                <w:sz w:val="22"/>
                <w:szCs w:val="22"/>
                <w:lang w:eastAsia="en-AU"/>
              </w:rPr>
              <w:tab/>
            </w:r>
            <w:r w:rsidR="00796FA5" w:rsidRPr="007707AC">
              <w:rPr>
                <w:rStyle w:val="Hyperlink"/>
                <w:noProof/>
              </w:rPr>
              <w:t>Draft decision</w:t>
            </w:r>
            <w:r w:rsidR="00796FA5">
              <w:rPr>
                <w:noProof/>
                <w:webHidden/>
              </w:rPr>
              <w:tab/>
            </w:r>
            <w:r w:rsidR="00796FA5">
              <w:rPr>
                <w:noProof/>
                <w:webHidden/>
              </w:rPr>
              <w:fldChar w:fldCharType="begin"/>
            </w:r>
            <w:r w:rsidR="00796FA5">
              <w:rPr>
                <w:noProof/>
                <w:webHidden/>
              </w:rPr>
              <w:instrText xml:space="preserve"> PAGEREF _Toc404437644 \h </w:instrText>
            </w:r>
            <w:r w:rsidR="00796FA5">
              <w:rPr>
                <w:noProof/>
                <w:webHidden/>
              </w:rPr>
            </w:r>
            <w:r w:rsidR="00796FA5">
              <w:rPr>
                <w:noProof/>
                <w:webHidden/>
              </w:rPr>
              <w:fldChar w:fldCharType="separate"/>
            </w:r>
            <w:r w:rsidR="003D301A">
              <w:rPr>
                <w:noProof/>
                <w:webHidden/>
              </w:rPr>
              <w:t>55</w:t>
            </w:r>
            <w:r w:rsidR="00796FA5">
              <w:rPr>
                <w:noProof/>
                <w:webHidden/>
              </w:rPr>
              <w:fldChar w:fldCharType="end"/>
            </w:r>
          </w:hyperlink>
        </w:p>
        <w:p w:rsidR="00796FA5" w:rsidRDefault="00864D5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645" w:history="1">
            <w:r w:rsidR="00796FA5" w:rsidRPr="007707AC">
              <w:rPr>
                <w:rStyle w:val="Hyperlink"/>
                <w:noProof/>
                <w14:scene3d>
                  <w14:camera w14:prst="orthographicFront"/>
                  <w14:lightRig w14:rig="threePt" w14:dir="t">
                    <w14:rot w14:lat="0" w14:lon="0" w14:rev="0"/>
                  </w14:lightRig>
                </w14:scene3d>
              </w:rPr>
              <w:t>9.3.2</w:t>
            </w:r>
            <w:r w:rsidR="00796FA5">
              <w:rPr>
                <w:rFonts w:asciiTheme="minorHAnsi" w:eastAsiaTheme="minorEastAsia" w:hAnsiTheme="minorHAnsi" w:cstheme="minorBidi"/>
                <w:noProof/>
                <w:sz w:val="22"/>
                <w:szCs w:val="22"/>
                <w:lang w:eastAsia="en-AU"/>
              </w:rPr>
              <w:tab/>
            </w:r>
            <w:r w:rsidR="00796FA5" w:rsidRPr="007707AC">
              <w:rPr>
                <w:rStyle w:val="Hyperlink"/>
                <w:noProof/>
              </w:rPr>
              <w:t>Summary of analysis and reasons</w:t>
            </w:r>
            <w:r w:rsidR="00796FA5">
              <w:rPr>
                <w:noProof/>
                <w:webHidden/>
              </w:rPr>
              <w:tab/>
            </w:r>
            <w:r w:rsidR="00796FA5">
              <w:rPr>
                <w:noProof/>
                <w:webHidden/>
              </w:rPr>
              <w:fldChar w:fldCharType="begin"/>
            </w:r>
            <w:r w:rsidR="00796FA5">
              <w:rPr>
                <w:noProof/>
                <w:webHidden/>
              </w:rPr>
              <w:instrText xml:space="preserve"> PAGEREF _Toc404437645 \h </w:instrText>
            </w:r>
            <w:r w:rsidR="00796FA5">
              <w:rPr>
                <w:noProof/>
                <w:webHidden/>
              </w:rPr>
            </w:r>
            <w:r w:rsidR="00796FA5">
              <w:rPr>
                <w:noProof/>
                <w:webHidden/>
              </w:rPr>
              <w:fldChar w:fldCharType="separate"/>
            </w:r>
            <w:r w:rsidR="003D301A">
              <w:rPr>
                <w:noProof/>
                <w:webHidden/>
              </w:rPr>
              <w:t>56</w:t>
            </w:r>
            <w:r w:rsidR="00796FA5">
              <w:rPr>
                <w:noProof/>
                <w:webHidden/>
              </w:rPr>
              <w:fldChar w:fldCharType="end"/>
            </w:r>
          </w:hyperlink>
        </w:p>
        <w:p w:rsidR="00796FA5" w:rsidRDefault="00864D56">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437646" w:history="1">
            <w:r w:rsidR="00796FA5" w:rsidRPr="007707AC">
              <w:rPr>
                <w:rStyle w:val="Hyperlink"/>
                <w:noProof/>
              </w:rPr>
              <w:t>10</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Consumer engagement</w:t>
            </w:r>
            <w:r w:rsidR="00796FA5">
              <w:rPr>
                <w:noProof/>
                <w:webHidden/>
              </w:rPr>
              <w:tab/>
            </w:r>
            <w:r w:rsidR="00796FA5">
              <w:rPr>
                <w:noProof/>
                <w:webHidden/>
              </w:rPr>
              <w:fldChar w:fldCharType="begin"/>
            </w:r>
            <w:r w:rsidR="00796FA5">
              <w:rPr>
                <w:noProof/>
                <w:webHidden/>
              </w:rPr>
              <w:instrText xml:space="preserve"> PAGEREF _Toc404437646 \h </w:instrText>
            </w:r>
            <w:r w:rsidR="00796FA5">
              <w:rPr>
                <w:noProof/>
                <w:webHidden/>
              </w:rPr>
            </w:r>
            <w:r w:rsidR="00796FA5">
              <w:rPr>
                <w:noProof/>
                <w:webHidden/>
              </w:rPr>
              <w:fldChar w:fldCharType="separate"/>
            </w:r>
            <w:r w:rsidR="003D301A">
              <w:rPr>
                <w:noProof/>
                <w:webHidden/>
              </w:rPr>
              <w:t>57</w:t>
            </w:r>
            <w:r w:rsidR="00796FA5">
              <w:rPr>
                <w:noProof/>
                <w:webHidden/>
              </w:rPr>
              <w:fldChar w:fldCharType="end"/>
            </w:r>
          </w:hyperlink>
        </w:p>
        <w:p w:rsidR="00796FA5" w:rsidRDefault="00864D56">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437647" w:history="1">
            <w:r w:rsidR="00796FA5" w:rsidRPr="007707AC">
              <w:rPr>
                <w:rStyle w:val="Hyperlink"/>
                <w:noProof/>
              </w:rPr>
              <w:t>11</w:t>
            </w:r>
            <w:r w:rsidR="00796FA5">
              <w:rPr>
                <w:rFonts w:asciiTheme="minorHAnsi" w:eastAsiaTheme="minorEastAsia" w:hAnsiTheme="minorHAnsi" w:cstheme="minorBidi"/>
                <w:b w:val="0"/>
                <w:bCs w:val="0"/>
                <w:noProof/>
                <w:sz w:val="22"/>
                <w:szCs w:val="22"/>
                <w:lang w:eastAsia="en-AU"/>
              </w:rPr>
              <w:tab/>
            </w:r>
            <w:r w:rsidR="00796FA5" w:rsidRPr="007707AC">
              <w:rPr>
                <w:rStyle w:val="Hyperlink"/>
                <w:noProof/>
              </w:rPr>
              <w:t>Next steps</w:t>
            </w:r>
            <w:r w:rsidR="00796FA5">
              <w:rPr>
                <w:noProof/>
                <w:webHidden/>
              </w:rPr>
              <w:tab/>
            </w:r>
            <w:r w:rsidR="00796FA5">
              <w:rPr>
                <w:noProof/>
                <w:webHidden/>
              </w:rPr>
              <w:fldChar w:fldCharType="begin"/>
            </w:r>
            <w:r w:rsidR="00796FA5">
              <w:rPr>
                <w:noProof/>
                <w:webHidden/>
              </w:rPr>
              <w:instrText xml:space="preserve"> PAGEREF _Toc404437647 \h </w:instrText>
            </w:r>
            <w:r w:rsidR="00796FA5">
              <w:rPr>
                <w:noProof/>
                <w:webHidden/>
              </w:rPr>
            </w:r>
            <w:r w:rsidR="00796FA5">
              <w:rPr>
                <w:noProof/>
                <w:webHidden/>
              </w:rPr>
              <w:fldChar w:fldCharType="separate"/>
            </w:r>
            <w:r w:rsidR="003D301A">
              <w:rPr>
                <w:noProof/>
                <w:webHidden/>
              </w:rPr>
              <w:t>60</w:t>
            </w:r>
            <w:r w:rsidR="00796FA5">
              <w:rPr>
                <w:noProof/>
                <w:webHidden/>
              </w:rPr>
              <w:fldChar w:fldCharType="end"/>
            </w:r>
          </w:hyperlink>
        </w:p>
        <w:p w:rsidR="00796FA5" w:rsidRDefault="00864D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648" w:history="1">
            <w:r w:rsidR="00796FA5" w:rsidRPr="007707AC">
              <w:rPr>
                <w:rStyle w:val="Hyperlink"/>
                <w:noProof/>
              </w:rPr>
              <w:t>Appendix A – Constituent components</w:t>
            </w:r>
            <w:r w:rsidR="00796FA5">
              <w:rPr>
                <w:noProof/>
                <w:webHidden/>
              </w:rPr>
              <w:tab/>
            </w:r>
            <w:r w:rsidR="00796FA5">
              <w:rPr>
                <w:noProof/>
                <w:webHidden/>
              </w:rPr>
              <w:fldChar w:fldCharType="begin"/>
            </w:r>
            <w:r w:rsidR="00796FA5">
              <w:rPr>
                <w:noProof/>
                <w:webHidden/>
              </w:rPr>
              <w:instrText xml:space="preserve"> PAGEREF _Toc404437648 \h </w:instrText>
            </w:r>
            <w:r w:rsidR="00796FA5">
              <w:rPr>
                <w:noProof/>
                <w:webHidden/>
              </w:rPr>
            </w:r>
            <w:r w:rsidR="00796FA5">
              <w:rPr>
                <w:noProof/>
                <w:webHidden/>
              </w:rPr>
              <w:fldChar w:fldCharType="separate"/>
            </w:r>
            <w:r w:rsidR="003D301A">
              <w:rPr>
                <w:noProof/>
                <w:webHidden/>
              </w:rPr>
              <w:t>61</w:t>
            </w:r>
            <w:r w:rsidR="00796FA5">
              <w:rPr>
                <w:noProof/>
                <w:webHidden/>
              </w:rPr>
              <w:fldChar w:fldCharType="end"/>
            </w:r>
          </w:hyperlink>
        </w:p>
        <w:p w:rsidR="00796FA5" w:rsidRDefault="00864D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649" w:history="1">
            <w:r w:rsidR="00796FA5" w:rsidRPr="007707AC">
              <w:rPr>
                <w:rStyle w:val="Hyperlink"/>
                <w:noProof/>
              </w:rPr>
              <w:t>Appendix B - Arrangements for transitional period</w:t>
            </w:r>
            <w:r w:rsidR="00796FA5">
              <w:rPr>
                <w:noProof/>
                <w:webHidden/>
              </w:rPr>
              <w:tab/>
            </w:r>
            <w:r w:rsidR="00796FA5">
              <w:rPr>
                <w:noProof/>
                <w:webHidden/>
              </w:rPr>
              <w:fldChar w:fldCharType="begin"/>
            </w:r>
            <w:r w:rsidR="00796FA5">
              <w:rPr>
                <w:noProof/>
                <w:webHidden/>
              </w:rPr>
              <w:instrText xml:space="preserve"> PAGEREF _Toc404437649 \h </w:instrText>
            </w:r>
            <w:r w:rsidR="00796FA5">
              <w:rPr>
                <w:noProof/>
                <w:webHidden/>
              </w:rPr>
            </w:r>
            <w:r w:rsidR="00796FA5">
              <w:rPr>
                <w:noProof/>
                <w:webHidden/>
              </w:rPr>
              <w:fldChar w:fldCharType="separate"/>
            </w:r>
            <w:r w:rsidR="003D301A">
              <w:rPr>
                <w:noProof/>
                <w:webHidden/>
              </w:rPr>
              <w:t>63</w:t>
            </w:r>
            <w:r w:rsidR="00796FA5">
              <w:rPr>
                <w:noProof/>
                <w:webHidden/>
              </w:rPr>
              <w:fldChar w:fldCharType="end"/>
            </w:r>
          </w:hyperlink>
        </w:p>
        <w:p w:rsidR="00796FA5" w:rsidRDefault="00864D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650" w:history="1">
            <w:r w:rsidR="00796FA5" w:rsidRPr="007707AC">
              <w:rPr>
                <w:rStyle w:val="Hyperlink"/>
                <w:noProof/>
              </w:rPr>
              <w:t>Appendix C – Better Regulation Guidelines</w:t>
            </w:r>
            <w:r w:rsidR="00796FA5">
              <w:rPr>
                <w:noProof/>
                <w:webHidden/>
              </w:rPr>
              <w:tab/>
            </w:r>
            <w:r w:rsidR="00796FA5">
              <w:rPr>
                <w:noProof/>
                <w:webHidden/>
              </w:rPr>
              <w:fldChar w:fldCharType="begin"/>
            </w:r>
            <w:r w:rsidR="00796FA5">
              <w:rPr>
                <w:noProof/>
                <w:webHidden/>
              </w:rPr>
              <w:instrText xml:space="preserve"> PAGEREF _Toc404437650 \h </w:instrText>
            </w:r>
            <w:r w:rsidR="00796FA5">
              <w:rPr>
                <w:noProof/>
                <w:webHidden/>
              </w:rPr>
            </w:r>
            <w:r w:rsidR="00796FA5">
              <w:rPr>
                <w:noProof/>
                <w:webHidden/>
              </w:rPr>
              <w:fldChar w:fldCharType="separate"/>
            </w:r>
            <w:r w:rsidR="003D301A">
              <w:rPr>
                <w:noProof/>
                <w:webHidden/>
              </w:rPr>
              <w:t>66</w:t>
            </w:r>
            <w:r w:rsidR="00796FA5">
              <w:rPr>
                <w:noProof/>
                <w:webHidden/>
              </w:rPr>
              <w:fldChar w:fldCharType="end"/>
            </w:r>
          </w:hyperlink>
        </w:p>
        <w:p w:rsidR="00796FA5" w:rsidRDefault="00864D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651" w:history="1">
            <w:r w:rsidR="00796FA5" w:rsidRPr="007707AC">
              <w:rPr>
                <w:rStyle w:val="Hyperlink"/>
                <w:noProof/>
              </w:rPr>
              <w:t>Appendix D – Material issues and opportunity to be heard</w:t>
            </w:r>
            <w:r w:rsidR="00796FA5">
              <w:rPr>
                <w:noProof/>
                <w:webHidden/>
              </w:rPr>
              <w:tab/>
            </w:r>
            <w:r w:rsidR="00796FA5">
              <w:rPr>
                <w:noProof/>
                <w:webHidden/>
              </w:rPr>
              <w:fldChar w:fldCharType="begin"/>
            </w:r>
            <w:r w:rsidR="00796FA5">
              <w:rPr>
                <w:noProof/>
                <w:webHidden/>
              </w:rPr>
              <w:instrText xml:space="preserve"> PAGEREF _Toc404437651 \h </w:instrText>
            </w:r>
            <w:r w:rsidR="00796FA5">
              <w:rPr>
                <w:noProof/>
                <w:webHidden/>
              </w:rPr>
            </w:r>
            <w:r w:rsidR="00796FA5">
              <w:rPr>
                <w:noProof/>
                <w:webHidden/>
              </w:rPr>
              <w:fldChar w:fldCharType="separate"/>
            </w:r>
            <w:r w:rsidR="003D301A">
              <w:rPr>
                <w:noProof/>
                <w:webHidden/>
              </w:rPr>
              <w:t>72</w:t>
            </w:r>
            <w:r w:rsidR="00796FA5">
              <w:rPr>
                <w:noProof/>
                <w:webHidden/>
              </w:rPr>
              <w:fldChar w:fldCharType="end"/>
            </w:r>
          </w:hyperlink>
        </w:p>
        <w:p w:rsidR="00796FA5" w:rsidRDefault="00864D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652" w:history="1">
            <w:r w:rsidR="00796FA5" w:rsidRPr="007707AC">
              <w:rPr>
                <w:rStyle w:val="Hyperlink"/>
                <w:noProof/>
              </w:rPr>
              <w:t>Appendix E – List of submissions</w:t>
            </w:r>
            <w:r w:rsidR="00796FA5">
              <w:rPr>
                <w:noProof/>
                <w:webHidden/>
              </w:rPr>
              <w:tab/>
            </w:r>
            <w:r w:rsidR="00796FA5">
              <w:rPr>
                <w:noProof/>
                <w:webHidden/>
              </w:rPr>
              <w:fldChar w:fldCharType="begin"/>
            </w:r>
            <w:r w:rsidR="00796FA5">
              <w:rPr>
                <w:noProof/>
                <w:webHidden/>
              </w:rPr>
              <w:instrText xml:space="preserve"> PAGEREF _Toc404437652 \h </w:instrText>
            </w:r>
            <w:r w:rsidR="00796FA5">
              <w:rPr>
                <w:noProof/>
                <w:webHidden/>
              </w:rPr>
            </w:r>
            <w:r w:rsidR="00796FA5">
              <w:rPr>
                <w:noProof/>
                <w:webHidden/>
              </w:rPr>
              <w:fldChar w:fldCharType="separate"/>
            </w:r>
            <w:r w:rsidR="003D301A">
              <w:rPr>
                <w:noProof/>
                <w:webHidden/>
              </w:rPr>
              <w:t>74</w:t>
            </w:r>
            <w:r w:rsidR="00796FA5">
              <w:rPr>
                <w:noProof/>
                <w:webHidden/>
              </w:rPr>
              <w:fldChar w:fldCharType="end"/>
            </w:r>
          </w:hyperlink>
        </w:p>
        <w:p w:rsidR="00E750B2" w:rsidRPr="00F0258A" w:rsidRDefault="00E750B2" w:rsidP="00E750B2">
          <w:r w:rsidRPr="00F0258A">
            <w:fldChar w:fldCharType="end"/>
          </w:r>
        </w:p>
      </w:sdtContent>
    </w:sdt>
    <w:p w:rsidR="002A0C7D" w:rsidRDefault="002A0C7D" w:rsidP="00E750B2">
      <w:pPr>
        <w:pStyle w:val="AERbodytext"/>
      </w:pPr>
    </w:p>
    <w:p w:rsidR="002A0C7D" w:rsidRPr="002A0C7D" w:rsidRDefault="002A0C7D" w:rsidP="002A0C7D"/>
    <w:p w:rsidR="00E750B2" w:rsidRPr="002A0C7D" w:rsidRDefault="00E750B2" w:rsidP="002A0C7D">
      <w:pPr>
        <w:jc w:val="center"/>
      </w:pPr>
    </w:p>
    <w:p w:rsidR="00E750B2" w:rsidRDefault="00E750B2" w:rsidP="0039524C">
      <w:pPr>
        <w:pStyle w:val="UnnumberedHeading"/>
        <w:numPr>
          <w:ilvl w:val="0"/>
          <w:numId w:val="11"/>
        </w:numPr>
      </w:pPr>
      <w:bookmarkStart w:id="5" w:name="_Toc404437595"/>
      <w:r>
        <w:lastRenderedPageBreak/>
        <w:t>Shortened forms</w:t>
      </w:r>
      <w:bookmarkEnd w:id="5"/>
    </w:p>
    <w:tbl>
      <w:tblPr>
        <w:tblStyle w:val="AERtable-numbers"/>
        <w:tblW w:w="0" w:type="auto"/>
        <w:tblLook w:val="04A0" w:firstRow="1" w:lastRow="0" w:firstColumn="1" w:lastColumn="0" w:noHBand="0" w:noVBand="1"/>
      </w:tblPr>
      <w:tblGrid>
        <w:gridCol w:w="4621"/>
        <w:gridCol w:w="4621"/>
      </w:tblGrid>
      <w:tr w:rsidR="00F02D30" w:rsidTr="00F02D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Shortened form</w:t>
            </w:r>
          </w:p>
        </w:tc>
        <w:tc>
          <w:tcPr>
            <w:tcW w:w="4621" w:type="dxa"/>
          </w:tcPr>
          <w:p w:rsidR="00F02D30" w:rsidRDefault="00F02D30" w:rsidP="00F02D30">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AARR</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AEMC</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AEMO</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AER</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ASRR</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augex</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capex</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CCP</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CESS</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CPI</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DRP</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EBSS</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ERP</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MAR</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MRP</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NEL</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NEM</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NEO</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NER</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NSP</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NTSC</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lastRenderedPageBreak/>
              <w:t>opex</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PPI</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PTRM</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RAB</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RBA</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repex</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RFM</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RIN</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RPP</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CF23CB">
              <w:t xml:space="preserve">and </w:t>
            </w:r>
            <w:r>
              <w:t>pricing principles</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SLCAPM</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STPIS</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TNSP</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F02D30"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TUoS</w:t>
            </w:r>
          </w:p>
        </w:tc>
        <w:tc>
          <w:tcPr>
            <w:tcW w:w="4621" w:type="dxa"/>
          </w:tcPr>
          <w:p w:rsidR="00F02D30" w:rsidRDefault="00F02D30" w:rsidP="00F02D30">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F02D30" w:rsidTr="00F02D30">
        <w:tc>
          <w:tcPr>
            <w:cnfStyle w:val="001000000000" w:firstRow="0" w:lastRow="0" w:firstColumn="1" w:lastColumn="0" w:oddVBand="0" w:evenVBand="0" w:oddHBand="0" w:evenHBand="0" w:firstRowFirstColumn="0" w:firstRowLastColumn="0" w:lastRowFirstColumn="0" w:lastRowLastColumn="0"/>
            <w:tcW w:w="4621" w:type="dxa"/>
          </w:tcPr>
          <w:p w:rsidR="00F02D30" w:rsidRDefault="00F02D30" w:rsidP="00F02D30">
            <w:pPr>
              <w:pStyle w:val="AERbodytext"/>
            </w:pPr>
            <w:r>
              <w:t>WACC</w:t>
            </w:r>
          </w:p>
        </w:tc>
        <w:tc>
          <w:tcPr>
            <w:tcW w:w="4621" w:type="dxa"/>
          </w:tcPr>
          <w:p w:rsidR="00F02D30" w:rsidRDefault="00F02D30" w:rsidP="00F02D30">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E750B2" w:rsidRDefault="00E750B2">
      <w:pPr>
        <w:spacing w:after="0" w:line="240" w:lineRule="auto"/>
        <w:jc w:val="left"/>
        <w:rPr>
          <w:rFonts w:eastAsia="Times New Roman"/>
          <w:b/>
          <w:bCs/>
          <w:color w:val="E36C0A"/>
          <w:sz w:val="36"/>
          <w:szCs w:val="28"/>
        </w:rPr>
      </w:pPr>
      <w:r>
        <w:br w:type="page"/>
      </w:r>
    </w:p>
    <w:p w:rsidR="003B0D45" w:rsidRDefault="003B0D45" w:rsidP="00E14922">
      <w:pPr>
        <w:pStyle w:val="Heading1"/>
      </w:pPr>
      <w:bookmarkStart w:id="6" w:name="_Toc404437596"/>
      <w:r w:rsidRPr="00322B53">
        <w:lastRenderedPageBreak/>
        <w:t xml:space="preserve">Our </w:t>
      </w:r>
      <w:r w:rsidRPr="00E14922">
        <w:t>draft decision</w:t>
      </w:r>
      <w:bookmarkEnd w:id="6"/>
    </w:p>
    <w:p w:rsidR="001978B5" w:rsidRDefault="001978B5" w:rsidP="001978B5">
      <w:pPr>
        <w:pStyle w:val="AERbodytext"/>
      </w:pPr>
      <w:r w:rsidRPr="001978B5">
        <w:t>TransGrid is the principal transmission network service provider (TNSP) in New South Wales</w:t>
      </w:r>
      <w:r w:rsidR="00CF23CB">
        <w:t xml:space="preserve"> (NSW)</w:t>
      </w:r>
      <w:r w:rsidRPr="001978B5">
        <w:t xml:space="preserve">. We, the Australian Energy Regulator (AER), regulate the </w:t>
      </w:r>
      <w:r w:rsidR="00A82E60">
        <w:t xml:space="preserve">allowed </w:t>
      </w:r>
      <w:r w:rsidRPr="001978B5">
        <w:t>revenues of TransGrid and other TNSPs in the national electricity market (NEM).</w:t>
      </w:r>
    </w:p>
    <w:p w:rsidR="00C82D94" w:rsidRDefault="00C82D94" w:rsidP="00C82D94">
      <w:pPr>
        <w:pStyle w:val="AERbodytext"/>
      </w:pPr>
      <w:r>
        <w:t>This is one of the first draft decisions we have made following changes to the National Electricity Rules (NER) and National Electricity Law (NEL) in 2012 and 2013. The amended NER encourage us to approach decision making more holistically, with a greater emphasis on the efficient costs of providing network services. As part of our Better Regulation program in 2013 we have also developed more sophisticated tools with which we can assess efficient costs.</w:t>
      </w:r>
      <w:r w:rsidR="00A82E60">
        <w:t xml:space="preserve"> Our Better Regulation program emphasises the importance of transparency and consultation in making our decisions.</w:t>
      </w:r>
    </w:p>
    <w:p w:rsidR="00A82E60" w:rsidRPr="001978B5" w:rsidRDefault="00A82E60" w:rsidP="00A82E60">
      <w:pPr>
        <w:pStyle w:val="AERbodytext"/>
      </w:pPr>
      <w:r>
        <w:rPr>
          <w:rStyle w:val="AERbody"/>
        </w:rPr>
        <w:t xml:space="preserve">This draft decision is one of the key steps in reaching our final decision. </w:t>
      </w:r>
      <w:r w:rsidRPr="001978B5">
        <w:t xml:space="preserve">Our final decision will be released in April 2015. Before that, TransGrid will have the opportunity to submit a revised proposal in response to this draft decision. Stakeholders will also have the opportunity to make submissions to us on </w:t>
      </w:r>
      <w:r>
        <w:t>our</w:t>
      </w:r>
      <w:r w:rsidRPr="001978B5">
        <w:t xml:space="preserve"> draft decision</w:t>
      </w:r>
      <w:r>
        <w:t xml:space="preserve"> and TransGrid's revised proposal</w:t>
      </w:r>
      <w:r w:rsidRPr="001978B5">
        <w:t>.</w:t>
      </w:r>
      <w:r>
        <w:t xml:space="preserve"> While we welcome submissions on any aspect of this draft decision, we have highlighted certain areas where we are particularly interested in hearing stakeholders’ views. Following receipt of the revised proposal and submissions, we will then make our final decision taking everything we have heard into account.</w:t>
      </w:r>
    </w:p>
    <w:p w:rsidR="00F71DA2" w:rsidRDefault="001978B5" w:rsidP="001978B5">
      <w:pPr>
        <w:pStyle w:val="AERbodytext"/>
      </w:pPr>
      <w:r w:rsidRPr="001978B5">
        <w:t xml:space="preserve">We have made a draft decision on the </w:t>
      </w:r>
      <w:r w:rsidR="00F71DA2">
        <w:t xml:space="preserve">revenue that TransGrid may recover from its customers over the </w:t>
      </w:r>
      <w:r w:rsidRPr="001978B5">
        <w:t>2015</w:t>
      </w:r>
      <w:r w:rsidR="00F8095A">
        <w:t>–</w:t>
      </w:r>
      <w:r w:rsidRPr="001978B5">
        <w:t xml:space="preserve">18 regulatory control period. In total, </w:t>
      </w:r>
      <w:r w:rsidR="00F71DA2">
        <w:t>our</w:t>
      </w:r>
      <w:r w:rsidRPr="001978B5">
        <w:t xml:space="preserve"> draft decision provides an allowance of $2</w:t>
      </w:r>
      <w:r w:rsidR="0069345C">
        <w:t>310.5</w:t>
      </w:r>
      <w:r w:rsidR="00485D72">
        <w:t> </w:t>
      </w:r>
      <w:r w:rsidRPr="001978B5">
        <w:t>million ($ nominal)</w:t>
      </w:r>
      <w:r w:rsidR="008038AA">
        <w:rPr>
          <w:rStyle w:val="FootnoteReference"/>
        </w:rPr>
        <w:footnoteReference w:id="1"/>
      </w:r>
      <w:r w:rsidRPr="001978B5">
        <w:t xml:space="preserve"> which TransGrid will recover from its customers over three financial years beginning 1 July 2015. </w:t>
      </w:r>
    </w:p>
    <w:p w:rsidR="004932D6" w:rsidRPr="004932D6" w:rsidRDefault="004932D6" w:rsidP="004932D6">
      <w:pPr>
        <w:pStyle w:val="AERbodytext"/>
      </w:pPr>
      <w:r w:rsidRPr="004932D6">
        <w:t xml:space="preserve">In NSW and the ACT, transmission charges represent approximately 7 per cent of a customer's </w:t>
      </w:r>
      <w:r w:rsidR="00E90BE7">
        <w:t xml:space="preserve">average </w:t>
      </w:r>
      <w:r w:rsidRPr="004932D6">
        <w:t>annual electricity bill.</w:t>
      </w:r>
      <w:r w:rsidRPr="004932D6">
        <w:rPr>
          <w:rStyle w:val="FootnoteReference"/>
        </w:rPr>
        <w:footnoteReference w:id="2"/>
      </w:r>
      <w:r w:rsidRPr="004932D6">
        <w:t xml:space="preserve"> </w:t>
      </w:r>
      <w:r w:rsidR="00E90BE7">
        <w:t xml:space="preserve">To estimate </w:t>
      </w:r>
      <w:r w:rsidR="00CF23CB">
        <w:t xml:space="preserve">the </w:t>
      </w:r>
      <w:r w:rsidR="00E90BE7">
        <w:t>bill impact,</w:t>
      </w:r>
      <w:r>
        <w:t xml:space="preserve"> w</w:t>
      </w:r>
      <w:r w:rsidRPr="004932D6">
        <w:t>e assume that our changes to transmission charges are passed through to end users, but that other components of the electricity bill (for example distribution, wholesale and retail energy costs) are held constant</w:t>
      </w:r>
      <w:r w:rsidR="00E90BE7">
        <w:t>.</w:t>
      </w:r>
      <w:r>
        <w:t xml:space="preserve"> </w:t>
      </w:r>
      <w:r w:rsidR="00E90BE7">
        <w:t>On this basis o</w:t>
      </w:r>
      <w:r w:rsidRPr="004932D6">
        <w:t>ur draft decision for TransGrid, considered in conjunction with our other transmission decisions</w:t>
      </w:r>
      <w:r w:rsidR="00E90BE7">
        <w:t>,</w:t>
      </w:r>
      <w:r>
        <w:rPr>
          <w:rStyle w:val="FootnoteReference"/>
        </w:rPr>
        <w:footnoteReference w:id="3"/>
      </w:r>
      <w:r w:rsidRPr="004932D6">
        <w:t xml:space="preserve"> would result in a decrease in </w:t>
      </w:r>
      <w:r w:rsidR="00E90BE7" w:rsidRPr="004932D6">
        <w:t xml:space="preserve">average </w:t>
      </w:r>
      <w:r w:rsidRPr="004932D6">
        <w:t>annual electricity bills for residential customers in NSW and the ACT</w:t>
      </w:r>
      <w:r>
        <w:t xml:space="preserve"> of $</w:t>
      </w:r>
      <w:r w:rsidR="00E90BE7">
        <w:t>2</w:t>
      </w:r>
      <w:r w:rsidR="00485D72">
        <w:t>4</w:t>
      </w:r>
      <w:r>
        <w:t xml:space="preserve"> </w:t>
      </w:r>
      <w:r w:rsidR="00485D72">
        <w:t>and</w:t>
      </w:r>
      <w:r>
        <w:t xml:space="preserve"> $</w:t>
      </w:r>
      <w:r w:rsidR="00E90BE7">
        <w:t>2</w:t>
      </w:r>
      <w:r w:rsidR="00485D72">
        <w:t>1 respectively</w:t>
      </w:r>
      <w:r w:rsidR="00E90BE7">
        <w:t xml:space="preserve"> in 2015–16</w:t>
      </w:r>
      <w:r>
        <w:t>.</w:t>
      </w:r>
      <w:r w:rsidRPr="004932D6">
        <w:t xml:space="preserve"> </w:t>
      </w:r>
    </w:p>
    <w:p w:rsidR="00C82D94" w:rsidRDefault="00796FA5" w:rsidP="00C82D94">
      <w:pPr>
        <w:pStyle w:val="AERbodytext"/>
      </w:pPr>
      <w:r>
        <w:t xml:space="preserve">Figure 1-1 </w:t>
      </w:r>
      <w:r w:rsidR="00C82D94" w:rsidRPr="00322B53">
        <w:t xml:space="preserve">shows </w:t>
      </w:r>
      <w:r w:rsidR="00C82D94">
        <w:t>TransGrid</w:t>
      </w:r>
      <w:r w:rsidR="00C82D94" w:rsidRPr="00322B53">
        <w:t>'s past total revenue (both allowed and actual),</w:t>
      </w:r>
      <w:r w:rsidR="00C82D94" w:rsidRPr="00322B53">
        <w:rPr>
          <w:rStyle w:val="FootnoteReference"/>
        </w:rPr>
        <w:footnoteReference w:id="4"/>
      </w:r>
      <w:r w:rsidR="00C82D94" w:rsidRPr="00322B53">
        <w:t xml:space="preserve"> proposed total revenue and our draft total revenue allowance.</w:t>
      </w:r>
      <w:r w:rsidR="00C82D94">
        <w:rPr>
          <w:rStyle w:val="FootnoteReference"/>
        </w:rPr>
        <w:footnoteReference w:id="5"/>
      </w:r>
      <w:r w:rsidR="00C82D94" w:rsidRPr="00322B53">
        <w:t xml:space="preserve"> </w:t>
      </w:r>
    </w:p>
    <w:p w:rsidR="00C82D94" w:rsidRPr="00E57171" w:rsidRDefault="00C82D94" w:rsidP="00CF23CB">
      <w:pPr>
        <w:pStyle w:val="Caption"/>
        <w:rPr>
          <w:rStyle w:val="AERtextbold"/>
          <w:rFonts w:eastAsia="Calibri"/>
          <w:szCs w:val="20"/>
        </w:rPr>
      </w:pPr>
      <w:r w:rsidRPr="00E57171">
        <w:lastRenderedPageBreak/>
        <w:t xml:space="preserve">Figure </w:t>
      </w:r>
      <w:r w:rsidR="00864D56">
        <w:fldChar w:fldCharType="begin"/>
      </w:r>
      <w:r w:rsidR="00864D56">
        <w:instrText xml:space="preserve"> STYLEREF 1 \s </w:instrText>
      </w:r>
      <w:r w:rsidR="00864D56">
        <w:fldChar w:fldCharType="separate"/>
      </w:r>
      <w:r>
        <w:rPr>
          <w:noProof/>
        </w:rPr>
        <w:t>1</w:t>
      </w:r>
      <w:r w:rsidR="00864D56">
        <w:rPr>
          <w:noProof/>
        </w:rPr>
        <w:fldChar w:fldCharType="end"/>
      </w:r>
      <w:r>
        <w:noBreakHyphen/>
      </w:r>
      <w:r w:rsidR="00864D56">
        <w:fldChar w:fldCharType="begin"/>
      </w:r>
      <w:r w:rsidR="00864D56">
        <w:instrText xml:space="preserve"> SEQ Figure \* ARABIC \s 1 </w:instrText>
      </w:r>
      <w:r w:rsidR="00864D56">
        <w:fldChar w:fldCharType="separate"/>
      </w:r>
      <w:r>
        <w:rPr>
          <w:noProof/>
        </w:rPr>
        <w:t>1</w:t>
      </w:r>
      <w:r w:rsidR="00864D56">
        <w:rPr>
          <w:noProof/>
        </w:rPr>
        <w:fldChar w:fldCharType="end"/>
      </w:r>
      <w:r w:rsidRPr="00E57171">
        <w:tab/>
      </w:r>
      <w:r w:rsidRPr="00FC4CFA">
        <w:rPr>
          <w:rStyle w:val="AERtextbold"/>
          <w:b/>
        </w:rPr>
        <w:t>TransGrid's past total revenue, proposed total revenue and AER draft decision revenue allowance ($ million, 2013–14)</w:t>
      </w:r>
    </w:p>
    <w:p w:rsidR="00C82D94" w:rsidRPr="00322B53" w:rsidRDefault="00C82D94" w:rsidP="00C82D94">
      <w:pPr>
        <w:pStyle w:val="AERbodytext"/>
        <w:rPr>
          <w:rStyle w:val="AERtextbold"/>
        </w:rPr>
      </w:pPr>
      <w:r w:rsidRPr="00130EBB">
        <w:rPr>
          <w:noProof/>
          <w:lang w:eastAsia="en-AU"/>
        </w:rPr>
        <w:drawing>
          <wp:inline distT="0" distB="0" distL="0" distR="0" wp14:anchorId="39D986F8" wp14:editId="691BBD52">
            <wp:extent cx="5408930" cy="322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8930" cy="3226435"/>
                    </a:xfrm>
                    <a:prstGeom prst="rect">
                      <a:avLst/>
                    </a:prstGeom>
                    <a:noFill/>
                    <a:ln>
                      <a:noFill/>
                    </a:ln>
                  </pic:spPr>
                </pic:pic>
              </a:graphicData>
            </a:graphic>
          </wp:inline>
        </w:drawing>
      </w:r>
    </w:p>
    <w:p w:rsidR="00C82D94" w:rsidRPr="00E57171" w:rsidRDefault="00C82D94" w:rsidP="008038AA">
      <w:pPr>
        <w:pStyle w:val="AERtablesource"/>
      </w:pPr>
      <w:r w:rsidRPr="00E57171">
        <w:t xml:space="preserve">Source: </w:t>
      </w:r>
      <w:r>
        <w:tab/>
      </w:r>
      <w:r w:rsidRPr="00E57171">
        <w:t>AER analysis</w:t>
      </w:r>
      <w:r>
        <w:t>.</w:t>
      </w:r>
    </w:p>
    <w:p w:rsidR="008038AA" w:rsidRDefault="008038AA" w:rsidP="008038AA">
      <w:pPr>
        <w:pStyle w:val="AERbodytext"/>
      </w:pPr>
      <w:r w:rsidRPr="001978B5">
        <w:t xml:space="preserve">If we had accepted TransGrid’s proposal, </w:t>
      </w:r>
      <w:r>
        <w:t>TransGrid would have been permitted to recover</w:t>
      </w:r>
      <w:r w:rsidRPr="001978B5">
        <w:t xml:space="preserve"> $3046.2</w:t>
      </w:r>
      <w:r>
        <w:t> </w:t>
      </w:r>
      <w:r w:rsidRPr="001978B5">
        <w:t>million ($ nominal) in revenue over the 2015–18 regulatory control period.</w:t>
      </w:r>
      <w:r>
        <w:rPr>
          <w:rStyle w:val="FootnoteReference"/>
        </w:rPr>
        <w:footnoteReference w:id="6"/>
      </w:r>
      <w:r w:rsidRPr="001978B5">
        <w:t xml:space="preserve"> We are not satisfied that this proposed </w:t>
      </w:r>
      <w:r w:rsidR="00A82E60">
        <w:t xml:space="preserve">allowed </w:t>
      </w:r>
      <w:r w:rsidRPr="001978B5">
        <w:t>revenue would contribute to the achievement of the National Electricity Objective (NEO) to the greatest degree</w:t>
      </w:r>
      <w:r>
        <w:t>, as required by the NEL</w:t>
      </w:r>
      <w:r>
        <w:rPr>
          <w:rStyle w:val="FootnoteReference"/>
        </w:rPr>
        <w:footnoteReference w:id="7"/>
      </w:r>
      <w:r w:rsidRPr="001978B5">
        <w:t xml:space="preserve">. </w:t>
      </w:r>
    </w:p>
    <w:p w:rsidR="00F71DA2" w:rsidRDefault="001978B5" w:rsidP="008038AA">
      <w:pPr>
        <w:pStyle w:val="AERbodytext"/>
        <w:numPr>
          <w:ilvl w:val="0"/>
          <w:numId w:val="0"/>
        </w:numPr>
      </w:pPr>
      <w:r w:rsidRPr="001978B5">
        <w:t xml:space="preserve">This </w:t>
      </w:r>
      <w:r w:rsidR="00F71DA2">
        <w:t xml:space="preserve">document provides the reader with an </w:t>
      </w:r>
      <w:r w:rsidR="004932D6">
        <w:t xml:space="preserve">overview </w:t>
      </w:r>
      <w:r w:rsidRPr="001978B5">
        <w:t>of our draft decision</w:t>
      </w:r>
      <w:r w:rsidR="00F71DA2">
        <w:t>.</w:t>
      </w:r>
      <w:r w:rsidRPr="001978B5">
        <w:t xml:space="preserve"> It offers an insight into </w:t>
      </w:r>
      <w:r w:rsidR="00F71DA2">
        <w:t>the issues</w:t>
      </w:r>
      <w:r w:rsidRPr="001978B5">
        <w:t xml:space="preserve"> we considered, the conclusions we made and how those conclusions were reached. </w:t>
      </w:r>
      <w:r w:rsidR="00F71DA2">
        <w:t>Detailed reasons for each of the elements of our draft decision can be found in attachments and appendices accompanying this decision.</w:t>
      </w:r>
    </w:p>
    <w:p w:rsidR="001978B5" w:rsidRPr="001978B5" w:rsidRDefault="00F71DA2" w:rsidP="001978B5">
      <w:pPr>
        <w:pStyle w:val="AERbodytext"/>
      </w:pPr>
      <w:r>
        <w:t xml:space="preserve">TransGrid's proposal puts forward revenue broadly in line with </w:t>
      </w:r>
      <w:r w:rsidR="00767923">
        <w:t xml:space="preserve">its </w:t>
      </w:r>
      <w:r>
        <w:t xml:space="preserve">current levels. </w:t>
      </w:r>
      <w:r w:rsidR="001978B5" w:rsidRPr="001978B5">
        <w:t xml:space="preserve">The </w:t>
      </w:r>
      <w:r>
        <w:t xml:space="preserve">total </w:t>
      </w:r>
      <w:r w:rsidR="001978B5" w:rsidRPr="001978B5">
        <w:t>revenue we propose to allow in this draft decision reflects the underlying drivers of the costs of providing transmission services in Trans</w:t>
      </w:r>
      <w:r w:rsidR="00BA0A7C">
        <w:t>G</w:t>
      </w:r>
      <w:r w:rsidR="001978B5" w:rsidRPr="001978B5">
        <w:t xml:space="preserve">rid’s area. Specifically, </w:t>
      </w:r>
      <w:r w:rsidR="00767923">
        <w:t xml:space="preserve">circumstances have changed since the last regulatory control period such that </w:t>
      </w:r>
      <w:r w:rsidR="001978B5" w:rsidRPr="001978B5">
        <w:t xml:space="preserve">there has been a material easing in the pressure on costs since we made our last determination in 2009. Consequently, our draft decision provides for less revenue (on average) than </w:t>
      </w:r>
      <w:r w:rsidR="00767923">
        <w:t xml:space="preserve">what was approved </w:t>
      </w:r>
      <w:r w:rsidR="001978B5" w:rsidRPr="001978B5">
        <w:t>in the last period.</w:t>
      </w:r>
    </w:p>
    <w:p w:rsidR="001978B5" w:rsidRDefault="001978B5" w:rsidP="001978B5">
      <w:pPr>
        <w:pStyle w:val="AERbodytext"/>
      </w:pPr>
      <w:r w:rsidRPr="001978B5">
        <w:t xml:space="preserve">The underlying drivers </w:t>
      </w:r>
      <w:r w:rsidR="00CF23CB">
        <w:t xml:space="preserve">influencing our </w:t>
      </w:r>
      <w:r w:rsidRPr="001978B5">
        <w:t>draft decision include the following:</w:t>
      </w:r>
    </w:p>
    <w:p w:rsidR="004E188C" w:rsidRPr="001978B5" w:rsidRDefault="004E188C" w:rsidP="004E188C">
      <w:pPr>
        <w:pStyle w:val="AERbulletlistfirststyle"/>
      </w:pPr>
      <w:r w:rsidRPr="001978B5">
        <w:t xml:space="preserve">Financial market conditions. Our draft decision reflects current financial market conditions. Our decision in 2009 was made at the height of uncertainty surrounding the global financial crisis. </w:t>
      </w:r>
      <w:r w:rsidR="008038AA">
        <w:t>I</w:t>
      </w:r>
      <w:r w:rsidRPr="001978B5">
        <w:t xml:space="preserve">nterest rates and risk premiums are </w:t>
      </w:r>
      <w:r w:rsidR="00767923">
        <w:t xml:space="preserve">now </w:t>
      </w:r>
      <w:r w:rsidRPr="001978B5">
        <w:t>materially lower than in 2009.</w:t>
      </w:r>
    </w:p>
    <w:p w:rsidR="001978B5" w:rsidRPr="001978B5" w:rsidRDefault="001978B5" w:rsidP="00E90BE7">
      <w:pPr>
        <w:pStyle w:val="AERbulletlistfirststyle"/>
      </w:pPr>
      <w:r w:rsidRPr="001978B5">
        <w:lastRenderedPageBreak/>
        <w:t>Demand. System peak demand in NSW decreased on average by around 3.9 per cent per annum over the past five years. In addition, growth in peak demand is expected to be modest in the 2015</w:t>
      </w:r>
      <w:r w:rsidR="00BA0A7C">
        <w:t>–</w:t>
      </w:r>
      <w:r w:rsidRPr="001978B5">
        <w:t xml:space="preserve">18 regulatory control period. These expectations indicate </w:t>
      </w:r>
      <w:r>
        <w:t xml:space="preserve">a reduced need for </w:t>
      </w:r>
      <w:r w:rsidRPr="001978B5">
        <w:t>growth related expenditure in the forthcoming period.</w:t>
      </w:r>
    </w:p>
    <w:p w:rsidR="001978B5" w:rsidRDefault="001978B5" w:rsidP="00E90BE7">
      <w:pPr>
        <w:pStyle w:val="AERbulletlistfirststyle"/>
      </w:pPr>
      <w:r w:rsidRPr="001978B5">
        <w:t>Reliability. Network performance metrics show that TransGrid’s performance has remained relatively stable—or has improved—since 2009. This suggests that a more modest asset replacement program will be required in the forthcoming period.</w:t>
      </w:r>
    </w:p>
    <w:p w:rsidR="004E188C" w:rsidRPr="001978B5" w:rsidRDefault="00CF23CB" w:rsidP="00E90BE7">
      <w:pPr>
        <w:pStyle w:val="AERbulletlistfirststyle"/>
      </w:pPr>
      <w:r>
        <w:t>R</w:t>
      </w:r>
      <w:r w:rsidR="004E188C">
        <w:t>isk assessment. In the course of our review of Trans</w:t>
      </w:r>
      <w:r w:rsidR="004D664D">
        <w:t>G</w:t>
      </w:r>
      <w:r w:rsidR="004E188C">
        <w:t xml:space="preserve">rid's proposal we have come to the view that its risk management processes are overly risk averse and result in higher capex forecasts than </w:t>
      </w:r>
      <w:r w:rsidR="008038AA">
        <w:t>are</w:t>
      </w:r>
      <w:r w:rsidR="00767923">
        <w:t xml:space="preserve"> reasonably </w:t>
      </w:r>
      <w:r w:rsidR="004E188C">
        <w:t>necessary.</w:t>
      </w:r>
    </w:p>
    <w:p w:rsidR="001978B5" w:rsidRDefault="001978B5" w:rsidP="001978B5">
      <w:pPr>
        <w:pStyle w:val="AERbodytext"/>
      </w:pPr>
      <w:r w:rsidRPr="001978B5">
        <w:t xml:space="preserve">Our analysis has taken these underlying drivers into account and this is reflected in the total revenue allowance we have calculated. The total </w:t>
      </w:r>
      <w:r w:rsidR="00A82E60">
        <w:t xml:space="preserve">allowed </w:t>
      </w:r>
      <w:r w:rsidRPr="001978B5">
        <w:t>revenue we have determined i</w:t>
      </w:r>
      <w:r w:rsidR="005A7482">
        <w:t>s</w:t>
      </w:r>
      <w:r w:rsidRPr="001978B5">
        <w:t xml:space="preserve"> broadly in line with the trend in revenue that was allowed in the 2004</w:t>
      </w:r>
      <w:r w:rsidR="00BA0A7C">
        <w:t>–</w:t>
      </w:r>
      <w:r w:rsidRPr="001978B5">
        <w:t xml:space="preserve">09 regulatory </w:t>
      </w:r>
      <w:r w:rsidR="00BA0A7C">
        <w:t xml:space="preserve">control </w:t>
      </w:r>
      <w:r w:rsidRPr="001978B5">
        <w:t xml:space="preserve">period. In 2009, there were a range of pressures present that led to a step up in total </w:t>
      </w:r>
      <w:r w:rsidR="002C1B79">
        <w:t xml:space="preserve">allowed </w:t>
      </w:r>
      <w:r w:rsidRPr="001978B5">
        <w:t>revenue. This draft decision reflects an easing in many of the underlying drivers that influenced the revenue outcome in 2009. By contrast, we have found that Trans</w:t>
      </w:r>
      <w:r w:rsidR="00BA0A7C">
        <w:t>G</w:t>
      </w:r>
      <w:r w:rsidRPr="001978B5">
        <w:t xml:space="preserve">rid’s proposal does not adequately </w:t>
      </w:r>
      <w:r w:rsidR="002C1B79">
        <w:t>incorporate</w:t>
      </w:r>
      <w:r w:rsidRPr="001978B5">
        <w:t xml:space="preserve"> these underlying drivers. </w:t>
      </w:r>
    </w:p>
    <w:p w:rsidR="00C82D94" w:rsidRPr="001978B5" w:rsidRDefault="00C82D94" w:rsidP="00CF23CB">
      <w:pPr>
        <w:pStyle w:val="HeadingBoldBlue"/>
      </w:pPr>
      <w:r>
        <w:t>Key constituent decisions</w:t>
      </w:r>
    </w:p>
    <w:p w:rsidR="003A63C5" w:rsidRPr="00D733A5" w:rsidRDefault="001978B5" w:rsidP="00716474">
      <w:pPr>
        <w:rPr>
          <w:rStyle w:val="AERbody"/>
        </w:rPr>
      </w:pPr>
      <w:r w:rsidRPr="009E1141">
        <w:t xml:space="preserve">Our draft decision </w:t>
      </w:r>
      <w:r>
        <w:t>on TransGrid’s total revenue allowance</w:t>
      </w:r>
      <w:r w:rsidR="003A63C5">
        <w:t xml:space="preserve"> </w:t>
      </w:r>
      <w:r w:rsidRPr="009E1141">
        <w:t>is predicated on a number of constituent decisions</w:t>
      </w:r>
      <w:r w:rsidR="00BA0A7C">
        <w:t>,</w:t>
      </w:r>
      <w:r w:rsidRPr="009E1141">
        <w:rPr>
          <w:rStyle w:val="FootnoteReference"/>
        </w:rPr>
        <w:footnoteReference w:id="8"/>
      </w:r>
      <w:r>
        <w:t xml:space="preserve"> </w:t>
      </w:r>
      <w:r w:rsidRPr="009E1141">
        <w:t>list</w:t>
      </w:r>
      <w:r>
        <w:t>ed in</w:t>
      </w:r>
      <w:r w:rsidRPr="009E1141">
        <w:t xml:space="preserve"> appendix </w:t>
      </w:r>
      <w:r w:rsidRPr="00716474">
        <w:t>A.</w:t>
      </w:r>
      <w:r w:rsidRPr="009E1141">
        <w:t xml:space="preserve"> </w:t>
      </w:r>
      <w:r w:rsidR="003A63C5">
        <w:t xml:space="preserve">Their combined effect is </w:t>
      </w:r>
      <w:r w:rsidR="003A63C5" w:rsidRPr="009E1141">
        <w:t xml:space="preserve">an overall revenue allowance for </w:t>
      </w:r>
      <w:r w:rsidR="003A63C5">
        <w:t>TransGrid</w:t>
      </w:r>
      <w:r w:rsidR="003A63C5" w:rsidRPr="009E1141">
        <w:t xml:space="preserve"> that is lower than </w:t>
      </w:r>
      <w:r w:rsidR="00A33F88">
        <w:t>what we approved for</w:t>
      </w:r>
      <w:r w:rsidR="003A63C5" w:rsidRPr="009E1141">
        <w:t xml:space="preserve"> the 2009–14 regulatory control period</w:t>
      </w:r>
      <w:r w:rsidR="003A63C5">
        <w:t xml:space="preserve">, and </w:t>
      </w:r>
      <w:r w:rsidR="003A63C5" w:rsidRPr="00322B53">
        <w:t xml:space="preserve">a reduction of </w:t>
      </w:r>
      <w:r w:rsidR="008038AA">
        <w:t xml:space="preserve">around </w:t>
      </w:r>
      <w:r w:rsidR="003A63C5">
        <w:t xml:space="preserve">24 </w:t>
      </w:r>
      <w:r w:rsidR="003A63C5" w:rsidRPr="00322B53">
        <w:t xml:space="preserve">per cent from </w:t>
      </w:r>
      <w:r w:rsidR="003A63C5">
        <w:t>TransGrid</w:t>
      </w:r>
      <w:r w:rsidR="003A63C5" w:rsidRPr="00322B53">
        <w:t>'s p</w:t>
      </w:r>
      <w:r w:rsidR="003A63C5">
        <w:t>roposed (adjusted) total revenue forecast</w:t>
      </w:r>
      <w:r w:rsidR="003A63C5" w:rsidRPr="009E1141">
        <w:t xml:space="preserve">. </w:t>
      </w:r>
      <w:r w:rsidR="003A63C5">
        <w:t xml:space="preserve">We consider this is </w:t>
      </w:r>
      <w:r w:rsidR="003A63C5" w:rsidRPr="009E1141">
        <w:t>consistent with trends that have tended to moderate the need for investment in the electricity network sector.</w:t>
      </w:r>
    </w:p>
    <w:p w:rsidR="00433447" w:rsidRDefault="00433447" w:rsidP="00F02D30">
      <w:pPr>
        <w:pStyle w:val="AERbodytext"/>
      </w:pPr>
      <w:r w:rsidRPr="00322B53">
        <w:t xml:space="preserve">Our total revenue allowance reflects adjustments we have made to key aspects of </w:t>
      </w:r>
      <w:r w:rsidR="009340F2">
        <w:t>TransGrid</w:t>
      </w:r>
      <w:r>
        <w:t>'s</w:t>
      </w:r>
      <w:r w:rsidRPr="00322B53">
        <w:t xml:space="preserve"> proposal. This includes:</w:t>
      </w:r>
    </w:p>
    <w:p w:rsidR="00BB33FD" w:rsidRDefault="003A63C5" w:rsidP="006600FE">
      <w:pPr>
        <w:pStyle w:val="AERbulletlistfirststyle"/>
      </w:pPr>
      <w:r>
        <w:t xml:space="preserve">Rate of return. </w:t>
      </w:r>
      <w:r w:rsidR="00BB33FD">
        <w:t xml:space="preserve">We are not satisfied that TransGrid's proposed </w:t>
      </w:r>
      <w:r w:rsidR="008038AA">
        <w:t xml:space="preserve">(indicative) </w:t>
      </w:r>
      <w:r w:rsidR="00BB33FD">
        <w:t xml:space="preserve">8.83 per cent rate of return achieves the rate of return objective. </w:t>
      </w:r>
      <w:r w:rsidR="006600FE" w:rsidRPr="006600FE">
        <w:t xml:space="preserve">We have therefore not accepted TransGrid’s proposal. The </w:t>
      </w:r>
      <w:r w:rsidR="00A82E60">
        <w:t xml:space="preserve">NER define the </w:t>
      </w:r>
      <w:r w:rsidR="006600FE" w:rsidRPr="006600FE">
        <w:t>rate of return objective</w:t>
      </w:r>
      <w:r w:rsidR="00A82E60">
        <w:t xml:space="preserve"> as follows: </w:t>
      </w:r>
      <w:r w:rsidR="006600FE" w:rsidRPr="006600FE">
        <w:t xml:space="preserve">that the rate of return is to be commensurate with the efficient financing costs of a benchmark efficient entity with a similar degree of risk as that which applies </w:t>
      </w:r>
      <w:r w:rsidR="00A82E60">
        <w:t xml:space="preserve">to TransGrid </w:t>
      </w:r>
      <w:r w:rsidR="006600FE" w:rsidRPr="006600FE">
        <w:t xml:space="preserve">in respect of the provision of </w:t>
      </w:r>
      <w:r w:rsidR="00A82E60">
        <w:t xml:space="preserve">many </w:t>
      </w:r>
      <w:r w:rsidR="006600FE" w:rsidRPr="006600FE">
        <w:t>network services.</w:t>
      </w:r>
      <w:r w:rsidR="009A3B0F">
        <w:rPr>
          <w:rStyle w:val="FootnoteReference"/>
        </w:rPr>
        <w:footnoteReference w:id="9"/>
      </w:r>
      <w:r w:rsidR="006600FE" w:rsidRPr="006600FE">
        <w:t xml:space="preserve"> </w:t>
      </w:r>
      <w:r w:rsidR="004A300B">
        <w:t>Using</w:t>
      </w:r>
      <w:r w:rsidR="004A300B" w:rsidRPr="00136B81">
        <w:t xml:space="preserve"> our rate of return guideline</w:t>
      </w:r>
      <w:r w:rsidR="004A300B">
        <w:t xml:space="preserve"> as our starting point</w:t>
      </w:r>
      <w:r w:rsidR="004A300B" w:rsidRPr="00136B81">
        <w:t xml:space="preserve">, we have </w:t>
      </w:r>
      <w:r w:rsidR="004A300B">
        <w:t>allowed a</w:t>
      </w:r>
      <w:r w:rsidR="004A300B" w:rsidRPr="00136B81">
        <w:t xml:space="preserve"> rate of return </w:t>
      </w:r>
      <w:r w:rsidR="004A300B">
        <w:t xml:space="preserve">of 7.24 per cent (nominal vanilla) </w:t>
      </w:r>
      <w:r w:rsidR="004A300B" w:rsidRPr="00136B81">
        <w:t>that achieves the rate o</w:t>
      </w:r>
      <w:r w:rsidR="004A300B">
        <w:t>f</w:t>
      </w:r>
      <w:r w:rsidR="004A300B" w:rsidRPr="00136B81">
        <w:t xml:space="preserve"> return objective </w:t>
      </w:r>
      <w:r w:rsidR="004A300B">
        <w:t xml:space="preserve">and </w:t>
      </w:r>
      <w:r w:rsidR="004A300B" w:rsidRPr="00136B81">
        <w:t xml:space="preserve">will allow </w:t>
      </w:r>
      <w:r w:rsidR="004A300B">
        <w:t>TransGrid</w:t>
      </w:r>
      <w:r w:rsidR="004A300B" w:rsidRPr="00136B81">
        <w:t xml:space="preserve"> to fund its </w:t>
      </w:r>
      <w:r w:rsidR="002C1B79">
        <w:t xml:space="preserve">efficient </w:t>
      </w:r>
      <w:r w:rsidR="004A300B" w:rsidRPr="00136B81">
        <w:t>network investment.</w:t>
      </w:r>
    </w:p>
    <w:p w:rsidR="000E05AF" w:rsidRPr="000E05AF" w:rsidRDefault="003A63C5" w:rsidP="000E05AF">
      <w:pPr>
        <w:pStyle w:val="AERbulletlistfirststyle"/>
      </w:pPr>
      <w:r>
        <w:t>Total forecast capital expenditure</w:t>
      </w:r>
      <w:r w:rsidR="004A300B">
        <w:t xml:space="preserve"> (capex)</w:t>
      </w:r>
      <w:r>
        <w:t xml:space="preserve">. </w:t>
      </w:r>
      <w:r w:rsidR="000E05AF" w:rsidRPr="000E05AF">
        <w:t>We are not satisfied that TransGrid's proposed total forecast capex of $1,387</w:t>
      </w:r>
      <w:r w:rsidR="00DD6BDA">
        <w:t>.</w:t>
      </w:r>
      <w:r w:rsidR="008038AA">
        <w:t>4</w:t>
      </w:r>
      <w:r w:rsidR="000E05AF" w:rsidRPr="000E05AF">
        <w:t xml:space="preserve"> million ($2013–14) reasonably reflects the capex criteria. Our proposed substitute capex is </w:t>
      </w:r>
      <w:r w:rsidR="003A5F5D">
        <w:t>$922</w:t>
      </w:r>
      <w:r w:rsidR="00DD6BDA">
        <w:t>.</w:t>
      </w:r>
      <w:r w:rsidR="008038AA">
        <w:t>3</w:t>
      </w:r>
      <w:r w:rsidR="003A5F5D">
        <w:t xml:space="preserve"> million ($2013–14)</w:t>
      </w:r>
      <w:r w:rsidR="000E05AF" w:rsidRPr="000E05AF">
        <w:t xml:space="preserve">, which represents around a </w:t>
      </w:r>
      <w:r w:rsidR="003A5F5D">
        <w:t>3</w:t>
      </w:r>
      <w:r w:rsidR="00507CF2">
        <w:t>4</w:t>
      </w:r>
      <w:r w:rsidR="000E05AF" w:rsidRPr="000E05AF">
        <w:t xml:space="preserve"> per cent reduction compared to </w:t>
      </w:r>
      <w:r w:rsidR="00DD6BDA">
        <w:t xml:space="preserve">the </w:t>
      </w:r>
      <w:r w:rsidR="000E05AF" w:rsidRPr="000E05AF">
        <w:t xml:space="preserve">proposal. The </w:t>
      </w:r>
      <w:r w:rsidR="00DD6BDA">
        <w:t>principal</w:t>
      </w:r>
      <w:r w:rsidR="00DD6BDA" w:rsidRPr="000E05AF">
        <w:t xml:space="preserve"> </w:t>
      </w:r>
      <w:r w:rsidR="000E05AF" w:rsidRPr="000E05AF">
        <w:t xml:space="preserve">drivers for our substitute capex amount are a reduction in </w:t>
      </w:r>
      <w:r w:rsidR="00CF23CB">
        <w:t>replacement capex</w:t>
      </w:r>
      <w:r w:rsidR="00CF23CB" w:rsidRPr="000E05AF">
        <w:t xml:space="preserve"> </w:t>
      </w:r>
      <w:r w:rsidR="000E05AF" w:rsidRPr="000E05AF">
        <w:t>of 30 per cent based on the findings of a technical review undertaken by EMCa and reductions in relation to security and compliance expenditure and strategic property acquisitions.</w:t>
      </w:r>
      <w:r w:rsidR="007D66DD">
        <w:t xml:space="preserve"> We have accepted TransGrid's forecasts in relation to growth related capex.</w:t>
      </w:r>
    </w:p>
    <w:p w:rsidR="00ED2FAE" w:rsidRPr="00ED2FAE" w:rsidRDefault="003A63C5" w:rsidP="000927CF">
      <w:pPr>
        <w:pStyle w:val="AERbulletlistfirststyle"/>
      </w:pPr>
      <w:r>
        <w:lastRenderedPageBreak/>
        <w:t>Total forecast operating expenditure</w:t>
      </w:r>
      <w:r w:rsidR="004A300B">
        <w:t xml:space="preserve"> (opex)</w:t>
      </w:r>
      <w:r>
        <w:t xml:space="preserve">. </w:t>
      </w:r>
      <w:r w:rsidR="00ED2FAE" w:rsidRPr="009F4C42">
        <w:t xml:space="preserve">We </w:t>
      </w:r>
      <w:r w:rsidR="00ED2FAE">
        <w:t>are not satisfied that TransG</w:t>
      </w:r>
      <w:r w:rsidR="00ED2FAE" w:rsidRPr="009F4C42">
        <w:t xml:space="preserve">rid's </w:t>
      </w:r>
      <w:r w:rsidR="00ED2FAE">
        <w:t xml:space="preserve">proposed total forecast </w:t>
      </w:r>
      <w:r w:rsidR="00ED2FAE" w:rsidRPr="009F4C42">
        <w:t xml:space="preserve">opex </w:t>
      </w:r>
      <w:r w:rsidR="00ED2FAE">
        <w:t>reasonably reflects the opex criteria.</w:t>
      </w:r>
      <w:r w:rsidR="00ED2FAE" w:rsidRPr="00BF068A">
        <w:rPr>
          <w:rStyle w:val="FootnoteReference"/>
        </w:rPr>
        <w:footnoteReference w:id="10"/>
      </w:r>
      <w:r w:rsidR="00ED2FAE">
        <w:t xml:space="preserve"> Our estimate of the total forecast opex TransGrid would require over the forecast period is </w:t>
      </w:r>
      <w:r w:rsidR="00ED2FAE" w:rsidRPr="002556AD">
        <w:rPr>
          <w:rStyle w:val="AERbody"/>
        </w:rPr>
        <w:t>$</w:t>
      </w:r>
      <w:r w:rsidR="00882D06">
        <w:rPr>
          <w:rStyle w:val="AERbody"/>
        </w:rPr>
        <w:t>659.7</w:t>
      </w:r>
      <w:r w:rsidR="00D33430" w:rsidRPr="002556AD">
        <w:rPr>
          <w:rStyle w:val="AERbody"/>
        </w:rPr>
        <w:t xml:space="preserve"> </w:t>
      </w:r>
      <w:r w:rsidR="00ED2FAE" w:rsidRPr="002556AD">
        <w:rPr>
          <w:rStyle w:val="AERbody"/>
        </w:rPr>
        <w:t>million ($2013</w:t>
      </w:r>
      <w:r w:rsidR="00ED2FAE" w:rsidRPr="002556AD">
        <w:rPr>
          <w:rStyle w:val="AERbody"/>
          <w:rFonts w:hint="eastAsia"/>
        </w:rPr>
        <w:t>–</w:t>
      </w:r>
      <w:r w:rsidR="00ED2FAE" w:rsidRPr="002556AD">
        <w:rPr>
          <w:rStyle w:val="AERbody"/>
        </w:rPr>
        <w:t>14)</w:t>
      </w:r>
      <w:r w:rsidR="00DD6BDA">
        <w:rPr>
          <w:rStyle w:val="AERbody"/>
        </w:rPr>
        <w:t>,</w:t>
      </w:r>
      <w:r w:rsidR="00ED2FAE" w:rsidRPr="002556AD">
        <w:rPr>
          <w:rStyle w:val="AERbody"/>
        </w:rPr>
        <w:t xml:space="preserve"> </w:t>
      </w:r>
      <w:r w:rsidR="008038AA">
        <w:rPr>
          <w:rStyle w:val="AERbody"/>
        </w:rPr>
        <w:t xml:space="preserve">around </w:t>
      </w:r>
      <w:r w:rsidR="00882D06" w:rsidRPr="002556AD">
        <w:rPr>
          <w:rStyle w:val="AERbody"/>
        </w:rPr>
        <w:t>1</w:t>
      </w:r>
      <w:r w:rsidR="00882D06">
        <w:rPr>
          <w:rStyle w:val="AERbody"/>
        </w:rPr>
        <w:t>6</w:t>
      </w:r>
      <w:r w:rsidR="00882D06" w:rsidRPr="002556AD">
        <w:rPr>
          <w:rStyle w:val="AERbody"/>
        </w:rPr>
        <w:t xml:space="preserve"> </w:t>
      </w:r>
      <w:r w:rsidR="00ED2FAE" w:rsidRPr="002556AD">
        <w:rPr>
          <w:rStyle w:val="AERbody"/>
        </w:rPr>
        <w:t>per cent less than TransGrid's forecast.</w:t>
      </w:r>
      <w:r>
        <w:rPr>
          <w:rStyle w:val="AERbody"/>
        </w:rPr>
        <w:t xml:space="preserve"> </w:t>
      </w:r>
      <w:r w:rsidR="00ED2FAE" w:rsidRPr="00ED2FAE">
        <w:t>The key areas of difference between our alternative estimate and TransGrid's proposal ar</w:t>
      </w:r>
      <w:r>
        <w:t xml:space="preserve">ise </w:t>
      </w:r>
      <w:r w:rsidR="000927CF">
        <w:t xml:space="preserve">from its forecasting method, which included selective adjustments to increase </w:t>
      </w:r>
      <w:r w:rsidR="004A300B">
        <w:t>the</w:t>
      </w:r>
      <w:r w:rsidR="000927CF">
        <w:t xml:space="preserve"> base year expenditure</w:t>
      </w:r>
      <w:r w:rsidR="004A300B">
        <w:t xml:space="preserve"> used to forecast opex</w:t>
      </w:r>
      <w:r w:rsidR="000927CF">
        <w:t>, and proposed step changes which we are not satisfied are necessary or efficient.</w:t>
      </w:r>
    </w:p>
    <w:p w:rsidR="00433447" w:rsidRPr="00322B53" w:rsidRDefault="003A63C5" w:rsidP="00F02D30">
      <w:pPr>
        <w:pStyle w:val="AERbodytext"/>
      </w:pPr>
      <w:r w:rsidRPr="00F02D30">
        <w:rPr>
          <w:rStyle w:val="AERbody"/>
        </w:rPr>
        <w:t xml:space="preserve">We are satisfied that our draft decision strikes </w:t>
      </w:r>
      <w:r>
        <w:rPr>
          <w:rStyle w:val="AERbody"/>
        </w:rPr>
        <w:t>an appropriate</w:t>
      </w:r>
      <w:r w:rsidRPr="00F02D30">
        <w:rPr>
          <w:rStyle w:val="AERbody"/>
        </w:rPr>
        <w:t xml:space="preserve"> balance between the efficient investment, operation and use of electricity services that contribute to the achievement of the NEO. We are satisfied the overall revenue allowance </w:t>
      </w:r>
      <w:r w:rsidR="009A3B0F">
        <w:rPr>
          <w:rStyle w:val="AERbody"/>
        </w:rPr>
        <w:t>we propose</w:t>
      </w:r>
      <w:r w:rsidR="002C1B79">
        <w:rPr>
          <w:rStyle w:val="AERbody"/>
        </w:rPr>
        <w:t xml:space="preserve"> </w:t>
      </w:r>
      <w:r w:rsidRPr="00F02D30">
        <w:rPr>
          <w:rStyle w:val="AERbody"/>
        </w:rPr>
        <w:t xml:space="preserve">for TransGrid provides a return sufficient to promote efficient investment, while also providing TransGrid incentives to operate its network more efficiently. </w:t>
      </w:r>
    </w:p>
    <w:p w:rsidR="003B0D45" w:rsidRPr="00715EF7" w:rsidRDefault="003B0D45" w:rsidP="00E14922">
      <w:pPr>
        <w:pStyle w:val="Heading1"/>
      </w:pPr>
      <w:bookmarkStart w:id="7" w:name="_Toc404437597"/>
      <w:r w:rsidRPr="00E14922">
        <w:lastRenderedPageBreak/>
        <w:t>About our draft decision</w:t>
      </w:r>
      <w:r w:rsidRPr="00322B53">
        <w:t xml:space="preserve"> </w:t>
      </w:r>
      <w:r w:rsidRPr="00D85EAE">
        <w:t>– context</w:t>
      </w:r>
      <w:r w:rsidRPr="005C19C9">
        <w:t xml:space="preserve"> and framework</w:t>
      </w:r>
      <w:bookmarkEnd w:id="7"/>
    </w:p>
    <w:p w:rsidR="0031055C" w:rsidRDefault="0031055C" w:rsidP="0031055C">
      <w:pPr>
        <w:pStyle w:val="AERbodytext"/>
      </w:pPr>
      <w:r>
        <w:t>The NEL anticipates that there may be two or more possible overall outcomes that will or are likely to contribute to the achievement of the NEO. In those cases, we must make the decision we are satisfied will contribute to the achievement of the NEO to the greatest degree.</w:t>
      </w:r>
      <w:r>
        <w:rPr>
          <w:rStyle w:val="FootnoteReference"/>
        </w:rPr>
        <w:footnoteReference w:id="11"/>
      </w:r>
    </w:p>
    <w:p w:rsidR="004936A9" w:rsidRDefault="004936A9" w:rsidP="0031055C">
      <w:pPr>
        <w:pStyle w:val="AERbodytext"/>
      </w:pPr>
      <w:r>
        <w:t>This overview sets out why we are satisfied that our draft decision will contribute to the achievement of the NEO to the greatest degree.</w:t>
      </w:r>
      <w:r>
        <w:rPr>
          <w:rStyle w:val="FootnoteReference"/>
        </w:rPr>
        <w:footnoteReference w:id="12"/>
      </w:r>
      <w:r>
        <w:t xml:space="preserve"> Specifically, we address section 16 of the NEL which sets out how we must exercise our regulatory functions and powers. </w:t>
      </w:r>
      <w:r w:rsidR="003E0A83">
        <w:t>This overview sets out</w:t>
      </w:r>
      <w:r>
        <w:t xml:space="preserve"> our holistic analysis. The Australian Energy Market Commission</w:t>
      </w:r>
      <w:r w:rsidR="00A35263">
        <w:t xml:space="preserve"> (AEMC)</w:t>
      </w:r>
      <w:r>
        <w:t xml:space="preserve"> and Ministers considered taking a more holistic approach is essential to our task, under the regulatory and limited merits review regimes.</w:t>
      </w:r>
      <w:r>
        <w:rPr>
          <w:rStyle w:val="FootnoteReference"/>
        </w:rPr>
        <w:footnoteReference w:id="13"/>
      </w:r>
      <w:r>
        <w:t xml:space="preserve"> The attachments and appendices that follow include more specific detailed analysis for each constituent component of this draft decision. This overview </w:t>
      </w:r>
      <w:r w:rsidR="009A3B0F">
        <w:t>is based</w:t>
      </w:r>
      <w:r>
        <w:t xml:space="preserve"> on that detailed analysis</w:t>
      </w:r>
      <w:r w:rsidR="00DD6BDA">
        <w:t>,</w:t>
      </w:r>
      <w:r>
        <w:t xml:space="preserve"> especially in identifying key interrelationships that drive our overall </w:t>
      </w:r>
      <w:r w:rsidR="0031055C">
        <w:t xml:space="preserve">draft </w:t>
      </w:r>
      <w:r>
        <w:t>decision.</w:t>
      </w:r>
      <w:r>
        <w:rPr>
          <w:rStyle w:val="FootnoteReference"/>
        </w:rPr>
        <w:footnoteReference w:id="14"/>
      </w:r>
      <w:r>
        <w:t xml:space="preserve"> </w:t>
      </w:r>
    </w:p>
    <w:p w:rsidR="004936A9" w:rsidRDefault="004936A9" w:rsidP="004936A9">
      <w:pPr>
        <w:pStyle w:val="AERbodytext"/>
      </w:pPr>
      <w:r w:rsidRPr="00892ECD">
        <w:t xml:space="preserve">The NEL and the NER provide the </w:t>
      </w:r>
      <w:r>
        <w:t>legal</w:t>
      </w:r>
      <w:r w:rsidRPr="00892ECD">
        <w:t xml:space="preserve"> framework under which we operate. </w:t>
      </w:r>
      <w:r>
        <w:t>The NEO is the central feature of the legal framework. The NEO is to promote efficient investment in, and efficient operation and use of, electricity services for the long term interests of consumers of electricity with respect to—</w:t>
      </w:r>
    </w:p>
    <w:p w:rsidR="004936A9" w:rsidRPr="00DC6DCC" w:rsidRDefault="004936A9" w:rsidP="004936A9">
      <w:pPr>
        <w:pStyle w:val="AERquote"/>
      </w:pPr>
      <w:r>
        <w:t>price, quality, safety, reliability and security of supply of electricity; and</w:t>
      </w:r>
    </w:p>
    <w:p w:rsidR="004936A9" w:rsidRDefault="004936A9" w:rsidP="004936A9">
      <w:pPr>
        <w:pStyle w:val="AERquote"/>
      </w:pPr>
      <w:r>
        <w:t>the reliability, safety and security of the national electricity system.</w:t>
      </w:r>
      <w:r w:rsidRPr="00DC6DCC">
        <w:rPr>
          <w:rStyle w:val="FootnoteReference"/>
        </w:rPr>
        <w:footnoteReference w:id="15"/>
      </w:r>
      <w:r w:rsidRPr="00DC6DCC">
        <w:t xml:space="preserve">  </w:t>
      </w:r>
    </w:p>
    <w:p w:rsidR="004936A9" w:rsidRDefault="004936A9" w:rsidP="004936A9">
      <w:pPr>
        <w:pStyle w:val="AERbodytext"/>
      </w:pPr>
      <w:r w:rsidRPr="00414A8C">
        <w:t>The NE</w:t>
      </w:r>
      <w:r>
        <w:t>L also includes</w:t>
      </w:r>
      <w:r w:rsidRPr="00414A8C">
        <w:t xml:space="preserve"> the revenue and pricing principles</w:t>
      </w:r>
      <w:r>
        <w:t xml:space="preserve"> (RPP), which support the NEO</w:t>
      </w:r>
      <w:r w:rsidRPr="00414A8C">
        <w:t>.</w:t>
      </w:r>
      <w:r>
        <w:rPr>
          <w:rStyle w:val="FootnoteReference"/>
        </w:rPr>
        <w:footnoteReference w:id="16"/>
      </w:r>
      <w:r>
        <w:t xml:space="preserve"> </w:t>
      </w:r>
      <w:r w:rsidR="003E0A83">
        <w:t>As the NEL requires</w:t>
      </w:r>
      <w:r w:rsidR="003E0A83">
        <w:rPr>
          <w:rStyle w:val="FootnoteReference"/>
        </w:rPr>
        <w:footnoteReference w:id="17"/>
      </w:r>
      <w:r w:rsidR="003E0A83">
        <w:t xml:space="preserve">, we have taken the RPPs into account throughout our analysis. </w:t>
      </w:r>
      <w:r>
        <w:t>The RPPs are:</w:t>
      </w:r>
    </w:p>
    <w:p w:rsidR="004936A9" w:rsidRPr="00AF78C7" w:rsidRDefault="004936A9" w:rsidP="004936A9">
      <w:pPr>
        <w:pStyle w:val="AERquote"/>
      </w:pPr>
      <w:bookmarkStart w:id="8" w:name="id3d9e0c67_2587_487c_84b5_232488295210_a"/>
      <w:r w:rsidRPr="00AF78C7">
        <w:tab/>
        <w:t>A regulated network service provider should be provided with a reasonable opportunity to recover at least the efficient costs the operator incurs in—</w:t>
      </w:r>
      <w:bookmarkEnd w:id="8"/>
    </w:p>
    <w:p w:rsidR="004936A9" w:rsidRPr="00AF78C7" w:rsidRDefault="004936A9" w:rsidP="004936A9">
      <w:pPr>
        <w:pStyle w:val="AERquotebullet1"/>
      </w:pPr>
      <w:r w:rsidRPr="00AF78C7">
        <w:t>providing direct control network services; and</w:t>
      </w:r>
    </w:p>
    <w:p w:rsidR="004936A9" w:rsidRPr="00AF78C7" w:rsidRDefault="004936A9" w:rsidP="004936A9">
      <w:pPr>
        <w:pStyle w:val="AERquotebullet1"/>
      </w:pPr>
      <w:bookmarkStart w:id="9" w:name="id39d95c28_3773_4662_b32f_fead85a8dc26_0"/>
      <w:r w:rsidRPr="00AF78C7">
        <w:t>complying with a regulatory obligation or requirement or making a regulatory payment.</w:t>
      </w:r>
      <w:bookmarkEnd w:id="9"/>
    </w:p>
    <w:p w:rsidR="004936A9" w:rsidRPr="00AF78C7" w:rsidRDefault="004936A9" w:rsidP="004936A9">
      <w:pPr>
        <w:pStyle w:val="AERquote"/>
      </w:pPr>
      <w:r w:rsidRPr="00AF78C7">
        <w:tab/>
        <w:t>A regulated network service provider should be provided with effective incentives in order to promote economic efficiency with respect to direct control network services the operator provides. The economic efficiency that should be promoted includes—</w:t>
      </w:r>
    </w:p>
    <w:p w:rsidR="004936A9" w:rsidRPr="00AF78C7" w:rsidRDefault="004936A9" w:rsidP="004936A9">
      <w:pPr>
        <w:pStyle w:val="AERquotebullet1"/>
      </w:pPr>
      <w:r w:rsidRPr="00AF78C7">
        <w:t>efficient investment in a distribution system or transmission system with which the operator provides direct control network services; and</w:t>
      </w:r>
    </w:p>
    <w:p w:rsidR="004936A9" w:rsidRDefault="004936A9" w:rsidP="004936A9">
      <w:pPr>
        <w:pStyle w:val="AERquotebullet1"/>
      </w:pPr>
      <w:r w:rsidRPr="00AF78C7">
        <w:t>the efficient provision of electricity network services; and</w:t>
      </w:r>
    </w:p>
    <w:p w:rsidR="004936A9" w:rsidRPr="00AF78C7" w:rsidRDefault="004936A9" w:rsidP="004936A9">
      <w:pPr>
        <w:pStyle w:val="AERquotebullet1"/>
      </w:pPr>
      <w:r w:rsidRPr="00AF78C7">
        <w:t>the efficient use of the distribution system or transmission system with which the operator provides direct control network services.</w:t>
      </w:r>
    </w:p>
    <w:p w:rsidR="004936A9" w:rsidRPr="00AF78C7" w:rsidRDefault="004936A9" w:rsidP="004936A9">
      <w:pPr>
        <w:pStyle w:val="AERquote"/>
      </w:pPr>
      <w:r w:rsidRPr="00AF78C7">
        <w:t>Regard should be had to the regulatory asset base with respect to a distribution system or transmission system adopted—</w:t>
      </w:r>
    </w:p>
    <w:p w:rsidR="004936A9" w:rsidRPr="00AF78C7" w:rsidRDefault="004936A9" w:rsidP="004936A9">
      <w:pPr>
        <w:pStyle w:val="AERquotebullet1"/>
      </w:pPr>
      <w:r w:rsidRPr="00AF78C7">
        <w:lastRenderedPageBreak/>
        <w:t>in any previous—</w:t>
      </w:r>
    </w:p>
    <w:p w:rsidR="004936A9" w:rsidRPr="0014223F" w:rsidRDefault="004936A9" w:rsidP="00CF23CB">
      <w:pPr>
        <w:pStyle w:val="AERquotebullet1"/>
        <w:numPr>
          <w:ilvl w:val="1"/>
          <w:numId w:val="3"/>
        </w:numPr>
      </w:pPr>
      <w:r w:rsidRPr="00AF78C7">
        <w:t>as the case requires, distribution determination or transmission determination; or</w:t>
      </w:r>
    </w:p>
    <w:p w:rsidR="004936A9" w:rsidRPr="00AF78C7" w:rsidRDefault="004936A9" w:rsidP="00CF23CB">
      <w:pPr>
        <w:pStyle w:val="AERquotebullet1"/>
        <w:numPr>
          <w:ilvl w:val="1"/>
          <w:numId w:val="3"/>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4936A9" w:rsidRPr="00AF78C7" w:rsidRDefault="004936A9" w:rsidP="004936A9">
      <w:pPr>
        <w:pStyle w:val="AERquotebullet1"/>
      </w:pPr>
      <w:r w:rsidRPr="00AF78C7">
        <w:t>in the Rules.</w:t>
      </w:r>
    </w:p>
    <w:p w:rsidR="004936A9" w:rsidRPr="00AF78C7" w:rsidRDefault="004936A9" w:rsidP="004936A9">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4936A9" w:rsidRPr="00AF78C7" w:rsidRDefault="004936A9" w:rsidP="004936A9">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4936A9" w:rsidRDefault="004936A9" w:rsidP="004936A9">
      <w:pPr>
        <w:pStyle w:val="AERquote"/>
      </w:pPr>
      <w:r w:rsidRPr="00AF78C7">
        <w:t>Regard should be had to the economic costs and risks of the potential for under and over utilisation of a distribution system or transmission system with which a regulated</w:t>
      </w:r>
      <w:r w:rsidR="003E0A83">
        <w:t xml:space="preserve"> network service provider provides direct control services.</w:t>
      </w:r>
    </w:p>
    <w:p w:rsidR="004936A9" w:rsidRDefault="004936A9" w:rsidP="004936A9">
      <w:pPr>
        <w:pStyle w:val="AERbodytext"/>
      </w:pPr>
      <w:r>
        <w:t>We</w:t>
      </w:r>
      <w:r w:rsidRPr="00892ECD">
        <w:t xml:space="preserve"> regulat</w:t>
      </w:r>
      <w:r>
        <w:t>e</w:t>
      </w:r>
      <w:r w:rsidRPr="00892ECD">
        <w:t xml:space="preserve"> </w:t>
      </w:r>
      <w:r>
        <w:t>TNSP</w:t>
      </w:r>
      <w:r w:rsidRPr="00892ECD">
        <w:t>s</w:t>
      </w:r>
      <w:r>
        <w:t>'</w:t>
      </w:r>
      <w:r w:rsidRPr="00892ECD">
        <w:t xml:space="preserve"> </w:t>
      </w:r>
      <w:r>
        <w:t xml:space="preserve">revenue allowances for providing electricity network services </w:t>
      </w:r>
      <w:r w:rsidRPr="00892ECD">
        <w:t xml:space="preserve">in the NEM. </w:t>
      </w:r>
      <w:r w:rsidR="0031055C">
        <w:t xml:space="preserve">The NEL and NER operate to allow a TNSP </w:t>
      </w:r>
      <w:r w:rsidR="0008665B">
        <w:t>a reasonable</w:t>
      </w:r>
      <w:r w:rsidR="0031055C">
        <w:t xml:space="preserve"> opportunity to recover at least efficient costs. </w:t>
      </w:r>
      <w:r>
        <w:t>We set revenue allowances to balance all of the elements of the NEO and RPPs, consistent with Ministers' view that all of these principles are equally vital.</w:t>
      </w:r>
      <w:r>
        <w:rPr>
          <w:rStyle w:val="FootnoteReference"/>
        </w:rPr>
        <w:footnoteReference w:id="18"/>
      </w:r>
      <w:r>
        <w:t xml:space="preserve"> </w:t>
      </w:r>
      <w:r w:rsidR="00B706BB">
        <w:t xml:space="preserve">The revenue allowance determines the amount that </w:t>
      </w:r>
      <w:r>
        <w:t xml:space="preserve">TNSPs </w:t>
      </w:r>
      <w:r w:rsidR="00B706BB">
        <w:t xml:space="preserve">can </w:t>
      </w:r>
      <w:r>
        <w:t xml:space="preserve">recover from customers through network charges. </w:t>
      </w:r>
    </w:p>
    <w:p w:rsidR="004936A9" w:rsidRDefault="004936A9" w:rsidP="004936A9">
      <w:pPr>
        <w:pStyle w:val="AERbodytext"/>
      </w:pPr>
      <w:r>
        <w:t>C</w:t>
      </w:r>
      <w:r w:rsidRPr="00892ECD">
        <w:t>hapter 6</w:t>
      </w:r>
      <w:r>
        <w:t>A</w:t>
      </w:r>
      <w:r w:rsidRPr="00892ECD">
        <w:t xml:space="preserve"> of the NER provides </w:t>
      </w:r>
      <w:r>
        <w:t xml:space="preserve">specifically for the </w:t>
      </w:r>
      <w:r w:rsidRPr="00892ECD">
        <w:t xml:space="preserve">economic regulation of </w:t>
      </w:r>
      <w:r>
        <w:t>TNSP</w:t>
      </w:r>
      <w:r w:rsidRPr="00892ECD">
        <w:t>s</w:t>
      </w:r>
      <w:r>
        <w:t>. It includes detailed rules about the constituent components of our decisions, which are intended to contribute to the achievement of the NEO.</w:t>
      </w:r>
      <w:r>
        <w:rPr>
          <w:rStyle w:val="FootnoteReference"/>
        </w:rPr>
        <w:footnoteReference w:id="19"/>
      </w:r>
      <w:r>
        <w:t xml:space="preserve"> </w:t>
      </w:r>
    </w:p>
    <w:p w:rsidR="004936A9" w:rsidRPr="0014223F" w:rsidRDefault="004936A9" w:rsidP="004936A9">
      <w:pPr>
        <w:pStyle w:val="AERbodytext"/>
      </w:pPr>
      <w:r>
        <w:t>Given this legislative framework</w:t>
      </w:r>
      <w:r w:rsidRPr="0014223F">
        <w:t>, we consider the NEO and how to achieve it throughout our decision making processes.</w:t>
      </w:r>
    </w:p>
    <w:p w:rsidR="003B0D45" w:rsidRPr="001B326B" w:rsidRDefault="003B0D45" w:rsidP="001B326B">
      <w:pPr>
        <w:pStyle w:val="Heading2"/>
      </w:pPr>
      <w:bookmarkStart w:id="10" w:name="_Toc404437598"/>
      <w:r w:rsidRPr="001B326B">
        <w:t>Structure of our draft decision</w:t>
      </w:r>
      <w:bookmarkEnd w:id="10"/>
    </w:p>
    <w:p w:rsidR="004936A9" w:rsidRDefault="004936A9" w:rsidP="004936A9">
      <w:pPr>
        <w:pStyle w:val="AERbodytext"/>
      </w:pPr>
      <w:r>
        <w:t xml:space="preserve">Our draft decision consists of </w:t>
      </w:r>
      <w:r w:rsidR="005B6CF9">
        <w:t xml:space="preserve">two </w:t>
      </w:r>
      <w:r>
        <w:t>parts:</w:t>
      </w:r>
    </w:p>
    <w:p w:rsidR="004936A9" w:rsidRDefault="004936A9" w:rsidP="004936A9">
      <w:r w:rsidRPr="005F7371">
        <w:rPr>
          <w:rStyle w:val="AERtextbold"/>
        </w:rPr>
        <w:t>Part A: Overview</w:t>
      </w:r>
    </w:p>
    <w:p w:rsidR="004936A9" w:rsidRPr="007C1B07" w:rsidRDefault="004936A9" w:rsidP="004936A9">
      <w:pPr>
        <w:pStyle w:val="AERbodytext"/>
      </w:pPr>
      <w:r>
        <w:t>T</w:t>
      </w:r>
      <w:r w:rsidRPr="007C1B07">
        <w:t xml:space="preserve">his overview </w:t>
      </w:r>
      <w:r>
        <w:t>sets out why we consider our overall draft decision contributes to the achievement of the NEO</w:t>
      </w:r>
      <w:r w:rsidR="003E0A83">
        <w:t xml:space="preserve"> to the greatest degree</w:t>
      </w:r>
      <w:r w:rsidR="005B6CF9">
        <w:t>. The overview</w:t>
      </w:r>
      <w:r w:rsidRPr="007C1B07">
        <w:t>:</w:t>
      </w:r>
    </w:p>
    <w:p w:rsidR="004936A9" w:rsidRPr="00D85EAE" w:rsidRDefault="004936A9" w:rsidP="004936A9">
      <w:pPr>
        <w:pStyle w:val="AERbulletlistfirststyle"/>
      </w:pPr>
      <w:r w:rsidRPr="00D85EAE">
        <w:t xml:space="preserve">states our draft decision to reject </w:t>
      </w:r>
      <w:r w:rsidR="009340F2">
        <w:t>TransGrid</w:t>
      </w:r>
      <w:r w:rsidRPr="00D85EAE">
        <w:t>'s proposal and the total revenue allowance we propose to approve</w:t>
      </w:r>
    </w:p>
    <w:p w:rsidR="004936A9" w:rsidRPr="00BA042A" w:rsidRDefault="004936A9" w:rsidP="004936A9">
      <w:pPr>
        <w:pStyle w:val="AERbulletlistfirststyle"/>
      </w:pPr>
      <w:r>
        <w:t xml:space="preserve">outlines </w:t>
      </w:r>
      <w:r w:rsidRPr="00BA042A">
        <w:t>the context and framework of our decision</w:t>
      </w:r>
      <w:r>
        <w:t>.</w:t>
      </w:r>
      <w:r w:rsidRPr="00BA042A">
        <w:t xml:space="preserve"> </w:t>
      </w:r>
      <w:r>
        <w:t>It discusses</w:t>
      </w:r>
      <w:r w:rsidRPr="00BA042A">
        <w:t xml:space="preserve"> the NEO</w:t>
      </w:r>
      <w:r w:rsidRPr="006B7961">
        <w:rPr>
          <w:rStyle w:val="AERsuperscript"/>
        </w:rPr>
        <w:footnoteReference w:id="20"/>
      </w:r>
      <w:r w:rsidRPr="006B7961">
        <w:rPr>
          <w:rStyle w:val="AERsuperscript"/>
        </w:rPr>
        <w:t xml:space="preserve"> </w:t>
      </w:r>
      <w:r w:rsidRPr="00BA042A">
        <w:t>and section 16 of the NEL</w:t>
      </w:r>
      <w:r>
        <w:t>, being the manner in which we must perform our economic regulatory functions and powers</w:t>
      </w:r>
    </w:p>
    <w:p w:rsidR="004936A9" w:rsidRPr="00F1706D" w:rsidRDefault="004936A9" w:rsidP="00CF23CB">
      <w:pPr>
        <w:pStyle w:val="AERbulletlistfirststyle"/>
      </w:pPr>
      <w:r>
        <w:t>set</w:t>
      </w:r>
      <w:r w:rsidR="005B6CF9">
        <w:t>s</w:t>
      </w:r>
      <w:r>
        <w:t xml:space="preserve"> out the reasons for our overall decision</w:t>
      </w:r>
      <w:r w:rsidR="005B6CF9">
        <w:t xml:space="preserve">, including </w:t>
      </w:r>
      <w:r>
        <w:t xml:space="preserve">why we consider our approach </w:t>
      </w:r>
      <w:r w:rsidRPr="00C108D0">
        <w:t>will</w:t>
      </w:r>
      <w:r>
        <w:t>,</w:t>
      </w:r>
      <w:r w:rsidRPr="00C108D0">
        <w:t xml:space="preserve"> or is likely to</w:t>
      </w:r>
      <w:r>
        <w:t xml:space="preserve">, </w:t>
      </w:r>
      <w:r w:rsidRPr="00C108D0">
        <w:t xml:space="preserve">contribute to the achievement of the </w:t>
      </w:r>
      <w:r>
        <w:t>NEO</w:t>
      </w:r>
      <w:r w:rsidR="005B6CF9">
        <w:t>.</w:t>
      </w:r>
    </w:p>
    <w:p w:rsidR="00920C3E" w:rsidRDefault="004936A9" w:rsidP="004936A9">
      <w:pPr>
        <w:pStyle w:val="AERbodytext"/>
      </w:pPr>
      <w:r w:rsidRPr="005F7371">
        <w:rPr>
          <w:rStyle w:val="AERtextbold"/>
        </w:rPr>
        <w:lastRenderedPageBreak/>
        <w:t>Part B: Attachments</w:t>
      </w:r>
      <w:r>
        <w:t xml:space="preserve"> </w:t>
      </w:r>
    </w:p>
    <w:p w:rsidR="004936A9" w:rsidRDefault="004936A9" w:rsidP="004936A9">
      <w:pPr>
        <w:pStyle w:val="AERbodytext"/>
      </w:pPr>
      <w:r>
        <w:t>Our attachments support the overview by setting out:</w:t>
      </w:r>
    </w:p>
    <w:p w:rsidR="004936A9" w:rsidRDefault="004936A9" w:rsidP="004936A9">
      <w:pPr>
        <w:pStyle w:val="AERbulletlistfirststyle"/>
      </w:pPr>
      <w:r>
        <w:t xml:space="preserve">our detailed analysis of </w:t>
      </w:r>
      <w:r w:rsidR="009340F2">
        <w:t>TransGrid</w:t>
      </w:r>
      <w:r>
        <w:t>'s regulatory proposal and our detailed reasons for developing an alternative total revenue allowance, by building block</w:t>
      </w:r>
      <w:r w:rsidR="00A35263">
        <w:t>,</w:t>
      </w:r>
      <w:r>
        <w:t xml:space="preserve"> and why we are satisfied that our decision, as a whole, contributes to the achievement of the NEO</w:t>
      </w:r>
    </w:p>
    <w:p w:rsidR="004936A9" w:rsidRDefault="004936A9" w:rsidP="004936A9">
      <w:pPr>
        <w:pStyle w:val="AERbulletlistfirststyle"/>
      </w:pPr>
      <w:r>
        <w:t>our demonstrated account of the revenue and pricing principles</w:t>
      </w:r>
    </w:p>
    <w:p w:rsidR="004936A9" w:rsidRDefault="004936A9" w:rsidP="004936A9">
      <w:pPr>
        <w:pStyle w:val="AERbulletlistfirststyle"/>
      </w:pPr>
      <w:r>
        <w:t>a compilation of the constituent components of our draft decision.</w:t>
      </w:r>
    </w:p>
    <w:p w:rsidR="003B0D45" w:rsidRDefault="003B0D45" w:rsidP="00E14922">
      <w:pPr>
        <w:pStyle w:val="Heading2"/>
      </w:pPr>
      <w:bookmarkStart w:id="11" w:name="_Toc404437599"/>
      <w:r w:rsidRPr="00E14922">
        <w:t>What is different</w:t>
      </w:r>
      <w:r w:rsidRPr="00F1706D">
        <w:t xml:space="preserve"> about this decision</w:t>
      </w:r>
      <w:r>
        <w:t>?</w:t>
      </w:r>
      <w:bookmarkEnd w:id="11"/>
    </w:p>
    <w:p w:rsidR="004936A9" w:rsidRDefault="004936A9" w:rsidP="004936A9">
      <w:r>
        <w:t xml:space="preserve">This is </w:t>
      </w:r>
      <w:r w:rsidR="00A35263">
        <w:t xml:space="preserve">one of </w:t>
      </w:r>
      <w:r>
        <w:t>the first draft decision</w:t>
      </w:r>
      <w:r w:rsidR="00A35263">
        <w:t>s</w:t>
      </w:r>
      <w:r>
        <w:t xml:space="preserve"> we have made following changes to the NEL and NER in 2012 and 2013. The NEL and NER were changed to provide greater emphasis on the NEO and greater discretion to us.</w:t>
      </w:r>
      <w:r>
        <w:rPr>
          <w:rStyle w:val="FootnoteReference"/>
        </w:rPr>
        <w:footnoteReference w:id="21"/>
      </w:r>
      <w:r>
        <w:t xml:space="preserve"> The amended NER allow and encourage us to approach decision making more holistically to meet overall objectives consistent with the NEO and RPPs.</w:t>
      </w:r>
      <w:r>
        <w:rPr>
          <w:rStyle w:val="FootnoteReference"/>
        </w:rPr>
        <w:footnoteReference w:id="22"/>
      </w:r>
      <w:r>
        <w:t xml:space="preserve"> These changes also sought </w:t>
      </w:r>
      <w:r w:rsidRPr="00B6048A">
        <w:t>to give consumers a clearer and more prominent role in the decision making process.</w:t>
      </w:r>
      <w:r>
        <w:rPr>
          <w:rStyle w:val="FootnoteReference"/>
        </w:rPr>
        <w:footnoteReference w:id="23"/>
      </w:r>
    </w:p>
    <w:p w:rsidR="004936A9" w:rsidRDefault="004936A9" w:rsidP="004936A9">
      <w:r>
        <w:t xml:space="preserve">In 2013, the NEL was changed with similar aims in mind. Energy Ministers intend that the long term interests of consumers should be </w:t>
      </w:r>
      <w:r w:rsidR="00B706BB">
        <w:t>a key focus in</w:t>
      </w:r>
      <w:r>
        <w:t xml:space="preserve"> determining our decision.</w:t>
      </w:r>
      <w:r>
        <w:rPr>
          <w:rStyle w:val="FootnoteReference"/>
        </w:rPr>
        <w:footnoteReference w:id="24"/>
      </w:r>
      <w:r>
        <w:t xml:space="preserve"> The changes also encourage analysis of the decision as a whole in light of the NEO</w:t>
      </w:r>
      <w:r w:rsidR="00B706BB">
        <w:t xml:space="preserve"> when making decisions on constituent components</w:t>
      </w:r>
      <w:r>
        <w:t>.</w:t>
      </w:r>
      <w:r>
        <w:rPr>
          <w:rStyle w:val="FootnoteReference"/>
        </w:rPr>
        <w:footnoteReference w:id="25"/>
      </w:r>
      <w:r>
        <w:t xml:space="preserve"> </w:t>
      </w:r>
    </w:p>
    <w:p w:rsidR="004936A9" w:rsidRDefault="003E0A83" w:rsidP="004936A9">
      <w:r>
        <w:t>These legislative changes have made this decision different from our previous decisions. In particular, for the first time, we have specifically assessed our overall revenue decision and its contribution to the achievement of the NEO.</w:t>
      </w:r>
      <w:r>
        <w:rPr>
          <w:rStyle w:val="FootnoteReference"/>
        </w:rPr>
        <w:footnoteReference w:id="26"/>
      </w:r>
      <w:r>
        <w:t xml:space="preserve"> </w:t>
      </w:r>
      <w:r w:rsidR="004936A9">
        <w:t xml:space="preserve">We consider </w:t>
      </w:r>
      <w:r>
        <w:t>this an appropriate change as</w:t>
      </w:r>
      <w:r w:rsidR="004936A9">
        <w:t xml:space="preserve"> we determine an overall revenue allowance.</w:t>
      </w:r>
      <w:r w:rsidR="004936A9">
        <w:rPr>
          <w:rStyle w:val="FootnoteReference"/>
        </w:rPr>
        <w:footnoteReference w:id="27"/>
      </w:r>
      <w:r w:rsidR="004936A9">
        <w:t xml:space="preserve"> </w:t>
      </w:r>
      <w:r w:rsidR="005B6CF9">
        <w:t xml:space="preserve">We do not seek to interfere in the decisions a TNSP will make about how and when to spend the total capital and operating expenditure allowances to run its network. </w:t>
      </w:r>
      <w:r w:rsidR="004936A9">
        <w:t xml:space="preserve">For example, we do not approve individual capital expenditure (capex) projects that a TNSP must then implement. </w:t>
      </w:r>
      <w:r>
        <w:t>Rather</w:t>
      </w:r>
      <w:r w:rsidR="004936A9">
        <w:t xml:space="preserve">, we </w:t>
      </w:r>
      <w:r>
        <w:t>determine</w:t>
      </w:r>
      <w:r w:rsidR="004936A9">
        <w:t xml:space="preserve"> the sum total of revenue that we consider satisfies the requirements of the NEL and NER.</w:t>
      </w:r>
      <w:r w:rsidR="004936A9">
        <w:rPr>
          <w:rStyle w:val="FootnoteReference"/>
        </w:rPr>
        <w:footnoteReference w:id="28"/>
      </w:r>
      <w:r w:rsidR="004936A9">
        <w:t xml:space="preserve"> Consistent with incentive regulation, it is then for the TNSP to determine the particulars of how this allowance is applied in the next regulatory control period (usually five years). </w:t>
      </w:r>
      <w:r>
        <w:t xml:space="preserve">As the overall </w:t>
      </w:r>
      <w:r>
        <w:lastRenderedPageBreak/>
        <w:t>revenue allowance is the key bi</w:t>
      </w:r>
      <w:r w:rsidR="00A35263">
        <w:t>n</w:t>
      </w:r>
      <w:r>
        <w:t>ding feature of our draft decision, it is important that we specifically assess its contribution to the achievement of the NEO.</w:t>
      </w:r>
    </w:p>
    <w:p w:rsidR="003B0D45" w:rsidRDefault="003B0D45" w:rsidP="00E14922">
      <w:pPr>
        <w:pStyle w:val="Heading2"/>
      </w:pPr>
      <w:bookmarkStart w:id="12" w:name="_Toc404437600"/>
      <w:r w:rsidRPr="00352D7C">
        <w:t>Und</w:t>
      </w:r>
      <w:r w:rsidRPr="00E14922">
        <w:t>erstanding</w:t>
      </w:r>
      <w:r>
        <w:t xml:space="preserve"> the NEO</w:t>
      </w:r>
      <w:bookmarkEnd w:id="12"/>
    </w:p>
    <w:p w:rsidR="00073591" w:rsidRDefault="00073591" w:rsidP="004936A9">
      <w:r>
        <w:t>The NEO is to promote three factors in the long term interests of consumers:</w:t>
      </w:r>
    </w:p>
    <w:p w:rsidR="00073591" w:rsidRDefault="00073591" w:rsidP="005868A1">
      <w:pPr>
        <w:pStyle w:val="AERbulletlistfirststyle"/>
      </w:pPr>
      <w:r>
        <w:t>efficient investment in</w:t>
      </w:r>
    </w:p>
    <w:p w:rsidR="00073591" w:rsidRDefault="00073591" w:rsidP="005868A1">
      <w:pPr>
        <w:pStyle w:val="AERbulletlistfirststyle"/>
      </w:pPr>
      <w:r>
        <w:t>efficient operation of</w:t>
      </w:r>
    </w:p>
    <w:p w:rsidR="00073591" w:rsidRDefault="00073591" w:rsidP="005868A1">
      <w:pPr>
        <w:pStyle w:val="AERbulletlistfirststyle"/>
      </w:pPr>
      <w:r>
        <w:t>efficient use of</w:t>
      </w:r>
    </w:p>
    <w:p w:rsidR="00073591" w:rsidRDefault="00073591" w:rsidP="005868A1">
      <w:pPr>
        <w:pStyle w:val="AERbodytext"/>
      </w:pPr>
      <w:r>
        <w:t>electricity services.</w:t>
      </w:r>
    </w:p>
    <w:p w:rsidR="004936A9" w:rsidRDefault="004936A9" w:rsidP="004936A9">
      <w:r>
        <w:t>Energy Ministers have provided us with a substantial body of analysis and explanation that guides our understanding of the NEO.</w:t>
      </w:r>
      <w:r>
        <w:rPr>
          <w:rStyle w:val="FootnoteReference"/>
        </w:rPr>
        <w:footnoteReference w:id="29"/>
      </w:r>
      <w:r w:rsidR="00073591">
        <w:t xml:space="preserve"> </w:t>
      </w:r>
      <w:r w:rsidRPr="004447AA">
        <w:t xml:space="preserve">The long term interests of consumers are not delivered by any one </w:t>
      </w:r>
      <w:r>
        <w:t>of the NEO</w:t>
      </w:r>
      <w:r w:rsidR="00073591">
        <w:t>'s factors</w:t>
      </w:r>
      <w:r>
        <w:t xml:space="preserve"> </w:t>
      </w:r>
      <w:r w:rsidRPr="004447AA">
        <w:t>in isolation, but rather by balancing the</w:t>
      </w:r>
      <w:r>
        <w:t>m</w:t>
      </w:r>
      <w:r w:rsidRPr="004447AA">
        <w:t>.</w:t>
      </w:r>
      <w:r w:rsidRPr="004447AA">
        <w:rPr>
          <w:rStyle w:val="FootnoteReference"/>
        </w:rPr>
        <w:footnoteReference w:id="30"/>
      </w:r>
      <w:r w:rsidR="00E50C9E">
        <w:t xml:space="preserve"> </w:t>
      </w:r>
    </w:p>
    <w:p w:rsidR="004936A9" w:rsidRDefault="004936A9" w:rsidP="004936A9">
      <w:r>
        <w:t xml:space="preserve">In general, we consider that we will achieve this balance and, therefore, contribute to the achievement of the NEO where consumers </w:t>
      </w:r>
      <w:r w:rsidR="00B706BB">
        <w:t xml:space="preserve">are provided </w:t>
      </w:r>
      <w:r>
        <w:t>a reasonable level of service at the lowest sustainable price.</w:t>
      </w:r>
      <w:r>
        <w:rPr>
          <w:rStyle w:val="FootnoteReference"/>
        </w:rPr>
        <w:footnoteReference w:id="31"/>
      </w:r>
      <w:r>
        <w:t xml:space="preserve"> In most industries, competition creates this outcome. Competition drives suppliers to develop their offerings to attract customers. Where a supplier’s offering is not attractive it risks being displaced by other suppliers.</w:t>
      </w:r>
    </w:p>
    <w:p w:rsidR="004936A9" w:rsidRDefault="004936A9" w:rsidP="004936A9">
      <w:r>
        <w:t xml:space="preserve">However, in the energy networks industry the usual competitive disciplines do not operate. The TNSPs are largely natural monopolies. Many of the products they offer are essential services for most consumers. Consequently, </w:t>
      </w:r>
      <w:r w:rsidR="00A558F1">
        <w:t xml:space="preserve">in an uncompetitive environment, </w:t>
      </w:r>
      <w:r>
        <w:t>consumers have little choice but to accept the quality and price the TNSPs offer.</w:t>
      </w:r>
    </w:p>
    <w:p w:rsidR="004936A9" w:rsidRDefault="004936A9" w:rsidP="004936A9">
      <w:r>
        <w:t>The NEL and NER aim to remedy the absence of competition by empowering us, as the regulator, to make decisions that are in the long term interests of consumers. In particular, we might need to require the TNSPs to offer their services at a different price than they would choose themselves.</w:t>
      </w:r>
      <w:r w:rsidR="00A558F1">
        <w:t xml:space="preserve"> By its nature, this process will involve exercising regulatory discretion to balance the NEO's various factors.</w:t>
      </w:r>
    </w:p>
    <w:p w:rsidR="004936A9" w:rsidRDefault="004936A9" w:rsidP="004936A9">
      <w:r>
        <w:t xml:space="preserve">It is important to recognise that there is no </w:t>
      </w:r>
      <w:r w:rsidR="00A0132E">
        <w:t xml:space="preserve">unique </w:t>
      </w:r>
      <w:r>
        <w:t>correct answer that will solely contribute to the achievement of the NEO. The nature of decisions in the energy sector is such that there may be a range of economically efficient decisions, with different implications for the long term interests of consumers.</w:t>
      </w:r>
      <w:r>
        <w:rPr>
          <w:rStyle w:val="FootnoteReference"/>
        </w:rPr>
        <w:footnoteReference w:id="32"/>
      </w:r>
      <w:r>
        <w:t xml:space="preserve"> At the same time, however, there are a range of outcomes that are unlikely to advance the NEO to a satisfactory extent. For example, we do not consider that the NEO would be advanced if </w:t>
      </w:r>
      <w:r w:rsidR="00647871">
        <w:t xml:space="preserve">allowed </w:t>
      </w:r>
      <w:r>
        <w:t xml:space="preserve">revenues </w:t>
      </w:r>
      <w:r w:rsidR="00647871">
        <w:t>encourage</w:t>
      </w:r>
      <w:r>
        <w:t xml:space="preserve"> overinvestment and</w:t>
      </w:r>
      <w:r w:rsidR="00647871">
        <w:t xml:space="preserve"> result in</w:t>
      </w:r>
      <w:r>
        <w:t xml:space="preserve"> prices so high that consumers are unwilling or unable to efficiently </w:t>
      </w:r>
      <w:r w:rsidR="00647871">
        <w:t xml:space="preserve">use </w:t>
      </w:r>
      <w:r>
        <w:t>the network.</w:t>
      </w:r>
      <w:r>
        <w:rPr>
          <w:rStyle w:val="FootnoteReference"/>
        </w:rPr>
        <w:footnoteReference w:id="33"/>
      </w:r>
      <w:r>
        <w:t xml:space="preserve"> </w:t>
      </w:r>
      <w:r w:rsidR="00647871">
        <w:t xml:space="preserve">This could have significant longer term pricing implications for those consumers who continue to use network services. </w:t>
      </w:r>
      <w:r>
        <w:t xml:space="preserve">Equally, we do not consider the NEO would be advanced if </w:t>
      </w:r>
      <w:r w:rsidR="00647871">
        <w:t>allowed</w:t>
      </w:r>
      <w:r>
        <w:t xml:space="preserve"> revenues result in prices so low that investors are unwilling to </w:t>
      </w:r>
      <w:r w:rsidR="00647871">
        <w:t xml:space="preserve">invest as </w:t>
      </w:r>
      <w:r w:rsidR="00647871">
        <w:lastRenderedPageBreak/>
        <w:t xml:space="preserve">required to adequately maintain </w:t>
      </w:r>
      <w:r>
        <w:t xml:space="preserve">the </w:t>
      </w:r>
      <w:r w:rsidR="00647871">
        <w:t xml:space="preserve">appropriate quality and level of </w:t>
      </w:r>
      <w:r>
        <w:t>service, creating long</w:t>
      </w:r>
      <w:r w:rsidR="00647871">
        <w:t>er</w:t>
      </w:r>
      <w:r>
        <w:t xml:space="preserve"> term </w:t>
      </w:r>
      <w:r w:rsidR="00647871">
        <w:t xml:space="preserve">problems </w:t>
      </w:r>
      <w:r>
        <w:t>in the network.</w:t>
      </w:r>
      <w:r>
        <w:rPr>
          <w:rStyle w:val="FootnoteReference"/>
        </w:rPr>
        <w:footnoteReference w:id="34"/>
      </w:r>
      <w:r>
        <w:t xml:space="preserve"> This can have </w:t>
      </w:r>
      <w:r w:rsidR="00647871">
        <w:t xml:space="preserve">adverse </w:t>
      </w:r>
      <w:r>
        <w:t>consequences for safety, security and reliability of the network</w:t>
      </w:r>
      <w:r w:rsidR="00A35263">
        <w:t>.</w:t>
      </w:r>
    </w:p>
    <w:p w:rsidR="003B0D45" w:rsidRDefault="003B0D45" w:rsidP="00E14922">
      <w:pPr>
        <w:pStyle w:val="Heading2"/>
      </w:pPr>
      <w:bookmarkStart w:id="13" w:name="_Toc404437601"/>
      <w:r>
        <w:t xml:space="preserve">The </w:t>
      </w:r>
      <w:r w:rsidRPr="00E14922">
        <w:t>transition</w:t>
      </w:r>
      <w:r>
        <w:t xml:space="preserve">al and subsequent </w:t>
      </w:r>
      <w:r w:rsidRPr="000F3512">
        <w:t>regulatory</w:t>
      </w:r>
      <w:r>
        <w:t xml:space="preserve"> control periods</w:t>
      </w:r>
      <w:bookmarkEnd w:id="13"/>
    </w:p>
    <w:p w:rsidR="005E189E" w:rsidRPr="00BD7821" w:rsidRDefault="005E189E" w:rsidP="005E189E">
      <w:pPr>
        <w:pStyle w:val="AERbodytext"/>
      </w:pPr>
      <w:r w:rsidRPr="00BD7821">
        <w:t xml:space="preserve">In November 2012, the AEMC introduced major changes to the economic regulation of </w:t>
      </w:r>
      <w:r w:rsidR="0062180D">
        <w:t>T</w:t>
      </w:r>
      <w:r w:rsidRPr="00BD7821">
        <w:t>NSPs under chapter 6</w:t>
      </w:r>
      <w:r w:rsidR="0062180D">
        <w:t>A</w:t>
      </w:r>
      <w:r w:rsidRPr="00BD7821">
        <w:t xml:space="preserve"> of the NER</w:t>
      </w:r>
      <w:r>
        <w:t xml:space="preserve"> (the new rules)</w:t>
      </w:r>
      <w:r w:rsidRPr="00BD7821">
        <w:t>.</w:t>
      </w:r>
      <w:r>
        <w:rPr>
          <w:rStyle w:val="FootnoteReference"/>
        </w:rPr>
        <w:footnoteReference w:id="35"/>
      </w:r>
    </w:p>
    <w:p w:rsidR="005E189E" w:rsidRDefault="005E189E" w:rsidP="005E189E">
      <w:pPr>
        <w:pStyle w:val="AERbodytext"/>
      </w:pPr>
      <w:r>
        <w:t>Prior to the making</w:t>
      </w:r>
      <w:r w:rsidRPr="00BD7821">
        <w:t xml:space="preserve"> of the new rules, </w:t>
      </w:r>
      <w:r w:rsidR="0048366A">
        <w:t>TransGrid's transmission determination was</w:t>
      </w:r>
      <w:r w:rsidRPr="00BD7821">
        <w:t xml:space="preserve"> due to commence on 1 July 2014 and would apply for a period of five years. </w:t>
      </w:r>
      <w:r w:rsidRPr="00661629">
        <w:t>However, the process was delayed so consumers</w:t>
      </w:r>
      <w:r>
        <w:t xml:space="preserve"> </w:t>
      </w:r>
      <w:r w:rsidRPr="00661629">
        <w:t>would receive the benefit of the new rules</w:t>
      </w:r>
      <w:r>
        <w:t xml:space="preserve">.  </w:t>
      </w:r>
    </w:p>
    <w:p w:rsidR="005E189E" w:rsidRPr="00BD7821" w:rsidRDefault="005E189E" w:rsidP="005E189E">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 </w:t>
      </w:r>
      <w:r w:rsidR="00645D13">
        <w:t xml:space="preserve">following </w:t>
      </w:r>
      <w:r>
        <w:t>period</w:t>
      </w:r>
      <w:r w:rsidR="00645D13">
        <w:t>s</w:t>
      </w:r>
      <w:r>
        <w:t>:</w:t>
      </w:r>
      <w:r w:rsidRPr="00777064">
        <w:rPr>
          <w:rStyle w:val="FootnoteReference"/>
        </w:rPr>
        <w:footnoteReference w:id="36"/>
      </w:r>
    </w:p>
    <w:p w:rsidR="005E189E" w:rsidRPr="00BD7821" w:rsidRDefault="005E189E" w:rsidP="005E189E">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5E189E" w:rsidRPr="00BD7821" w:rsidRDefault="005E189E" w:rsidP="005E189E">
      <w:pPr>
        <w:pStyle w:val="AERbulletlistfirststyle"/>
      </w:pPr>
      <w:r>
        <w:t xml:space="preserve">a regulatory control period </w:t>
      </w:r>
      <w:r w:rsidR="00645D13">
        <w:t>begin</w:t>
      </w:r>
      <w:r w:rsidR="00920C3E">
        <w:t>n</w:t>
      </w:r>
      <w:r w:rsidR="00583C57">
        <w:t>i</w:t>
      </w:r>
      <w:r w:rsidR="00645D13">
        <w:t>ng</w:t>
      </w:r>
      <w:r>
        <w:t xml:space="preserve"> 1 July 2015 referred to in the NER as 'the subsequent regulatory control period'.</w:t>
      </w:r>
      <w:r>
        <w:rPr>
          <w:rStyle w:val="FootnoteReference"/>
        </w:rPr>
        <w:footnoteReference w:id="37"/>
      </w:r>
    </w:p>
    <w:p w:rsidR="005E189E" w:rsidRDefault="005E189E" w:rsidP="00FD1C6F">
      <w:pPr>
        <w:pStyle w:val="AERbodytext"/>
      </w:pPr>
      <w:r>
        <w:t xml:space="preserve">For the transitional regulatory control period, we made a fast-tracked placeholder determination on </w:t>
      </w:r>
      <w:r w:rsidR="0048366A">
        <w:t>28 March</w:t>
      </w:r>
      <w:r>
        <w:t xml:space="preserve"> 2014 for </w:t>
      </w:r>
      <w:r w:rsidR="0048366A">
        <w:t>TransGrid</w:t>
      </w:r>
      <w:r>
        <w:t xml:space="preserve">. </w:t>
      </w:r>
      <w:r w:rsidR="00FD1C6F">
        <w:t>In that determination, w</w:t>
      </w:r>
      <w:r>
        <w:t xml:space="preserve">e were not satisfied with </w:t>
      </w:r>
      <w:r w:rsidR="0006019E">
        <w:t xml:space="preserve">TransGrid's </w:t>
      </w:r>
      <w:r>
        <w:t xml:space="preserve">proposed </w:t>
      </w:r>
      <w:r w:rsidR="00FE5AA6">
        <w:t>maximum allowed revenue</w:t>
      </w:r>
      <w:r>
        <w:t xml:space="preserve"> for the transitional regulatory control period and instead approved an alternative </w:t>
      </w:r>
      <w:r w:rsidR="00FE5AA6">
        <w:t>maximum allowed revenue</w:t>
      </w:r>
      <w:r>
        <w:t xml:space="preserve"> by adjusting a limited number of inputs to </w:t>
      </w:r>
      <w:r w:rsidR="0048366A">
        <w:t>TransGrid's proposal</w:t>
      </w:r>
      <w:r>
        <w:t xml:space="preserve">. We approved </w:t>
      </w:r>
      <w:r w:rsidR="00FD1C6F">
        <w:t>this</w:t>
      </w:r>
      <w:r>
        <w:t xml:space="preserve"> as a placeholder allowance that would later be adjusted (or 'trued-up') in our </w:t>
      </w:r>
      <w:r w:rsidR="0006019E">
        <w:t xml:space="preserve">full </w:t>
      </w:r>
      <w:r>
        <w:t xml:space="preserve">determination for the </w:t>
      </w:r>
      <w:r w:rsidR="0048366A">
        <w:t>subsequent</w:t>
      </w:r>
      <w:r>
        <w:t xml:space="preserve"> regulatory control period. </w:t>
      </w:r>
    </w:p>
    <w:p w:rsidR="00645D13" w:rsidRDefault="005E189E" w:rsidP="00645D13">
      <w:pPr>
        <w:pStyle w:val="AERbodytext"/>
      </w:pPr>
      <w:r>
        <w:t xml:space="preserve">A more detailed explanation of our placeholder determination and a description of how we apply the true up </w:t>
      </w:r>
      <w:r w:rsidR="0077116D">
        <w:t>are</w:t>
      </w:r>
      <w:r>
        <w:t xml:space="preserve"> set out in appendix</w:t>
      </w:r>
      <w:r w:rsidR="007A590E">
        <w:t xml:space="preserve"> B</w:t>
      </w:r>
      <w:r>
        <w:t>.</w:t>
      </w:r>
    </w:p>
    <w:p w:rsidR="00645D13" w:rsidRPr="00645D13" w:rsidRDefault="00FD1C6F" w:rsidP="00645D13">
      <w:pPr>
        <w:pStyle w:val="AERbodytext"/>
      </w:pPr>
      <w:r>
        <w:t>TransGrid</w:t>
      </w:r>
      <w:r w:rsidR="00645D13" w:rsidRPr="00645D13">
        <w:t xml:space="preserve"> proposed a </w:t>
      </w:r>
      <w:r w:rsidR="00583C57">
        <w:t>three</w:t>
      </w:r>
      <w:r w:rsidR="00645D13" w:rsidRPr="00645D13">
        <w:t xml:space="preserve"> year </w:t>
      </w:r>
      <w:r w:rsidR="008038AA">
        <w:t xml:space="preserve">subsequent </w:t>
      </w:r>
      <w:r w:rsidR="00645D13" w:rsidRPr="00645D13">
        <w:t>regula</w:t>
      </w:r>
      <w:r w:rsidR="00583C57">
        <w:t>tory control period (1 July 2015 to 30 June 2018). Under</w:t>
      </w:r>
      <w:r w:rsidR="00645D13" w:rsidRPr="00645D13">
        <w:t xml:space="preserve"> the NER</w:t>
      </w:r>
      <w:r w:rsidR="00583C57">
        <w:t>,</w:t>
      </w:r>
      <w:r w:rsidR="00645D13" w:rsidRPr="00645D13">
        <w:t xml:space="preserve"> regulatory control period</w:t>
      </w:r>
      <w:r w:rsidR="00583C57">
        <w:t xml:space="preserve">s are typically five years but </w:t>
      </w:r>
      <w:r>
        <w:t>TransGrid's proposal of three years was permitted under the transitional rules.</w:t>
      </w:r>
      <w:r w:rsidR="00583C57">
        <w:rPr>
          <w:rStyle w:val="FootnoteReference"/>
        </w:rPr>
        <w:footnoteReference w:id="38"/>
      </w:r>
      <w:r w:rsidR="00645D13" w:rsidRPr="00645D13">
        <w:t xml:space="preserve"> </w:t>
      </w:r>
      <w:r w:rsidR="006C3D5C">
        <w:t>We accepted</w:t>
      </w:r>
      <w:r w:rsidR="000A4A15">
        <w:t xml:space="preserve"> a regulatory control period of three years for TransGrid.  </w:t>
      </w:r>
    </w:p>
    <w:p w:rsidR="005E189E" w:rsidRDefault="00FE48F9" w:rsidP="00FE48F9">
      <w:pPr>
        <w:pStyle w:val="HeadingBoldBlue"/>
      </w:pPr>
      <w:r>
        <w:t>Rules applicable to this decision</w:t>
      </w:r>
    </w:p>
    <w:p w:rsidR="005E189E" w:rsidRDefault="00EB3BA3" w:rsidP="00EB3BA3">
      <w:pPr>
        <w:pStyle w:val="AERbodytext"/>
      </w:pPr>
      <w:r w:rsidRPr="009F4C42">
        <w:t xml:space="preserve">We assessed </w:t>
      </w:r>
      <w:r>
        <w:t>TransGrid</w:t>
      </w:r>
      <w:r w:rsidRPr="009F4C42">
        <w:t xml:space="preserve">'s regulatory proposal under version 58 of the NER as modified. </w:t>
      </w:r>
      <w:r>
        <w:t>Clause 11.58.5 of the Transitional Rules outlines that unlike the new version of the rules, we are excluded from using TransGrid's 2009</w:t>
      </w:r>
      <w:r w:rsidR="007A590E">
        <w:rPr>
          <w:rFonts w:cs="Gautami"/>
        </w:rPr>
        <w:t>–</w:t>
      </w:r>
      <w:r>
        <w:t>2014 period to conduct an ex post review of its capital expenditure.</w:t>
      </w:r>
      <w:r w:rsidRPr="009F4C42">
        <w:rPr>
          <w:rStyle w:val="FootnoteReference"/>
        </w:rPr>
        <w:footnoteReference w:id="39"/>
      </w:r>
      <w:r w:rsidRPr="009F4C42">
        <w:t xml:space="preserve"> </w:t>
      </w:r>
      <w:r w:rsidRPr="009F4C42">
        <w:lastRenderedPageBreak/>
        <w:t xml:space="preserve">This means we are not </w:t>
      </w:r>
      <w:r>
        <w:t>permitted</w:t>
      </w:r>
      <w:r w:rsidRPr="009F4C42">
        <w:t xml:space="preserve"> to adjust any of </w:t>
      </w:r>
      <w:r>
        <w:t>TransGrid'</w:t>
      </w:r>
      <w:r w:rsidRPr="009F4C42">
        <w:t xml:space="preserve">s opening RAB for any inefficient capex </w:t>
      </w:r>
      <w:r>
        <w:t xml:space="preserve">(as assessed to reasonably reflect the capex criteria and in a manner consistent with the capex objectives) </w:t>
      </w:r>
      <w:r w:rsidRPr="009F4C42">
        <w:t>during the 200</w:t>
      </w:r>
      <w:r>
        <w:t>9</w:t>
      </w:r>
      <w:r w:rsidRPr="009F4C42">
        <w:t>–1</w:t>
      </w:r>
      <w:r>
        <w:t>4</w:t>
      </w:r>
      <w:r w:rsidRPr="009F4C42">
        <w:t xml:space="preserve"> period. However, historical capex and opex </w:t>
      </w:r>
      <w:r w:rsidR="00E50C9E">
        <w:t xml:space="preserve">does </w:t>
      </w:r>
      <w:r w:rsidRPr="009F4C42">
        <w:t>inform our assessment of expenditure forecasts.</w:t>
      </w:r>
    </w:p>
    <w:p w:rsidR="003B0D45" w:rsidRDefault="003B0D45" w:rsidP="00E14922">
      <w:pPr>
        <w:pStyle w:val="Heading1"/>
      </w:pPr>
      <w:bookmarkStart w:id="14" w:name="_Toc404437602"/>
      <w:r>
        <w:lastRenderedPageBreak/>
        <w:t xml:space="preserve">Our </w:t>
      </w:r>
      <w:r w:rsidRPr="00E14922">
        <w:t>approach to this</w:t>
      </w:r>
      <w:r>
        <w:t xml:space="preserve"> decision and why it contributes to the achievement of the NEO</w:t>
      </w:r>
      <w:bookmarkEnd w:id="14"/>
    </w:p>
    <w:p w:rsidR="004936A9" w:rsidRDefault="004936A9" w:rsidP="004936A9">
      <w:bookmarkStart w:id="15" w:name="_Ref399959548"/>
      <w:r>
        <w:t xml:space="preserve">We must perform our </w:t>
      </w:r>
      <w:r w:rsidRPr="00E96D33">
        <w:t>function</w:t>
      </w:r>
      <w:r>
        <w:t>s</w:t>
      </w:r>
      <w:r w:rsidRPr="00E96D33">
        <w:t xml:space="preserve"> in a manner that will or is likely to contribute to the achievement of the </w:t>
      </w:r>
      <w:r>
        <w:t>NEO.</w:t>
      </w:r>
      <w:r>
        <w:rPr>
          <w:rStyle w:val="FootnoteReference"/>
        </w:rPr>
        <w:footnoteReference w:id="40"/>
      </w:r>
      <w:r>
        <w:t xml:space="preserve"> This section focuses on the manner in which we have made this draft decision. Section 4 discusses material issues and </w:t>
      </w:r>
      <w:r w:rsidR="00E50C9E">
        <w:t>shows how we take account of stakeholder views</w:t>
      </w:r>
      <w:r>
        <w:t xml:space="preserve">. Section 3 and 4 are largely about our process in line with section 16(1)(a) and (b) of the NEL. </w:t>
      </w:r>
    </w:p>
    <w:p w:rsidR="004936A9" w:rsidRPr="00BE1F1B" w:rsidRDefault="004936A9" w:rsidP="004936A9">
      <w:r>
        <w:t xml:space="preserve">Sections 5 and 6 focus more on the outcome of our </w:t>
      </w:r>
      <w:r w:rsidR="00CF23CB">
        <w:t xml:space="preserve">draft </w:t>
      </w:r>
      <w:r>
        <w:t xml:space="preserve">decision. Section 5 explains how we have taken into account interrelationships between constituent components of our </w:t>
      </w:r>
      <w:r w:rsidR="00CF23CB">
        <w:t xml:space="preserve">draft </w:t>
      </w:r>
      <w:r>
        <w:t xml:space="preserve">decision. Section 6 explains why we consider our </w:t>
      </w:r>
      <w:r w:rsidR="00CF23CB">
        <w:t xml:space="preserve">draft </w:t>
      </w:r>
      <w:r>
        <w:t>decision is preferable, in that it contributes to the achievement of the NEO to the greatest degree.</w:t>
      </w:r>
    </w:p>
    <w:p w:rsidR="003B0D45" w:rsidRPr="00452E77" w:rsidRDefault="003B0D45" w:rsidP="00E14922">
      <w:pPr>
        <w:pStyle w:val="Heading2"/>
      </w:pPr>
      <w:bookmarkStart w:id="16" w:name="_Toc404437603"/>
      <w:r>
        <w:t xml:space="preserve">Better </w:t>
      </w:r>
      <w:r w:rsidRPr="00E14922">
        <w:t>Regulation program</w:t>
      </w:r>
      <w:bookmarkEnd w:id="15"/>
      <w:bookmarkEnd w:id="16"/>
    </w:p>
    <w:p w:rsidR="004936A9" w:rsidRDefault="004936A9" w:rsidP="004936A9">
      <w:bookmarkStart w:id="17" w:name="_Ref399959606"/>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41"/>
      </w:r>
      <w:r>
        <w:t xml:space="preserve"> The resulting guidelines support our decision making framework as set out in section 16 of the NEL.</w:t>
      </w:r>
      <w:r w:rsidRPr="00191E12">
        <w:t xml:space="preserve"> </w:t>
      </w:r>
    </w:p>
    <w:p w:rsidR="00A77755" w:rsidRDefault="004936A9" w:rsidP="004936A9">
      <w:r>
        <w:t>The Better Regulation program was designed to be an inclusive process that provided an opportunity for all stakeholders to be engaged</w:t>
      </w:r>
      <w:r w:rsidR="00B706BB">
        <w:t xml:space="preserve"> and provide their input</w:t>
      </w:r>
      <w:r>
        <w:t>.</w:t>
      </w:r>
      <w:r w:rsidRPr="00BF5C86">
        <w:rPr>
          <w:rStyle w:val="FootnoteReference"/>
        </w:rPr>
        <w:footnoteReference w:id="42"/>
      </w:r>
      <w:r>
        <w:t xml:space="preserve"> </w:t>
      </w:r>
      <w:r w:rsidR="001455FA">
        <w:t>We tested our views and heard</w:t>
      </w:r>
      <w:r>
        <w:t xml:space="preserve"> from </w:t>
      </w:r>
      <w:r w:rsidR="00CF23CB">
        <w:t>a</w:t>
      </w:r>
      <w:r>
        <w:t xml:space="preserve"> range of stakeholders. Our consultation and engagement gives us confidence the approaches set out in the guidelines will result in decisions that contribute to the achievement of the NEO and form an important baseline in future decision making. In particular, we directly engaged consumers in the process through our Consumer Reference Group.</w:t>
      </w:r>
      <w:r>
        <w:rPr>
          <w:rStyle w:val="FootnoteReference"/>
        </w:rPr>
        <w:footnoteReference w:id="43"/>
      </w:r>
      <w:r>
        <w:t xml:space="preserve"> We facilitated direct engagement between network service providers and consumers through participation in forums and almost 140 meetings held with stakeholders over the course of the program.</w:t>
      </w:r>
      <w:r>
        <w:rPr>
          <w:rStyle w:val="FootnoteReference"/>
        </w:rPr>
        <w:footnoteReference w:id="44"/>
      </w:r>
      <w:r>
        <w:t xml:space="preserve"> Consumers and network service providers also made written submissions on our draft guidelines and explanatory statements, responded to advice from our experts and provided their own consultant reports. </w:t>
      </w:r>
    </w:p>
    <w:p w:rsidR="00E50B45" w:rsidRPr="00E50B45" w:rsidRDefault="00E50B45" w:rsidP="00E50B45">
      <w:pPr>
        <w:rPr>
          <w:rStyle w:val="AERbody"/>
        </w:rPr>
      </w:pPr>
      <w:r w:rsidRPr="00E50B45">
        <w:rPr>
          <w:rStyle w:val="AERbody"/>
        </w:rPr>
        <w:t xml:space="preserve">One of the themes that emerged from our consultation was a desire from stakeholders for clarity about the approach we would take in </w:t>
      </w:r>
      <w:r>
        <w:rPr>
          <w:rStyle w:val="AERbody"/>
        </w:rPr>
        <w:t xml:space="preserve">arriving at </w:t>
      </w:r>
      <w:r w:rsidRPr="00E50B45">
        <w:rPr>
          <w:rStyle w:val="AERbody"/>
        </w:rPr>
        <w:t xml:space="preserve">our decisions. In particular, many stakeholders </w:t>
      </w:r>
      <w:r>
        <w:rPr>
          <w:rStyle w:val="AERbody"/>
        </w:rPr>
        <w:t>argued</w:t>
      </w:r>
      <w:r w:rsidRPr="00E50B45">
        <w:rPr>
          <w:rStyle w:val="AERbody"/>
        </w:rPr>
        <w:t xml:space="preserve"> that greater clarity would aid investment in the sector.</w:t>
      </w:r>
      <w:r w:rsidRPr="00E50B45">
        <w:rPr>
          <w:rStyle w:val="AERsuperscript"/>
        </w:rPr>
        <w:footnoteReference w:id="45"/>
      </w:r>
      <w:r w:rsidRPr="00E50B45">
        <w:rPr>
          <w:rStyle w:val="AERbody"/>
        </w:rPr>
        <w:t xml:space="preserve"> </w:t>
      </w:r>
    </w:p>
    <w:p w:rsidR="004936A9" w:rsidRDefault="004936A9" w:rsidP="004936A9">
      <w:r>
        <w:t xml:space="preserve">During our consultation processes, there were differences of opinion, particularly between network businesses and consumers. Often there was no consensus. In </w:t>
      </w:r>
      <w:r w:rsidR="00B706BB">
        <w:t xml:space="preserve">such </w:t>
      </w:r>
      <w:r>
        <w:t xml:space="preserve">cases, we </w:t>
      </w:r>
      <w:r w:rsidR="00B706BB">
        <w:t>determined</w:t>
      </w:r>
      <w:r>
        <w:t xml:space="preserve"> an outcome </w:t>
      </w:r>
      <w:r w:rsidR="00B706BB">
        <w:t xml:space="preserve">that </w:t>
      </w:r>
      <w:r>
        <w:t xml:space="preserve">we were satisfied would best balance the competing interests and the range of factors in the NEL and NER that contribute to the NEO. These outcomes went some way to satisfying all parties. Section 16 of the NEL recognises that the regulatory framework allows for potentially more than one outcome and we consider that the guidelines that resulted from this comprehensive engagement with all stakeholders provide a solid foundation for our decision making. </w:t>
      </w:r>
    </w:p>
    <w:p w:rsidR="004936A9" w:rsidRDefault="004936A9" w:rsidP="00F02D30">
      <w:r>
        <w:lastRenderedPageBreak/>
        <w:t>The guidelines we developed include:</w:t>
      </w:r>
    </w:p>
    <w:p w:rsidR="004936A9" w:rsidRDefault="004936A9" w:rsidP="004936A9">
      <w:pPr>
        <w:pStyle w:val="AERbulletlistfirststyle"/>
      </w:pPr>
      <w:r>
        <w:t xml:space="preserve">Expenditure forecast assessment guideline </w:t>
      </w:r>
      <w:r w:rsidRPr="0014223F">
        <w:t>–</w:t>
      </w:r>
      <w:r>
        <w:t xml:space="preserve"> </w:t>
      </w:r>
      <w:r w:rsidRPr="00CD74B2">
        <w:t>describe</w:t>
      </w:r>
      <w:r>
        <w:t>s</w:t>
      </w:r>
      <w:r w:rsidRPr="00CD74B2">
        <w:t xml:space="preserve"> the process, techniques and associated data requirements for our approach to </w:t>
      </w:r>
      <w:r>
        <w:t>setting efficient expenditure</w:t>
      </w:r>
      <w:r w:rsidRPr="00CD74B2">
        <w:t xml:space="preserve"> allowances</w:t>
      </w:r>
      <w:r>
        <w:t xml:space="preserve"> for network businesses</w:t>
      </w:r>
      <w:r w:rsidR="00CF23CB">
        <w:t>.</w:t>
      </w:r>
      <w:r>
        <w:t xml:space="preserve"> </w:t>
      </w:r>
    </w:p>
    <w:p w:rsidR="004936A9" w:rsidRDefault="004936A9" w:rsidP="004936A9">
      <w:pPr>
        <w:pStyle w:val="AERbulletlistfirststyle"/>
        <w:rPr>
          <w:rStyle w:val="AERbody"/>
        </w:rPr>
      </w:pPr>
      <w:r w:rsidRPr="00832B1E">
        <w:rPr>
          <w:rStyle w:val="AERbody"/>
        </w:rPr>
        <w:t>Expenditure incentives guideline –</w:t>
      </w:r>
      <w:r w:rsidRPr="004936A9">
        <w:rPr>
          <w:rStyle w:val="AERbody"/>
          <w:rFonts w:eastAsia="Calibri"/>
        </w:rPr>
        <w:t xml:space="preserve"> </w:t>
      </w:r>
      <w:r w:rsidR="00B32703">
        <w:rPr>
          <w:rStyle w:val="AERbody"/>
          <w:rFonts w:eastAsia="Calibri"/>
        </w:rPr>
        <w:t xml:space="preserve">sets out </w:t>
      </w:r>
      <w:r>
        <w:rPr>
          <w:rStyle w:val="AERbody"/>
        </w:rPr>
        <w:t>o</w:t>
      </w:r>
      <w:r w:rsidRPr="00832B1E">
        <w:rPr>
          <w:rStyle w:val="AERbody"/>
        </w:rPr>
        <w:t>ur capital expenditure incentives and efficiency benefit sharing scheme</w:t>
      </w:r>
      <w:r w:rsidR="00B32703">
        <w:rPr>
          <w:rStyle w:val="AERbody"/>
        </w:rPr>
        <w:t>s which are designed to</w:t>
      </w:r>
      <w:r w:rsidRPr="00832B1E">
        <w:rPr>
          <w:rStyle w:val="AERbody"/>
        </w:rPr>
        <w:t xml:space="preserve"> give electricity network businesses incentives to spend efficiently and share the benefits of efficiencies with consumers</w:t>
      </w:r>
      <w:r w:rsidR="00CF23CB">
        <w:rPr>
          <w:rStyle w:val="AERbody"/>
        </w:rPr>
        <w:t>.</w:t>
      </w:r>
      <w:r w:rsidRPr="00832B1E">
        <w:rPr>
          <w:rStyle w:val="AERbody"/>
        </w:rPr>
        <w:t xml:space="preserve"> </w:t>
      </w:r>
    </w:p>
    <w:p w:rsidR="004936A9" w:rsidRDefault="004936A9" w:rsidP="004936A9">
      <w:pPr>
        <w:pStyle w:val="AERbulletlistfirststyle"/>
      </w:pPr>
      <w:r w:rsidRPr="00832B1E">
        <w:rPr>
          <w:rStyle w:val="AERbody"/>
        </w:rPr>
        <w:t>Rate of return guideline – sets</w:t>
      </w:r>
      <w:r>
        <w:rPr>
          <w:rStyle w:val="AERbody"/>
        </w:rPr>
        <w:t xml:space="preserve"> </w:t>
      </w:r>
      <w:r w:rsidRPr="00832B1E">
        <w:rPr>
          <w:rStyle w:val="AERbody"/>
        </w:rPr>
        <w:t xml:space="preserve">out how we determine the return </w:t>
      </w:r>
      <w:r>
        <w:rPr>
          <w:rStyle w:val="AERbody"/>
        </w:rPr>
        <w:t xml:space="preserve">that </w:t>
      </w:r>
      <w:r w:rsidRPr="00832B1E">
        <w:rPr>
          <w:rStyle w:val="AERbody"/>
        </w:rPr>
        <w:t>network businesses can earn on their investments. Applied consistently over time, the guideline provides</w:t>
      </w:r>
      <w:r>
        <w:rPr>
          <w:rStyle w:val="AERbody"/>
        </w:rPr>
        <w:t xml:space="preserve"> </w:t>
      </w:r>
      <w:r w:rsidRPr="00832B1E">
        <w:rPr>
          <w:rStyle w:val="AERbody"/>
        </w:rPr>
        <w:t>regulatory stability and increased certainty through greater transparency of the key components of the rate of return and how these are assessed</w:t>
      </w:r>
      <w:r w:rsidRPr="0014223F">
        <w:t>.</w:t>
      </w:r>
    </w:p>
    <w:p w:rsidR="004936A9" w:rsidRDefault="004936A9" w:rsidP="004936A9">
      <w:pPr>
        <w:pStyle w:val="AERbulletlistfirststyle"/>
      </w:pPr>
      <w:r>
        <w:t xml:space="preserve">Consumer engagement guideline for network service providers </w:t>
      </w:r>
      <w:r w:rsidRPr="0014223F">
        <w:t>–</w:t>
      </w:r>
      <w:r>
        <w:t xml:space="preserve"> </w:t>
      </w:r>
      <w:r w:rsidRPr="0014223F">
        <w:t xml:space="preserve">aims to help </w:t>
      </w:r>
      <w:r>
        <w:t xml:space="preserve">network </w:t>
      </w:r>
      <w:r w:rsidRPr="0014223F">
        <w:t>businesses</w:t>
      </w:r>
      <w:r>
        <w:t xml:space="preserve"> </w:t>
      </w:r>
      <w:r w:rsidRPr="0014223F">
        <w:t>develop strategies to engage systematically, consistently</w:t>
      </w:r>
      <w:r>
        <w:t>, effectively</w:t>
      </w:r>
      <w:r w:rsidRPr="0014223F">
        <w:t xml:space="preserve"> and strategically with consumers on issues that are significant to both parties</w:t>
      </w:r>
      <w:r>
        <w:t xml:space="preserve"> </w:t>
      </w:r>
    </w:p>
    <w:p w:rsidR="004936A9" w:rsidRDefault="004936A9" w:rsidP="004936A9">
      <w:pPr>
        <w:pStyle w:val="AERbulletlistfirststyle"/>
        <w:rPr>
          <w:rStyle w:val="AERbody"/>
        </w:rPr>
      </w:pPr>
      <w:r w:rsidRPr="00413CE5">
        <w:rPr>
          <w:rStyle w:val="AERbody"/>
        </w:rPr>
        <w:t>Shared asset guideline – outlines how consumers will benefit from the other services electricity network businesses may provide using the assets consumers pay for</w:t>
      </w:r>
      <w:r w:rsidR="00CF23CB">
        <w:rPr>
          <w:rStyle w:val="AERbody"/>
        </w:rPr>
        <w:t>.</w:t>
      </w:r>
    </w:p>
    <w:p w:rsidR="004936A9" w:rsidRPr="004936A9" w:rsidRDefault="004936A9" w:rsidP="004936A9">
      <w:pPr>
        <w:pStyle w:val="AERbulletlistfirststyle"/>
        <w:rPr>
          <w:rStyle w:val="AERbody"/>
          <w:rFonts w:eastAsia="Calibri"/>
        </w:rPr>
      </w:pPr>
      <w:r w:rsidRPr="00772864">
        <w:rPr>
          <w:rStyle w:val="AERbody"/>
        </w:rPr>
        <w:t>Confidentiality guideline – sets out how network businesses must make confidentiality claims over information they submit to us. This guideline balances protecting genuinely confidential information with ensuring that stakeholders can access sufficient information on issues affecting their interests.</w:t>
      </w:r>
      <w:r>
        <w:rPr>
          <w:rStyle w:val="AERbody"/>
        </w:rPr>
        <w:t xml:space="preserve"> </w:t>
      </w:r>
    </w:p>
    <w:p w:rsidR="004936A9" w:rsidRPr="00191E12" w:rsidRDefault="004936A9" w:rsidP="0039524C">
      <w:pPr>
        <w:pStyle w:val="AERbulletlistfirststyle"/>
        <w:numPr>
          <w:ilvl w:val="0"/>
          <w:numId w:val="9"/>
        </w:numPr>
      </w:pPr>
      <w:r>
        <w:t xml:space="preserve">Our </w:t>
      </w:r>
      <w:r w:rsidRPr="00191E12">
        <w:t xml:space="preserve">guidelines </w:t>
      </w:r>
      <w:r>
        <w:t xml:space="preserve">are </w:t>
      </w:r>
      <w:r w:rsidR="00A97AE6">
        <w:t>available on our website</w:t>
      </w:r>
      <w:r w:rsidR="00C529A2">
        <w:t>,</w:t>
      </w:r>
      <w:r w:rsidR="00A97AE6">
        <w:rPr>
          <w:rStyle w:val="FootnoteReference"/>
        </w:rPr>
        <w:footnoteReference w:id="46"/>
      </w:r>
      <w:r w:rsidR="00A97AE6">
        <w:t xml:space="preserve"> and </w:t>
      </w:r>
      <w:r>
        <w:t>summarised in appendix</w:t>
      </w:r>
      <w:r w:rsidR="001B326B">
        <w:t xml:space="preserve"> C</w:t>
      </w:r>
      <w:r>
        <w:t>.</w:t>
      </w:r>
    </w:p>
    <w:p w:rsidR="003B0D45" w:rsidRDefault="003B0D45" w:rsidP="00E14922">
      <w:pPr>
        <w:pStyle w:val="Heading1"/>
      </w:pPr>
      <w:bookmarkStart w:id="18" w:name="_Toc404437604"/>
      <w:r w:rsidRPr="00E14922">
        <w:lastRenderedPageBreak/>
        <w:t>Material issues</w:t>
      </w:r>
      <w:r>
        <w:t xml:space="preserve"> and opportunity to be heard</w:t>
      </w:r>
      <w:bookmarkEnd w:id="17"/>
      <w:bookmarkEnd w:id="18"/>
    </w:p>
    <w:p w:rsidR="003B0D45" w:rsidRPr="003B0D45" w:rsidRDefault="003B0D45" w:rsidP="003B0D45">
      <w:pPr>
        <w:pStyle w:val="AERbodytext"/>
      </w:pPr>
      <w:r>
        <w:t>The NEL requires us to inform stakeholders of the material issues we are considering and to give them a reasonable opportunity to make submissions in respect of this decision.</w:t>
      </w:r>
      <w:r>
        <w:rPr>
          <w:rStyle w:val="FootnoteReference"/>
        </w:rPr>
        <w:footnoteReference w:id="47"/>
      </w:r>
    </w:p>
    <w:p w:rsidR="003B0D45" w:rsidRPr="00BF5C86" w:rsidRDefault="003B0D45" w:rsidP="003B0D45">
      <w:pPr>
        <w:pStyle w:val="AERbodytext"/>
        <w:rPr>
          <w:rStyle w:val="AERtexthighlight"/>
        </w:rPr>
      </w:pPr>
      <w:r>
        <w:t xml:space="preserve">The starting point for our draft decision was to assess </w:t>
      </w:r>
      <w:r w:rsidR="00862C70">
        <w:t>TransGrid</w:t>
      </w:r>
      <w:r>
        <w:t>'s regulatory proposal against the NEL and the NER.</w:t>
      </w:r>
      <w:r>
        <w:rPr>
          <w:rStyle w:val="FootnoteReference"/>
        </w:rPr>
        <w:footnoteReference w:id="48"/>
      </w:r>
      <w:r>
        <w:t xml:space="preserve"> In doing so, we applied our guidelines and assessment tools and gathered submissions from stakeholders</w:t>
      </w:r>
      <w:r w:rsidR="00E3786A">
        <w:t xml:space="preserve"> and the Consumer Challenge Panel (CCP)</w:t>
      </w:r>
      <w:r>
        <w:t xml:space="preserve">. We considered </w:t>
      </w:r>
      <w:r w:rsidR="00862C70">
        <w:t>TransG</w:t>
      </w:r>
      <w:r>
        <w:t>rid's regulatory proposal in light of submissions, its performance to date and its operating environment. A high level overview of these processes follows. A list of stakeholder submissions follow</w:t>
      </w:r>
      <w:r w:rsidR="002B55C0">
        <w:t>s</w:t>
      </w:r>
      <w:r>
        <w:t xml:space="preserve"> at appendi</w:t>
      </w:r>
      <w:r w:rsidR="002B55C0">
        <w:t>x E</w:t>
      </w:r>
      <w:r w:rsidR="001B326B">
        <w:t>.</w:t>
      </w:r>
      <w:r w:rsidRPr="00BF5C86">
        <w:rPr>
          <w:rStyle w:val="AERtexthighlight"/>
        </w:rPr>
        <w:t xml:space="preserve"> </w:t>
      </w:r>
    </w:p>
    <w:p w:rsidR="003B0D45" w:rsidRDefault="003B0D45" w:rsidP="00E14922">
      <w:pPr>
        <w:pStyle w:val="Heading2"/>
      </w:pPr>
      <w:bookmarkStart w:id="19" w:name="_Toc404437605"/>
      <w:r>
        <w:t xml:space="preserve">Our </w:t>
      </w:r>
      <w:r w:rsidRPr="00E14922">
        <w:t>engagement</w:t>
      </w:r>
      <w:bookmarkEnd w:id="19"/>
    </w:p>
    <w:p w:rsidR="003B0D45" w:rsidRDefault="003B0D45" w:rsidP="003B0D45">
      <w:r>
        <w:t>Effective consultation with stakeholders is essential to the performance of our regulatory functions. In summary, throughout the review process, we engaged with stakeholders by:</w:t>
      </w:r>
    </w:p>
    <w:p w:rsidR="003B0D45" w:rsidRDefault="003B0D45" w:rsidP="003B0D45">
      <w:pPr>
        <w:pStyle w:val="AERbulletlistfirststyle"/>
      </w:pPr>
      <w:r>
        <w:t>establishing the CCP</w:t>
      </w:r>
      <w:r w:rsidRPr="00487172">
        <w:t xml:space="preserve"> </w:t>
      </w:r>
      <w:r w:rsidRPr="00A55D8F">
        <w:t>to assist us to make better regulatory determinations by providing input on issues of importance to consumers</w:t>
      </w:r>
    </w:p>
    <w:p w:rsidR="008038AA" w:rsidRDefault="008038AA" w:rsidP="008038AA">
      <w:pPr>
        <w:pStyle w:val="AERbulletlistfirststyle"/>
      </w:pPr>
      <w:r>
        <w:t>publishing an issues paper to help stakeholders engage with, and meaningfully respond to, issues in TransGrid's regulatory proposal that we considered material to consumers</w:t>
      </w:r>
    </w:p>
    <w:p w:rsidR="008038AA" w:rsidRDefault="008038AA" w:rsidP="008038AA">
      <w:pPr>
        <w:pStyle w:val="AERbulletlistfirststyle"/>
      </w:pPr>
      <w:r>
        <w:t>hosting a public forum in Sydney on 10 July 2014 so stakeholders could question the AER, CCP and TransGrid on its regulatory proposal</w:t>
      </w:r>
    </w:p>
    <w:p w:rsidR="003B0D45" w:rsidRDefault="003B0D45" w:rsidP="003B0D45">
      <w:pPr>
        <w:pStyle w:val="AERbulletlistfirststyle"/>
      </w:pPr>
      <w:r>
        <w:t xml:space="preserve">considering </w:t>
      </w:r>
      <w:r w:rsidR="00DD6BDA">
        <w:t xml:space="preserve">eight </w:t>
      </w:r>
      <w:r w:rsidR="00E3786A">
        <w:t xml:space="preserve">stakeholder </w:t>
      </w:r>
      <w:r>
        <w:t>submissions</w:t>
      </w:r>
      <w:r w:rsidR="00E3786A">
        <w:t xml:space="preserve"> and three CCP submissions</w:t>
      </w:r>
      <w:r>
        <w:t xml:space="preserve"> on </w:t>
      </w:r>
      <w:r w:rsidR="00E3786A">
        <w:t>TransGrid</w:t>
      </w:r>
      <w:r>
        <w:t>'s regulatory proposal</w:t>
      </w:r>
    </w:p>
    <w:p w:rsidR="008038AA" w:rsidRPr="00163A3C" w:rsidRDefault="008038AA" w:rsidP="008038AA">
      <w:pPr>
        <w:pStyle w:val="AERbulletlistfirststyle"/>
      </w:pPr>
      <w:r>
        <w:t xml:space="preserve">having the CCP present its advice in response to TransGrid's regulatory proposal to the AER </w:t>
      </w:r>
      <w:r w:rsidRPr="00163A3C">
        <w:t xml:space="preserve">Board in </w:t>
      </w:r>
      <w:r w:rsidRPr="00163A3C">
        <w:rPr>
          <w:rStyle w:val="AERtexthighlight"/>
          <w:shd w:val="clear" w:color="auto" w:fill="auto"/>
        </w:rPr>
        <w:t>July</w:t>
      </w:r>
      <w:r w:rsidRPr="00163A3C">
        <w:t xml:space="preserve"> 2014</w:t>
      </w:r>
    </w:p>
    <w:p w:rsidR="003B0D45" w:rsidRDefault="003B0D45" w:rsidP="00E3786A">
      <w:pPr>
        <w:pStyle w:val="AERbulletlistfirststyle"/>
      </w:pPr>
      <w:r>
        <w:t xml:space="preserve">having </w:t>
      </w:r>
      <w:r w:rsidR="00E3786A">
        <w:t>TransGrid</w:t>
      </w:r>
      <w:r>
        <w:t xml:space="preserve"> present its revenue proposal to the AER Board </w:t>
      </w:r>
      <w:r w:rsidRPr="00E3786A">
        <w:t xml:space="preserve">in </w:t>
      </w:r>
      <w:r w:rsidR="00E3786A" w:rsidRPr="00E3786A">
        <w:rPr>
          <w:rStyle w:val="AERtexthighlight"/>
          <w:shd w:val="clear" w:color="auto" w:fill="auto"/>
        </w:rPr>
        <w:t xml:space="preserve">August </w:t>
      </w:r>
      <w:r w:rsidRPr="00E3786A">
        <w:t>2</w:t>
      </w:r>
      <w:r>
        <w:t xml:space="preserve">014, </w:t>
      </w:r>
      <w:r w:rsidR="00E3786A">
        <w:t xml:space="preserve">and again in October 2014, </w:t>
      </w:r>
      <w:r>
        <w:t>so questions could be raised and key issues explained</w:t>
      </w:r>
    </w:p>
    <w:p w:rsidR="003B0D45" w:rsidRDefault="009A3B0F" w:rsidP="003B0D45">
      <w:pPr>
        <w:pStyle w:val="AERbulletlistfirststyle"/>
      </w:pPr>
      <w:r>
        <w:t xml:space="preserve">convening </w:t>
      </w:r>
      <w:r w:rsidR="00E3786A">
        <w:t>regular</w:t>
      </w:r>
      <w:r w:rsidR="003B0D45">
        <w:t xml:space="preserve"> meetings between the </w:t>
      </w:r>
      <w:r w:rsidR="001B326B">
        <w:t>CCP</w:t>
      </w:r>
      <w:r w:rsidR="003B0D45">
        <w:t xml:space="preserve"> and AER staff to discuss key issues</w:t>
      </w:r>
    </w:p>
    <w:p w:rsidR="003B0D45" w:rsidRDefault="003B0D45" w:rsidP="003B0D45">
      <w:pPr>
        <w:pStyle w:val="AERbulletlistfirststyle"/>
      </w:pPr>
      <w:r>
        <w:rPr>
          <w:rStyle w:val="AERbody"/>
        </w:rPr>
        <w:t xml:space="preserve">consulting on benchmarking measures prepared by us and Economic Insights, jointly relevant to the preparation of the annual benchmarking report and our assessment of </w:t>
      </w:r>
      <w:r w:rsidR="00E3786A">
        <w:rPr>
          <w:rStyle w:val="AERbody"/>
        </w:rPr>
        <w:t>TransGrid</w:t>
      </w:r>
      <w:r>
        <w:rPr>
          <w:rStyle w:val="AERbody"/>
        </w:rPr>
        <w:t>'s regulatory proposal</w:t>
      </w:r>
      <w:r w:rsidR="001537F0">
        <w:rPr>
          <w:rStyle w:val="AERbody"/>
        </w:rPr>
        <w:t>.</w:t>
      </w:r>
    </w:p>
    <w:p w:rsidR="003B0D45" w:rsidRPr="001767F0" w:rsidRDefault="003B0D45" w:rsidP="003B0D45">
      <w:r w:rsidRPr="001767F0">
        <w:t xml:space="preserve">AER staff, including our technical advisors and </w:t>
      </w:r>
      <w:r w:rsidR="001537F0">
        <w:t>consultants,</w:t>
      </w:r>
      <w:r w:rsidR="001537F0" w:rsidRPr="001767F0">
        <w:t xml:space="preserve"> </w:t>
      </w:r>
      <w:r w:rsidRPr="001767F0">
        <w:t xml:space="preserve">directly engaged with staff at </w:t>
      </w:r>
      <w:r w:rsidR="0054280B">
        <w:t>TransGrid</w:t>
      </w:r>
      <w:r w:rsidRPr="001767F0">
        <w:t>, and tested material and information underpin</w:t>
      </w:r>
      <w:r w:rsidR="008038AA">
        <w:t>ning</w:t>
      </w:r>
      <w:r w:rsidRPr="001767F0">
        <w:t xml:space="preserve"> </w:t>
      </w:r>
      <w:r>
        <w:t>its</w:t>
      </w:r>
      <w:r w:rsidRPr="001767F0">
        <w:t xml:space="preserve"> revenue proposal</w:t>
      </w:r>
      <w:r>
        <w:t>.</w:t>
      </w:r>
      <w:r w:rsidR="001537F0">
        <w:t xml:space="preserve"> During this process, </w:t>
      </w:r>
      <w:r w:rsidR="00CF23CB">
        <w:t xml:space="preserve">we requested and considered </w:t>
      </w:r>
      <w:r w:rsidR="001537F0">
        <w:t>additional information from TransGrid</w:t>
      </w:r>
      <w:r w:rsidR="00CF23CB">
        <w:t>.</w:t>
      </w:r>
    </w:p>
    <w:p w:rsidR="003B0D45" w:rsidRDefault="003B0D45" w:rsidP="00E14922">
      <w:pPr>
        <w:pStyle w:val="Heading3"/>
      </w:pPr>
      <w:bookmarkStart w:id="20" w:name="_Toc404437606"/>
      <w:r>
        <w:t xml:space="preserve">Our </w:t>
      </w:r>
      <w:r w:rsidRPr="00E14922">
        <w:t>issues</w:t>
      </w:r>
      <w:r>
        <w:t xml:space="preserve"> paper</w:t>
      </w:r>
      <w:bookmarkEnd w:id="20"/>
    </w:p>
    <w:p w:rsidR="00862C70" w:rsidRDefault="00862C70" w:rsidP="00862C70">
      <w:r>
        <w:rPr>
          <w:rStyle w:val="AERbody"/>
        </w:rPr>
        <w:t xml:space="preserve">We </w:t>
      </w:r>
      <w:r w:rsidRPr="00E75C0B">
        <w:rPr>
          <w:rStyle w:val="AERbody"/>
        </w:rPr>
        <w:t>publish</w:t>
      </w:r>
      <w:r>
        <w:rPr>
          <w:rStyle w:val="AERbody"/>
        </w:rPr>
        <w:t>ed</w:t>
      </w:r>
      <w:r w:rsidRPr="00E75C0B">
        <w:rPr>
          <w:rStyle w:val="AERbody"/>
        </w:rPr>
        <w:t xml:space="preserve"> an issues paper to help stakeholders engage with, and meaningfully respond to</w:t>
      </w:r>
      <w:r w:rsidR="00DD6BDA">
        <w:rPr>
          <w:rStyle w:val="AERbody"/>
        </w:rPr>
        <w:t>,</w:t>
      </w:r>
      <w:r w:rsidRPr="00E75C0B">
        <w:rPr>
          <w:rStyle w:val="AERbody"/>
        </w:rPr>
        <w:t xml:space="preserve"> issues in </w:t>
      </w:r>
      <w:r w:rsidR="009340F2">
        <w:rPr>
          <w:rStyle w:val="AERbody"/>
        </w:rPr>
        <w:t>TransGrid</w:t>
      </w:r>
      <w:r w:rsidRPr="00E75C0B">
        <w:rPr>
          <w:rStyle w:val="AERbody"/>
        </w:rPr>
        <w:t>'s regulatory proposal</w:t>
      </w:r>
      <w:r>
        <w:rPr>
          <w:rStyle w:val="AERbody"/>
        </w:rPr>
        <w:t xml:space="preserve">. Under the </w:t>
      </w:r>
      <w:r w:rsidR="00920C3E">
        <w:rPr>
          <w:rStyle w:val="AERbody"/>
        </w:rPr>
        <w:t>transitional rules</w:t>
      </w:r>
      <w:r>
        <w:rPr>
          <w:rStyle w:val="AERbody"/>
        </w:rPr>
        <w:t xml:space="preserve">, we were not required to prepare an </w:t>
      </w:r>
      <w:r>
        <w:rPr>
          <w:rStyle w:val="AERbody"/>
        </w:rPr>
        <w:lastRenderedPageBreak/>
        <w:t>issues paper.</w:t>
      </w:r>
      <w:r>
        <w:rPr>
          <w:rStyle w:val="FootnoteReference"/>
        </w:rPr>
        <w:footnoteReference w:id="49"/>
      </w:r>
      <w:r>
        <w:rPr>
          <w:rStyle w:val="AERbody"/>
        </w:rPr>
        <w:t xml:space="preserve"> However we thought it was important to provide a guide to stakeholders on key issues and where they could focus their responses in light of the volume of material submitted. We therefore structured our issues paper by providing </w:t>
      </w:r>
      <w:r w:rsidRPr="00A570F9">
        <w:t xml:space="preserve">a high level perspective on </w:t>
      </w:r>
      <w:r w:rsidR="009340F2">
        <w:t>TransGrid</w:t>
      </w:r>
      <w:r>
        <w:t>'s</w:t>
      </w:r>
      <w:r w:rsidRPr="00A570F9">
        <w:t xml:space="preserve"> proposal and our initial observations</w:t>
      </w:r>
      <w:r>
        <w:t xml:space="preserve"> followed by some analysis around key drivers of </w:t>
      </w:r>
      <w:r w:rsidR="009340F2">
        <w:t>TransGrid</w:t>
      </w:r>
      <w:r>
        <w:t>'s proposal</w:t>
      </w:r>
      <w:r w:rsidRPr="00A570F9">
        <w:t>.</w:t>
      </w:r>
      <w:r>
        <w:rPr>
          <w:rStyle w:val="FootnoteReference"/>
        </w:rPr>
        <w:footnoteReference w:id="50"/>
      </w:r>
      <w:r w:rsidRPr="00A570F9">
        <w:t xml:space="preserve"> </w:t>
      </w:r>
    </w:p>
    <w:p w:rsidR="003B0D45" w:rsidRDefault="003B0D45" w:rsidP="00E14922">
      <w:pPr>
        <w:pStyle w:val="Heading3"/>
      </w:pPr>
      <w:bookmarkStart w:id="21" w:name="_Toc404437607"/>
      <w:r>
        <w:t xml:space="preserve">Outcome </w:t>
      </w:r>
      <w:r w:rsidRPr="00E14922">
        <w:t>of</w:t>
      </w:r>
      <w:r>
        <w:t xml:space="preserve"> submissions</w:t>
      </w:r>
      <w:bookmarkEnd w:id="21"/>
    </w:p>
    <w:p w:rsidR="00D76107" w:rsidRDefault="00DD6BDA" w:rsidP="005A5D26">
      <w:pPr>
        <w:pStyle w:val="AERbodytext"/>
      </w:pPr>
      <w:r>
        <w:t>M</w:t>
      </w:r>
      <w:r w:rsidRPr="007B7B60">
        <w:t xml:space="preserve">ost </w:t>
      </w:r>
      <w:r w:rsidR="003B0D45" w:rsidRPr="007B7B60">
        <w:t xml:space="preserve">submissions considered </w:t>
      </w:r>
      <w:r w:rsidR="00D72CF2">
        <w:t>TransGrid</w:t>
      </w:r>
      <w:r w:rsidR="003B0D45" w:rsidRPr="007B7B60">
        <w:t>'s regulatory proposal is not in the long term interests of consumers and recommend</w:t>
      </w:r>
      <w:r w:rsidR="003B0D45">
        <w:t>ed</w:t>
      </w:r>
      <w:r w:rsidR="003B0D45" w:rsidRPr="007B7B60">
        <w:t xml:space="preserve"> that we should reject </w:t>
      </w:r>
      <w:r w:rsidR="005A5D26">
        <w:t xml:space="preserve">aspects of </w:t>
      </w:r>
      <w:r w:rsidR="003B0D45" w:rsidRPr="007B7B60">
        <w:t xml:space="preserve">the proposal. </w:t>
      </w:r>
    </w:p>
    <w:p w:rsidR="005A5D26" w:rsidRPr="005A5D26" w:rsidRDefault="005A5D26" w:rsidP="005A5D26">
      <w:pPr>
        <w:pStyle w:val="AERbodytext"/>
      </w:pPr>
      <w:r>
        <w:t>Most s</w:t>
      </w:r>
      <w:r w:rsidRPr="005A5D26">
        <w:t>takeholders did not support TransGrid's proposed ope</w:t>
      </w:r>
      <w:r>
        <w:t>rating expenditure</w:t>
      </w:r>
      <w:r w:rsidRPr="005A5D26">
        <w:t xml:space="preserve">, replacement </w:t>
      </w:r>
      <w:r>
        <w:t>capital expenditure</w:t>
      </w:r>
      <w:r w:rsidRPr="005A5D26">
        <w:t xml:space="preserve">, and rate of return. They questioned the increase in </w:t>
      </w:r>
      <w:r w:rsidR="001537F0">
        <w:t xml:space="preserve">operating and </w:t>
      </w:r>
      <w:r>
        <w:t>maintenance expenditure</w:t>
      </w:r>
      <w:r w:rsidRPr="005A5D26">
        <w:t xml:space="preserve">, </w:t>
      </w:r>
      <w:r w:rsidR="001537F0">
        <w:t>arguing</w:t>
      </w:r>
      <w:r w:rsidRPr="005A5D26">
        <w:t xml:space="preserve"> </w:t>
      </w:r>
      <w:r w:rsidR="00DD6BDA">
        <w:t xml:space="preserve">that </w:t>
      </w:r>
      <w:r w:rsidRPr="005A5D26">
        <w:t>maintenance costs should decline given the capital investment in new assets in the previous period. They noted th</w:t>
      </w:r>
      <w:r>
        <w:t xml:space="preserve">at </w:t>
      </w:r>
      <w:r w:rsidR="00A97AE6">
        <w:t>a</w:t>
      </w:r>
      <w:r w:rsidR="00A97AE6" w:rsidRPr="005A5D26">
        <w:t xml:space="preserve"> </w:t>
      </w:r>
      <w:r w:rsidRPr="005A5D26">
        <w:t xml:space="preserve">reduction in forecast augmentation and total forecast </w:t>
      </w:r>
      <w:r>
        <w:t>capital expenditure</w:t>
      </w:r>
      <w:r w:rsidRPr="005A5D26">
        <w:t xml:space="preserve"> </w:t>
      </w:r>
      <w:r w:rsidR="00A97AE6">
        <w:t>was</w:t>
      </w:r>
      <w:r w:rsidR="00A97AE6" w:rsidRPr="005A5D26">
        <w:t xml:space="preserve"> </w:t>
      </w:r>
      <w:r w:rsidRPr="005A5D26">
        <w:t>the correct response to falling demand</w:t>
      </w:r>
      <w:r>
        <w:t xml:space="preserve"> for electricity</w:t>
      </w:r>
      <w:r w:rsidRPr="005A5D26">
        <w:t xml:space="preserve">, but questioned the significant increase in forecast replacement </w:t>
      </w:r>
      <w:r>
        <w:t>capital expenditure</w:t>
      </w:r>
      <w:r w:rsidRPr="005A5D26">
        <w:t xml:space="preserve">. Further, </w:t>
      </w:r>
      <w:r>
        <w:t>most stakeholders</w:t>
      </w:r>
      <w:r w:rsidRPr="005A5D26">
        <w:t xml:space="preserve"> </w:t>
      </w:r>
      <w:r w:rsidR="004B58F4">
        <w:t>contended</w:t>
      </w:r>
      <w:r w:rsidRPr="005A5D26">
        <w:t xml:space="preserve"> that TransGrid's proposed </w:t>
      </w:r>
      <w:r w:rsidR="004B58F4">
        <w:t xml:space="preserve">rate of </w:t>
      </w:r>
      <w:r w:rsidRPr="005A5D26">
        <w:t xml:space="preserve">return is higher than it would be if TransGrid followed </w:t>
      </w:r>
      <w:r w:rsidR="008038AA">
        <w:t>our</w:t>
      </w:r>
      <w:r w:rsidRPr="005A5D26">
        <w:t xml:space="preserve"> guideline</w:t>
      </w:r>
      <w:r w:rsidR="004B58F4">
        <w:t>, and appears excessive given the low risks faced by regulated network businesses</w:t>
      </w:r>
      <w:r w:rsidRPr="005A5D26">
        <w:t>.</w:t>
      </w:r>
    </w:p>
    <w:p w:rsidR="005A5D26" w:rsidRDefault="005A5D26" w:rsidP="005A5D26">
      <w:pPr>
        <w:pStyle w:val="AERbodytext"/>
      </w:pPr>
      <w:r w:rsidRPr="005A5D26">
        <w:t xml:space="preserve">Stakeholders </w:t>
      </w:r>
      <w:r w:rsidR="008038AA">
        <w:t xml:space="preserve">also </w:t>
      </w:r>
      <w:r w:rsidRPr="005A5D26">
        <w:t>questioned the demand forecasts TransGrid used as a basis for cap</w:t>
      </w:r>
      <w:r w:rsidR="004B58F4">
        <w:t>ital expenditure</w:t>
      </w:r>
      <w:r w:rsidRPr="005A5D26">
        <w:t xml:space="preserve"> and revenue and recommended that AEMO's updated 2014 forecasts should be used instead.</w:t>
      </w:r>
    </w:p>
    <w:p w:rsidR="007833AB" w:rsidRPr="007833AB" w:rsidRDefault="008038AA" w:rsidP="007833AB">
      <w:pPr>
        <w:pStyle w:val="AERbodytext"/>
        <w:rPr>
          <w:rStyle w:val="AERbody"/>
        </w:rPr>
      </w:pPr>
      <w:r>
        <w:rPr>
          <w:rStyle w:val="AERbody"/>
        </w:rPr>
        <w:t>S</w:t>
      </w:r>
      <w:r w:rsidR="007833AB" w:rsidRPr="007833AB">
        <w:rPr>
          <w:rStyle w:val="AERbody"/>
        </w:rPr>
        <w:t xml:space="preserve">everal stakeholders submitted that </w:t>
      </w:r>
      <w:r>
        <w:rPr>
          <w:rStyle w:val="AERbody"/>
        </w:rPr>
        <w:t>TransGrid’s</w:t>
      </w:r>
      <w:r w:rsidRPr="007833AB">
        <w:rPr>
          <w:rStyle w:val="AERbody"/>
        </w:rPr>
        <w:t xml:space="preserve"> </w:t>
      </w:r>
      <w:r w:rsidR="00537D0D">
        <w:rPr>
          <w:rStyle w:val="AERbody"/>
        </w:rPr>
        <w:t xml:space="preserve">proposed </w:t>
      </w:r>
      <w:r w:rsidR="007833AB" w:rsidRPr="007833AB">
        <w:rPr>
          <w:rStyle w:val="AERbody"/>
        </w:rPr>
        <w:t xml:space="preserve">methodology </w:t>
      </w:r>
      <w:r w:rsidR="00537D0D">
        <w:rPr>
          <w:rStyle w:val="AERbody"/>
        </w:rPr>
        <w:t xml:space="preserve">attempts to </w:t>
      </w:r>
      <w:r w:rsidR="007833AB" w:rsidRPr="007833AB">
        <w:rPr>
          <w:rStyle w:val="AERbody"/>
        </w:rPr>
        <w:t xml:space="preserve">address a number of issues that either would require a Rule or guideline change, or would be best dealt with at a NEM-wide level </w:t>
      </w:r>
      <w:r w:rsidR="00537D0D">
        <w:rPr>
          <w:rStyle w:val="AERbody"/>
        </w:rPr>
        <w:t>as part of</w:t>
      </w:r>
      <w:r w:rsidR="007833AB" w:rsidRPr="007833AB">
        <w:rPr>
          <w:rStyle w:val="AERbody"/>
        </w:rPr>
        <w:t xml:space="preserve"> a broader review of NEM transmission pricing arrangements.</w:t>
      </w:r>
    </w:p>
    <w:p w:rsidR="007833AB" w:rsidRPr="005A5D26" w:rsidRDefault="007833AB" w:rsidP="005A5D26">
      <w:pPr>
        <w:pStyle w:val="AERbodytext"/>
      </w:pPr>
    </w:p>
    <w:p w:rsidR="003B0D45" w:rsidRDefault="003B0D45" w:rsidP="00E14922">
      <w:pPr>
        <w:pStyle w:val="Heading1"/>
      </w:pPr>
      <w:bookmarkStart w:id="22" w:name="_Ref399959569"/>
      <w:bookmarkStart w:id="23" w:name="_Toc404437608"/>
      <w:r>
        <w:lastRenderedPageBreak/>
        <w:t xml:space="preserve">Constituent </w:t>
      </w:r>
      <w:r w:rsidRPr="00E14922">
        <w:t>components</w:t>
      </w:r>
      <w:r>
        <w:t xml:space="preserve"> and interrelationships</w:t>
      </w:r>
      <w:bookmarkEnd w:id="22"/>
      <w:bookmarkEnd w:id="23"/>
    </w:p>
    <w:p w:rsidR="004F7E2D" w:rsidRDefault="004F7E2D" w:rsidP="004F7E2D">
      <w:r w:rsidRPr="00EB0CD0">
        <w:t xml:space="preserve">The NEL requires us to specify how the constituent components of </w:t>
      </w:r>
      <w:r>
        <w:t>our</w:t>
      </w:r>
      <w:r w:rsidRPr="00EB0CD0">
        <w:t xml:space="preserve"> decision relate to each other and how we have taken those interrelationships into account in making our decision.</w:t>
      </w:r>
      <w:r>
        <w:rPr>
          <w:rStyle w:val="FootnoteReference"/>
        </w:rPr>
        <w:footnoteReference w:id="51"/>
      </w:r>
      <w:r w:rsidRPr="00EB0CD0">
        <w:t xml:space="preserve"> </w:t>
      </w:r>
      <w:r>
        <w:t>When considering any constituent component of a decision as complex as a transmission determination, it is important to also consider the interrelationships between constituent components. Ultimately, a transmission determination is an overall decision and must be considered as such. Considering constituent components in isolation ignores the importance of these interrelationships, would not contribute to the achievement of the NEO and, in the past, has resulted in regulatory failures.</w:t>
      </w:r>
      <w:r>
        <w:rPr>
          <w:rStyle w:val="FootnoteReference"/>
        </w:rPr>
        <w:footnoteReference w:id="52"/>
      </w:r>
    </w:p>
    <w:p w:rsidR="004F7E2D" w:rsidRPr="00EB0CD0" w:rsidRDefault="004F7E2D" w:rsidP="004F7E2D">
      <w:r>
        <w:t>I</w:t>
      </w:r>
      <w:r w:rsidRPr="00EB0CD0">
        <w:t>nterrelationships can take various forms including:</w:t>
      </w:r>
    </w:p>
    <w:p w:rsidR="004F7E2D" w:rsidRDefault="004F7E2D" w:rsidP="004F7E2D">
      <w:pPr>
        <w:pStyle w:val="AERbulletlistfirststyle"/>
      </w:pPr>
      <w:r>
        <w:t>u</w:t>
      </w:r>
      <w:r w:rsidRPr="00EB0CD0">
        <w:t xml:space="preserve">nderlying drivers and context are likely to affect many </w:t>
      </w:r>
      <w:r w:rsidR="009355FA">
        <w:t>constituent components of our decision</w:t>
      </w:r>
      <w:r w:rsidRPr="00EB0CD0">
        <w:t xml:space="preserve">. For example, forecast demand affects the efficient levels of capex and opex in the regulatory control period and it also affects how overall revenue is translated into individual prices. </w:t>
      </w:r>
    </w:p>
    <w:p w:rsidR="004F7E2D" w:rsidRPr="00EB0CD0" w:rsidRDefault="004F7E2D" w:rsidP="004F7E2D">
      <w:pPr>
        <w:pStyle w:val="AERbulletlistfirststyle"/>
      </w:pPr>
      <w:r w:rsidRPr="00EB0CD0">
        <w:t xml:space="preserve">direct mathematical links between different components of a decision. For example, the </w:t>
      </w:r>
      <w:r w:rsidR="00337877">
        <w:t>value of imputation credits</w:t>
      </w:r>
      <w:r w:rsidRPr="00EB0CD0">
        <w:t xml:space="preserve"> has a</w:t>
      </w:r>
      <w:r>
        <w:t>n</w:t>
      </w:r>
      <w:r w:rsidRPr="00EB0CD0">
        <w:t xml:space="preserve"> impact on the appropriate tax allowance</w:t>
      </w:r>
      <w:r>
        <w:t xml:space="preserve">; the </w:t>
      </w:r>
      <w:r w:rsidR="00AE6D9A">
        <w:t>benchmark efficient</w:t>
      </w:r>
      <w:r w:rsidR="002314A4">
        <w:t xml:space="preserve"> entity's debt to equity ratio h</w:t>
      </w:r>
      <w:r w:rsidR="00AE6D9A">
        <w:t>as a</w:t>
      </w:r>
      <w:r>
        <w:t xml:space="preserve"> direct effect on the cost of equity</w:t>
      </w:r>
      <w:r w:rsidR="00AE6D9A">
        <w:t xml:space="preserve">, </w:t>
      </w:r>
      <w:r>
        <w:t>the cost of debt</w:t>
      </w:r>
      <w:r w:rsidR="00EA4394">
        <w:t xml:space="preserve"> </w:t>
      </w:r>
      <w:r w:rsidR="00AE6D9A">
        <w:t>and the overall vanilla rate of return.</w:t>
      </w:r>
    </w:p>
    <w:p w:rsidR="004F7E2D" w:rsidRPr="00EB0CD0" w:rsidRDefault="004F7E2D" w:rsidP="004F7E2D">
      <w:pPr>
        <w:pStyle w:val="AERbulletlistfirststyle"/>
      </w:pPr>
      <w:r w:rsidRPr="00EB0CD0">
        <w:t>trade</w:t>
      </w:r>
      <w:r>
        <w:t>-</w:t>
      </w:r>
      <w:r w:rsidRPr="00EB0CD0">
        <w:t>offs between different components of revenue. For example, undertaking a particular capex project may affect the need for opex</w:t>
      </w:r>
      <w:r>
        <w:t xml:space="preserve"> and vice versa</w:t>
      </w:r>
      <w:r w:rsidRPr="00EB0CD0">
        <w:t>.</w:t>
      </w:r>
    </w:p>
    <w:p w:rsidR="004F7E2D" w:rsidRPr="00EB0CD0" w:rsidRDefault="004F7E2D" w:rsidP="004F7E2D">
      <w:pPr>
        <w:pStyle w:val="AERbulletlistfirststyle"/>
      </w:pPr>
      <w:r w:rsidRPr="00F0117F">
        <w:t xml:space="preserve">trade-offs between </w:t>
      </w:r>
      <w:r>
        <w:t>forecast and actual</w:t>
      </w:r>
      <w:r w:rsidRPr="00F0117F">
        <w:t xml:space="preserve"> regulatory measures. </w:t>
      </w:r>
      <w:r w:rsidR="00882D06">
        <w:t>T</w:t>
      </w:r>
      <w:r w:rsidRPr="00EB0CD0">
        <w:t xml:space="preserve">he reasons for one part of a proposal may have impacts on other parts of a proposal. For example, </w:t>
      </w:r>
      <w:r>
        <w:t>an increase in augmentation to the network means the TNSP has more assets to maintain</w:t>
      </w:r>
      <w:r w:rsidR="00DD6BDA">
        <w:t>,</w:t>
      </w:r>
      <w:r>
        <w:t xml:space="preserve"> leading to higher opex requirements.</w:t>
      </w:r>
    </w:p>
    <w:p w:rsidR="004F7E2D" w:rsidRPr="00EB0CD0" w:rsidRDefault="004F7E2D" w:rsidP="004F7E2D">
      <w:pPr>
        <w:pStyle w:val="AERbulletlistfirststyle"/>
      </w:pPr>
      <w:r>
        <w:t>the TNSP's approach and attitude to managing its network. T</w:t>
      </w:r>
      <w:r w:rsidRPr="00EB0CD0">
        <w:t xml:space="preserve">he </w:t>
      </w:r>
      <w:r>
        <w:t>TNSP's</w:t>
      </w:r>
      <w:r w:rsidRPr="00EB0CD0">
        <w:t xml:space="preserve"> </w:t>
      </w:r>
      <w:r>
        <w:t>governance arrangements and its approach</w:t>
      </w:r>
      <w:r w:rsidRPr="00EB0CD0">
        <w:t xml:space="preserve"> to risk management will influence most aspects of the proposal</w:t>
      </w:r>
      <w:r>
        <w:t>, including the capex/opex trade-off</w:t>
      </w:r>
      <w:r w:rsidRPr="00EB0CD0">
        <w:t>.</w:t>
      </w:r>
    </w:p>
    <w:p w:rsidR="004F7E2D" w:rsidRDefault="004F7E2D" w:rsidP="004F7E2D">
      <w:r w:rsidRPr="00435BBD">
        <w:t xml:space="preserve">Interrelationships are also </w:t>
      </w:r>
      <w:r>
        <w:t xml:space="preserve">a </w:t>
      </w:r>
      <w:r w:rsidRPr="00435BBD">
        <w:t>useful to</w:t>
      </w:r>
      <w:r>
        <w:t>ol</w:t>
      </w:r>
      <w:r w:rsidRPr="00435BBD">
        <w:t xml:space="preserve"> </w:t>
      </w:r>
      <w:r>
        <w:t>when approaching decision making more holistically</w:t>
      </w:r>
      <w:r w:rsidRPr="00435BBD">
        <w:t>.</w:t>
      </w:r>
      <w:r>
        <w:t xml:space="preserve"> </w:t>
      </w:r>
      <w:r w:rsidRPr="00435BBD">
        <w:t xml:space="preserve">This is especially the case </w:t>
      </w:r>
      <w:r w:rsidR="001450D9">
        <w:t>for</w:t>
      </w:r>
      <w:r w:rsidR="001450D9" w:rsidRPr="00435BBD">
        <w:t xml:space="preserve"> </w:t>
      </w:r>
      <w:r w:rsidRPr="00435BBD">
        <w:t xml:space="preserve">underlying drivers </w:t>
      </w:r>
      <w:r w:rsidR="001450D9">
        <w:t>that are</w:t>
      </w:r>
      <w:r w:rsidR="001450D9" w:rsidRPr="00435BBD">
        <w:t xml:space="preserve"> </w:t>
      </w:r>
      <w:r w:rsidRPr="00435BBD">
        <w:t xml:space="preserve">likely to affect many aspects of </w:t>
      </w:r>
      <w:r>
        <w:t>revenue simultaneously</w:t>
      </w:r>
      <w:r w:rsidRPr="00435BBD">
        <w:t xml:space="preserve">. </w:t>
      </w:r>
      <w:r>
        <w:t>In these cases</w:t>
      </w:r>
      <w:r w:rsidRPr="00435BBD">
        <w:t xml:space="preserve">, individual drivers may substantially influence the overall efficient revenue allowance. </w:t>
      </w:r>
      <w:r w:rsidR="001450D9">
        <w:t>As a result, while there is no tool to directly estimate an efficient overall revenue allowance, underlying drivers can indicate the direction and broad magnitude of changes to the efficient level of overall revenue.</w:t>
      </w:r>
      <w:r>
        <w:t xml:space="preserve"> </w:t>
      </w:r>
    </w:p>
    <w:p w:rsidR="009A3B0F" w:rsidRDefault="009A3B0F" w:rsidP="004F7E2D">
      <w:r>
        <w:t>Consumer preferences should also be reflected throughout the proposal. More particularly, if the TNSP states investment is needed because consumers want it, the TNSP needs to show that it has effectively engaged with consumers to evidence this is the case. Any deficiency in consumer engagement will mean consumer views will be reflected less in the proposal. This is likely to impact most aspects of the proposal.</w:t>
      </w:r>
    </w:p>
    <w:p w:rsidR="003B0D45" w:rsidRDefault="003B0D45" w:rsidP="00E14922">
      <w:pPr>
        <w:pStyle w:val="Heading2"/>
      </w:pPr>
      <w:bookmarkStart w:id="24" w:name="_Toc404437609"/>
      <w:r>
        <w:lastRenderedPageBreak/>
        <w:t xml:space="preserve">Key </w:t>
      </w:r>
      <w:r w:rsidR="00EF600F">
        <w:t xml:space="preserve">drivers </w:t>
      </w:r>
      <w:r>
        <w:t xml:space="preserve">impacting </w:t>
      </w:r>
      <w:r w:rsidR="00EF600F">
        <w:t>revenue</w:t>
      </w:r>
      <w:bookmarkEnd w:id="24"/>
    </w:p>
    <w:p w:rsidR="002B55C0" w:rsidRDefault="002B55C0" w:rsidP="002B55C0">
      <w:r w:rsidRPr="00EB0CD0">
        <w:t xml:space="preserve">Below, we </w:t>
      </w:r>
      <w:r>
        <w:t>summarise</w:t>
      </w:r>
      <w:r w:rsidRPr="00EB0CD0">
        <w:t xml:space="preserve"> the key </w:t>
      </w:r>
      <w:r>
        <w:t>underlying drivers for this decision and illustrate how they impact on the constituent components of our decision. We then examine the cumulative effect of these drivers on the efficient level of overall revenue. In our attachments and appendices we include our analysis of the other interrelationships between constituent components of this decision.</w:t>
      </w:r>
    </w:p>
    <w:p w:rsidR="009A47C1" w:rsidRPr="00136B81" w:rsidRDefault="009A47C1" w:rsidP="009A47C1">
      <w:pPr>
        <w:pStyle w:val="HeadingBoldBlue"/>
      </w:pPr>
      <w:r w:rsidRPr="00136B81">
        <w:t>Financial market conditions</w:t>
      </w:r>
    </w:p>
    <w:p w:rsidR="009A47C1" w:rsidRDefault="009A47C1" w:rsidP="009A47C1">
      <w:pPr>
        <w:pStyle w:val="AERbulletlistfirststyle"/>
      </w:pPr>
      <w:r w:rsidRPr="00136B81">
        <w:t xml:space="preserve">We estimate the returns on equity and debt for a benchmark efficient business in accordance with our rate of return guideline. This approach supports the </w:t>
      </w:r>
      <w:r>
        <w:t xml:space="preserve">allowed </w:t>
      </w:r>
      <w:r w:rsidRPr="00136B81">
        <w:t xml:space="preserve">rate of return objective in the </w:t>
      </w:r>
      <w:r>
        <w:t>NER</w:t>
      </w:r>
      <w:r w:rsidRPr="00136B81">
        <w:t xml:space="preserve">—for the overall rate of return to be commensurate with the efficient financing costs of a benchmark efficient business. </w:t>
      </w:r>
    </w:p>
    <w:p w:rsidR="009A47C1" w:rsidRDefault="009A47C1" w:rsidP="009A47C1">
      <w:pPr>
        <w:pStyle w:val="AERbulletlistfirststyle"/>
      </w:pPr>
      <w:r w:rsidRPr="00136B81">
        <w:t xml:space="preserve">The investment environment </w:t>
      </w:r>
      <w:r>
        <w:t xml:space="preserve">has </w:t>
      </w:r>
      <w:r w:rsidRPr="00136B81">
        <w:t>improved</w:t>
      </w:r>
      <w:r>
        <w:t xml:space="preserve"> since our previous decision</w:t>
      </w:r>
      <w:r w:rsidRPr="00136B81">
        <w:t xml:space="preserve">. Our last decision for </w:t>
      </w:r>
      <w:r>
        <w:t>TransGrid</w:t>
      </w:r>
      <w:r w:rsidRPr="00136B81">
        <w:t xml:space="preserve"> was made during the height of uncertainty surrounding the global financial crisis (GFC).</w:t>
      </w:r>
      <w:r>
        <w:rPr>
          <w:rStyle w:val="FootnoteReference"/>
        </w:rPr>
        <w:footnoteReference w:id="53"/>
      </w:r>
      <w:r w:rsidRPr="00136B81">
        <w:t xml:space="preserve"> Since then perceptions of risk have subsided</w:t>
      </w:r>
      <w:r>
        <w:t xml:space="preserve"> and interest rates have fallen, as evidenced by falling credit risk premiums</w:t>
      </w:r>
      <w:r w:rsidRPr="00136B81">
        <w:t xml:space="preserve">. </w:t>
      </w:r>
      <w:r>
        <w:t xml:space="preserve">The Reserve Bank of Australia has also lowered its target cash rate. </w:t>
      </w:r>
      <w:r w:rsidRPr="00136B81">
        <w:t xml:space="preserve">As a consequence, </w:t>
      </w:r>
      <w:r>
        <w:t xml:space="preserve">the </w:t>
      </w:r>
      <w:r w:rsidRPr="00136B81">
        <w:t>lower cost of capital</w:t>
      </w:r>
      <w:r>
        <w:t xml:space="preserve"> for</w:t>
      </w:r>
      <w:r w:rsidRPr="00136B81">
        <w:t xml:space="preserve"> debt and equity translate </w:t>
      </w:r>
      <w:r>
        <w:t>in</w:t>
      </w:r>
      <w:r w:rsidRPr="00136B81">
        <w:t xml:space="preserve">to lower financing costs necessary to attract </w:t>
      </w:r>
      <w:r>
        <w:t xml:space="preserve">efficient </w:t>
      </w:r>
      <w:r w:rsidRPr="00136B81">
        <w:t xml:space="preserve">investment. </w:t>
      </w:r>
    </w:p>
    <w:p w:rsidR="009A47C1" w:rsidRPr="00136B81" w:rsidRDefault="009A47C1" w:rsidP="009A47C1">
      <w:pPr>
        <w:pStyle w:val="AERbulletlistfirststyle"/>
      </w:pPr>
      <w:r>
        <w:t>Using</w:t>
      </w:r>
      <w:r w:rsidRPr="00136B81">
        <w:t xml:space="preserve"> our rate of return guideline</w:t>
      </w:r>
      <w:r>
        <w:t xml:space="preserve"> as our starting point</w:t>
      </w:r>
      <w:r w:rsidRPr="00136B81">
        <w:t>, we have assessed a rate of return that achieves the rate o</w:t>
      </w:r>
      <w:r>
        <w:t>f</w:t>
      </w:r>
      <w:r w:rsidRPr="00136B81">
        <w:t xml:space="preserve"> return objective and the NEO </w:t>
      </w:r>
      <w:r>
        <w:t xml:space="preserve">and </w:t>
      </w:r>
      <w:r w:rsidRPr="00136B81">
        <w:t xml:space="preserve">will allow </w:t>
      </w:r>
      <w:r>
        <w:t>TransGrid</w:t>
      </w:r>
      <w:r w:rsidRPr="00136B81">
        <w:t xml:space="preserve"> to fund its network investment. </w:t>
      </w:r>
      <w:r>
        <w:t xml:space="preserve">This is lower than the </w:t>
      </w:r>
      <w:r w:rsidR="00A97AE6">
        <w:t>rate of return</w:t>
      </w:r>
      <w:r>
        <w:t xml:space="preserve"> TransGrid received in the 2009 decision and is in contrast to TransGrid's proposal which was to maintain its rate of return at historically high levels</w:t>
      </w:r>
      <w:r w:rsidRPr="00136B81">
        <w:t xml:space="preserve">. </w:t>
      </w:r>
    </w:p>
    <w:p w:rsidR="009A47C1" w:rsidRPr="0033733C" w:rsidRDefault="009A47C1" w:rsidP="009A47C1">
      <w:pPr>
        <w:pStyle w:val="HeadingBoldBlue"/>
      </w:pPr>
      <w:r>
        <w:t xml:space="preserve">Regulatory asset base </w:t>
      </w:r>
    </w:p>
    <w:p w:rsidR="009A47C1" w:rsidRDefault="009A47C1" w:rsidP="009A47C1">
      <w:pPr>
        <w:pStyle w:val="AERbulletlistfirststyle"/>
      </w:pPr>
      <w:r>
        <w:t xml:space="preserve">TransGrid underspent its capex forecast for the 2009–14 regulatory control period. While its RAB in that period was based on its forecast capex forecast, its opening RAB for this period will be based on its lower actual capex. </w:t>
      </w:r>
      <w:r w:rsidRPr="0033733C">
        <w:t xml:space="preserve">This means that the opening RAB </w:t>
      </w:r>
      <w:r>
        <w:t xml:space="preserve">at 1 July 2014 </w:t>
      </w:r>
      <w:r w:rsidRPr="0033733C">
        <w:t xml:space="preserve">is lower than </w:t>
      </w:r>
      <w:r>
        <w:t xml:space="preserve">was forecast at the last reset. All else being equal, this would </w:t>
      </w:r>
      <w:r w:rsidRPr="0033733C">
        <w:t xml:space="preserve">generate lower </w:t>
      </w:r>
      <w:r>
        <w:t xml:space="preserve">future </w:t>
      </w:r>
      <w:r w:rsidRPr="0033733C">
        <w:t>revenue</w:t>
      </w:r>
      <w:r>
        <w:t xml:space="preserve"> requirements</w:t>
      </w:r>
      <w:r w:rsidRPr="0033733C">
        <w:t xml:space="preserve"> than </w:t>
      </w:r>
      <w:r>
        <w:t xml:space="preserve">expected </w:t>
      </w:r>
      <w:r w:rsidRPr="0033733C">
        <w:t xml:space="preserve">at the end of the </w:t>
      </w:r>
      <w:r>
        <w:t xml:space="preserve">2009–14 </w:t>
      </w:r>
      <w:r w:rsidRPr="0033733C">
        <w:t>regulatory control period</w:t>
      </w:r>
      <w:r>
        <w:t>.</w:t>
      </w:r>
      <w:r w:rsidRPr="0033733C">
        <w:t xml:space="preserve"> </w:t>
      </w:r>
    </w:p>
    <w:p w:rsidR="009A47C1" w:rsidRDefault="009A47C1" w:rsidP="009A47C1">
      <w:pPr>
        <w:pStyle w:val="HeadingBoldBlue"/>
      </w:pPr>
      <w:r>
        <w:t>Past capital expenditure</w:t>
      </w:r>
    </w:p>
    <w:p w:rsidR="009A47C1" w:rsidRPr="002571C3" w:rsidRDefault="004B4F91" w:rsidP="009A47C1">
      <w:pPr>
        <w:pStyle w:val="AERbulletlistfirststyle"/>
      </w:pPr>
      <w:r>
        <w:t>W</w:t>
      </w:r>
      <w:r w:rsidR="00B03F04">
        <w:t>hile the RAB has not increased to the extent expected</w:t>
      </w:r>
      <w:r w:rsidR="009A47C1">
        <w:t xml:space="preserve">, </w:t>
      </w:r>
      <w:r w:rsidR="009A47C1" w:rsidRPr="002571C3">
        <w:t xml:space="preserve">TransGrid’s past </w:t>
      </w:r>
      <w:r w:rsidR="00A97AE6">
        <w:t>capital expenditure and the outputs of that expenditure</w:t>
      </w:r>
      <w:r w:rsidR="009A47C1" w:rsidRPr="002571C3">
        <w:t xml:space="preserve"> reveals that its capital efficiency has been steadily declining over time. Its performance is lower than that of other transmission networks. This suggests that efficient reductions in capex are achievable.  </w:t>
      </w:r>
    </w:p>
    <w:p w:rsidR="009A47C1" w:rsidRDefault="009A47C1" w:rsidP="009A47C1">
      <w:pPr>
        <w:pStyle w:val="AERbulletlistfirststyle"/>
      </w:pPr>
      <w:r>
        <w:t>As noted above, TransGrid underspent its capex forecast for the 2009-</w:t>
      </w:r>
      <w:r w:rsidR="00EA4394">
        <w:rPr>
          <w:rFonts w:cs="Gautami"/>
        </w:rPr>
        <w:t>–</w:t>
      </w:r>
      <w:r>
        <w:t>4 period. It proposes furth</w:t>
      </w:r>
      <w:r w:rsidR="00EA4394">
        <w:t>er reductions in capex for 201</w:t>
      </w:r>
      <w:r w:rsidR="00F94EDD">
        <w:t>5</w:t>
      </w:r>
      <w:r w:rsidR="00EA4394">
        <w:rPr>
          <w:rFonts w:cs="Gautami"/>
        </w:rPr>
        <w:t>–</w:t>
      </w:r>
      <w:r>
        <w:t>18. Howe</w:t>
      </w:r>
      <w:r w:rsidR="00EA4394">
        <w:t>ver, as in the 2009</w:t>
      </w:r>
      <w:r w:rsidR="00EA4394">
        <w:rPr>
          <w:rFonts w:cs="Gautami"/>
        </w:rPr>
        <w:t>–</w:t>
      </w:r>
      <w:r>
        <w:t xml:space="preserve">14 period, most of the significant reduction in capex </w:t>
      </w:r>
      <w:r w:rsidR="00EA4394">
        <w:t>TransGrid proposes for the 201</w:t>
      </w:r>
      <w:r w:rsidR="00F94EDD">
        <w:t>5</w:t>
      </w:r>
      <w:r w:rsidR="00EA4394">
        <w:rPr>
          <w:rFonts w:cs="Gautami"/>
        </w:rPr>
        <w:t>–</w:t>
      </w:r>
      <w:r>
        <w:t xml:space="preserve">18 period is a product of falling demand and reduced need for augmentation of its network. </w:t>
      </w:r>
      <w:r w:rsidR="00A97AE6">
        <w:t>There are o</w:t>
      </w:r>
      <w:r>
        <w:t xml:space="preserve">ther elements of its proposed capex </w:t>
      </w:r>
      <w:r w:rsidR="00B03F04">
        <w:t xml:space="preserve">where </w:t>
      </w:r>
      <w:r>
        <w:t xml:space="preserve">we could expect to see greater efficiency. For example, our independent review of TransGrid’s proposal highlighted potential concerns with higher than expected </w:t>
      </w:r>
      <w:r w:rsidR="00A97AE6">
        <w:t xml:space="preserve">capital expenditure on asset replacement </w:t>
      </w:r>
      <w:r w:rsidR="00EA4394">
        <w:t>over the 2009</w:t>
      </w:r>
      <w:r w:rsidR="00EA4394">
        <w:rPr>
          <w:rFonts w:cs="Gautami"/>
        </w:rPr>
        <w:t>–</w:t>
      </w:r>
      <w:r>
        <w:t>14 regulatory control period</w:t>
      </w:r>
      <w:r w:rsidR="00337877">
        <w:t>. The review also questioned</w:t>
      </w:r>
      <w:r>
        <w:t xml:space="preserve"> the justification for further increases in Tran</w:t>
      </w:r>
      <w:r w:rsidR="00EA4394">
        <w:t>sGrid’s forecast repex for 201</w:t>
      </w:r>
      <w:r w:rsidR="00F94EDD">
        <w:t>5</w:t>
      </w:r>
      <w:r w:rsidR="00EA4394">
        <w:rPr>
          <w:rFonts w:cs="Gautami"/>
        </w:rPr>
        <w:t>–</w:t>
      </w:r>
      <w:r>
        <w:t xml:space="preserve">18 when </w:t>
      </w:r>
      <w:r>
        <w:lastRenderedPageBreak/>
        <w:t>network performance metrics such as system minutes, line outages, transformer outages and reactive plant outages have been relatively stable—or have improved—since 2009.</w:t>
      </w:r>
    </w:p>
    <w:p w:rsidR="009A47C1" w:rsidRPr="00136B81" w:rsidRDefault="009A47C1" w:rsidP="009A47C1">
      <w:pPr>
        <w:pStyle w:val="HeadingBoldBlue"/>
      </w:pPr>
      <w:r w:rsidRPr="00136B81">
        <w:t>Demand</w:t>
      </w:r>
    </w:p>
    <w:p w:rsidR="009A47C1" w:rsidRPr="00D76107" w:rsidRDefault="00D76107" w:rsidP="00D76107">
      <w:pPr>
        <w:pStyle w:val="AERbulletlistfirststyle"/>
        <w:rPr>
          <w:rStyle w:val="AERtexthighlight"/>
          <w:shd w:val="clear" w:color="auto" w:fill="auto"/>
        </w:rPr>
      </w:pPr>
      <w:r w:rsidRPr="00FE3BAD">
        <w:rPr>
          <w:rStyle w:val="AERtexthighlight"/>
          <w:shd w:val="clear" w:color="auto" w:fill="auto"/>
        </w:rPr>
        <w:t xml:space="preserve">System peak demand in New South Wales decreased on average by around 3.9 per cent per annum over the </w:t>
      </w:r>
      <w:r w:rsidR="00EA4394" w:rsidRPr="00EA4394">
        <w:t>p</w:t>
      </w:r>
      <w:r w:rsidRPr="00FE3BAD">
        <w:rPr>
          <w:rStyle w:val="AERtexthighlight"/>
          <w:shd w:val="clear" w:color="auto" w:fill="auto"/>
        </w:rPr>
        <w:t>ast five years. In addition, growth in peak demand is expected to be, on average, 1.13 p</w:t>
      </w:r>
      <w:r w:rsidR="00F94EDD">
        <w:rPr>
          <w:rStyle w:val="AERtexthighlight"/>
          <w:shd w:val="clear" w:color="auto" w:fill="auto"/>
        </w:rPr>
        <w:t>er cent per annum over the 2015</w:t>
      </w:r>
      <w:r w:rsidR="00F94EDD">
        <w:rPr>
          <w:rStyle w:val="AERtexthighlight"/>
          <w:rFonts w:cs="Gautami"/>
          <w:shd w:val="clear" w:color="auto" w:fill="auto"/>
        </w:rPr>
        <w:t>–</w:t>
      </w:r>
      <w:r w:rsidRPr="00FE3BAD">
        <w:rPr>
          <w:rStyle w:val="AERtexthighlight"/>
          <w:shd w:val="clear" w:color="auto" w:fill="auto"/>
        </w:rPr>
        <w:t>18 period. These expectations ind</w:t>
      </w:r>
      <w:r w:rsidRPr="00222448">
        <w:rPr>
          <w:rStyle w:val="AERtexthighlight"/>
          <w:shd w:val="clear" w:color="auto" w:fill="auto"/>
        </w:rPr>
        <w:t xml:space="preserve">icate that only modest amounts of growth related expenditure will be required in </w:t>
      </w:r>
      <w:r w:rsidRPr="008841F1">
        <w:rPr>
          <w:rStyle w:val="AERtexthighlight"/>
          <w:shd w:val="clear" w:color="auto" w:fill="auto"/>
        </w:rPr>
        <w:t>the</w:t>
      </w:r>
      <w:r w:rsidRPr="00D30E05">
        <w:rPr>
          <w:rStyle w:val="AERtexthighlight"/>
          <w:shd w:val="clear" w:color="auto" w:fill="auto"/>
        </w:rPr>
        <w:t xml:space="preserve"> forthcoming period.</w:t>
      </w:r>
    </w:p>
    <w:p w:rsidR="009A47C1" w:rsidRPr="00D76107" w:rsidRDefault="009A47C1" w:rsidP="00F47A47">
      <w:pPr>
        <w:pStyle w:val="AERbulletlistfirststyle"/>
        <w:rPr>
          <w:rStyle w:val="AERtexthighlight"/>
          <w:shd w:val="clear" w:color="auto" w:fill="auto"/>
        </w:rPr>
      </w:pPr>
      <w:r w:rsidRPr="00905007">
        <w:rPr>
          <w:rStyle w:val="AERtexthighlight"/>
          <w:shd w:val="clear" w:color="auto" w:fill="auto"/>
        </w:rPr>
        <w:t>The demand forecasts that have informed TransGrid</w:t>
      </w:r>
      <w:r w:rsidRPr="00D76107">
        <w:rPr>
          <w:rStyle w:val="AERtexthighlight"/>
          <w:rFonts w:hint="eastAsia"/>
          <w:shd w:val="clear" w:color="auto" w:fill="auto"/>
        </w:rPr>
        <w:t>’</w:t>
      </w:r>
      <w:r w:rsidRPr="00D76107">
        <w:rPr>
          <w:rStyle w:val="AERtexthighlight"/>
          <w:shd w:val="clear" w:color="auto" w:fill="auto"/>
        </w:rPr>
        <w:t xml:space="preserve">s proposal are considerably lower than previous forecasts, </w:t>
      </w:r>
      <w:r w:rsidR="008946CB" w:rsidRPr="00D76107">
        <w:rPr>
          <w:rStyle w:val="AERtexthighlight"/>
          <w:shd w:val="clear" w:color="auto" w:fill="auto"/>
        </w:rPr>
        <w:t xml:space="preserve">and </w:t>
      </w:r>
      <w:r w:rsidRPr="00D76107">
        <w:rPr>
          <w:rStyle w:val="AERtexthighlight"/>
          <w:shd w:val="clear" w:color="auto" w:fill="auto"/>
        </w:rPr>
        <w:t xml:space="preserve">we consider reasonably reflect a realistic level of demand. AEMO has forecast similar trends of low system demand growth for the NSW region to </w:t>
      </w:r>
      <w:r w:rsidR="005A7482" w:rsidRPr="00FE3BAD">
        <w:rPr>
          <w:rStyle w:val="AERtexthighlight"/>
          <w:shd w:val="clear" w:color="auto" w:fill="auto"/>
        </w:rPr>
        <w:t xml:space="preserve">that forecast by </w:t>
      </w:r>
      <w:r w:rsidRPr="00D76107">
        <w:rPr>
          <w:rStyle w:val="AERtexthighlight"/>
          <w:shd w:val="clear" w:color="auto" w:fill="auto"/>
        </w:rPr>
        <w:t xml:space="preserve">TransGrid. </w:t>
      </w:r>
    </w:p>
    <w:p w:rsidR="009A47C1" w:rsidRPr="006531F1" w:rsidRDefault="009A47C1">
      <w:pPr>
        <w:pStyle w:val="AERbulletlistfirststyle"/>
        <w:rPr>
          <w:rStyle w:val="AERtexthighlight"/>
          <w:shd w:val="clear" w:color="auto" w:fill="auto"/>
        </w:rPr>
      </w:pPr>
      <w:r w:rsidRPr="006531F1">
        <w:rPr>
          <w:rStyle w:val="AERtexthighlight"/>
          <w:shd w:val="clear" w:color="auto" w:fill="auto"/>
        </w:rPr>
        <w:t>We understand NSW NSPs are in the process of updating their demand forecasts, so that further reductions can be expected between our draft and final decisions. This updated information may lead to further downward revisions to expenditure forecasts in TransGrid</w:t>
      </w:r>
      <w:r w:rsidRPr="006531F1">
        <w:rPr>
          <w:rStyle w:val="AERtexthighlight"/>
          <w:rFonts w:hint="eastAsia"/>
          <w:shd w:val="clear" w:color="auto" w:fill="auto"/>
        </w:rPr>
        <w:t>’</w:t>
      </w:r>
      <w:r w:rsidRPr="006531F1">
        <w:rPr>
          <w:rStyle w:val="AERtexthighlight"/>
          <w:shd w:val="clear" w:color="auto" w:fill="auto"/>
        </w:rPr>
        <w:t xml:space="preserve">s revised proposal and our final decision. </w:t>
      </w:r>
    </w:p>
    <w:p w:rsidR="009A47C1" w:rsidRPr="00AE3AB7" w:rsidRDefault="009A47C1" w:rsidP="00810B62">
      <w:pPr>
        <w:pStyle w:val="AERbulletlistfirststyle"/>
        <w:rPr>
          <w:rStyle w:val="AERtexthighlight"/>
          <w:shd w:val="clear" w:color="auto" w:fill="auto"/>
        </w:rPr>
      </w:pPr>
      <w:r w:rsidRPr="00810B62">
        <w:rPr>
          <w:rStyle w:val="AERtexthighlight"/>
          <w:shd w:val="clear" w:color="auto" w:fill="auto"/>
        </w:rPr>
        <w:t>As we would expect, one of the results of this trend is the significant (92 per cent) reduction in TransGrid</w:t>
      </w:r>
      <w:r w:rsidRPr="00AE3AB7">
        <w:rPr>
          <w:rStyle w:val="AERtexthighlight"/>
          <w:rFonts w:hint="eastAsia"/>
          <w:shd w:val="clear" w:color="auto" w:fill="auto"/>
        </w:rPr>
        <w:t>’</w:t>
      </w:r>
      <w:r w:rsidRPr="00AE3AB7">
        <w:rPr>
          <w:rStyle w:val="AERtexthighlight"/>
          <w:shd w:val="clear" w:color="auto" w:fill="auto"/>
        </w:rPr>
        <w:t xml:space="preserve">s </w:t>
      </w:r>
      <w:r w:rsidR="00CF23CB">
        <w:rPr>
          <w:rStyle w:val="AERtexthighlight"/>
          <w:shd w:val="clear" w:color="auto" w:fill="auto"/>
        </w:rPr>
        <w:t>augmentation expenditure (augex)</w:t>
      </w:r>
      <w:r w:rsidR="00F94EDD">
        <w:rPr>
          <w:rStyle w:val="AERtexthighlight"/>
          <w:shd w:val="clear" w:color="auto" w:fill="auto"/>
        </w:rPr>
        <w:t xml:space="preserve"> forecast compared to the 2009</w:t>
      </w:r>
      <w:r w:rsidR="00F94EDD">
        <w:rPr>
          <w:rStyle w:val="AERtexthighlight"/>
          <w:rFonts w:cs="Gautami"/>
          <w:shd w:val="clear" w:color="auto" w:fill="auto"/>
        </w:rPr>
        <w:t>–</w:t>
      </w:r>
      <w:r w:rsidRPr="00AE3AB7">
        <w:rPr>
          <w:rStyle w:val="AERtexthighlight"/>
          <w:shd w:val="clear" w:color="auto" w:fill="auto"/>
        </w:rPr>
        <w:t>14 regulatory control period. For the reasons discussed in attachment 6, we have accepted TransGrid</w:t>
      </w:r>
      <w:r w:rsidRPr="00AE3AB7">
        <w:rPr>
          <w:rStyle w:val="AERtexthighlight"/>
          <w:rFonts w:hint="eastAsia"/>
          <w:shd w:val="clear" w:color="auto" w:fill="auto"/>
        </w:rPr>
        <w:t>’</w:t>
      </w:r>
      <w:r w:rsidRPr="00AE3AB7">
        <w:rPr>
          <w:rStyle w:val="AERtexthighlight"/>
          <w:shd w:val="clear" w:color="auto" w:fill="auto"/>
        </w:rPr>
        <w:t>s forecast augex for the purposes of calculating a total capex fore</w:t>
      </w:r>
      <w:r w:rsidR="00F94EDD">
        <w:rPr>
          <w:rStyle w:val="AERtexthighlight"/>
          <w:shd w:val="clear" w:color="auto" w:fill="auto"/>
        </w:rPr>
        <w:t>cast for 2015</w:t>
      </w:r>
      <w:r w:rsidR="00F94EDD">
        <w:rPr>
          <w:rStyle w:val="AERtexthighlight"/>
          <w:rFonts w:cs="Gautami"/>
          <w:shd w:val="clear" w:color="auto" w:fill="auto"/>
        </w:rPr>
        <w:t>–</w:t>
      </w:r>
      <w:r w:rsidRPr="00AE3AB7">
        <w:rPr>
          <w:rStyle w:val="AERtexthighlight"/>
          <w:shd w:val="clear" w:color="auto" w:fill="auto"/>
        </w:rPr>
        <w:t>18 because it aligns with the low levels of demand growth forecast for that period. However, we have rejected TransGrid</w:t>
      </w:r>
      <w:r w:rsidRPr="00AE3AB7">
        <w:rPr>
          <w:rStyle w:val="AERtexthighlight"/>
          <w:rFonts w:hint="eastAsia"/>
          <w:shd w:val="clear" w:color="auto" w:fill="auto"/>
        </w:rPr>
        <w:t>’</w:t>
      </w:r>
      <w:r w:rsidRPr="00AE3AB7">
        <w:rPr>
          <w:rStyle w:val="AERtexthighlight"/>
          <w:shd w:val="clear" w:color="auto" w:fill="auto"/>
        </w:rPr>
        <w:t xml:space="preserve">s proposed </w:t>
      </w:r>
      <w:r w:rsidRPr="00AE3AB7">
        <w:rPr>
          <w:rStyle w:val="AERtexthighlight"/>
          <w:rFonts w:hint="eastAsia"/>
          <w:shd w:val="clear" w:color="auto" w:fill="auto"/>
        </w:rPr>
        <w:t>‘</w:t>
      </w:r>
      <w:r w:rsidRPr="00AE3AB7">
        <w:rPr>
          <w:rStyle w:val="AERtexthighlight"/>
          <w:shd w:val="clear" w:color="auto" w:fill="auto"/>
        </w:rPr>
        <w:t>Powering Sydney</w:t>
      </w:r>
      <w:r w:rsidRPr="00AE3AB7">
        <w:rPr>
          <w:rStyle w:val="AERtexthighlight"/>
          <w:rFonts w:hint="eastAsia"/>
          <w:shd w:val="clear" w:color="auto" w:fill="auto"/>
        </w:rPr>
        <w:t>’</w:t>
      </w:r>
      <w:r w:rsidRPr="00AE3AB7">
        <w:rPr>
          <w:rStyle w:val="AERtexthighlight"/>
          <w:shd w:val="clear" w:color="auto" w:fill="auto"/>
        </w:rPr>
        <w:t>s Future</w:t>
      </w:r>
      <w:r w:rsidRPr="00AE3AB7">
        <w:rPr>
          <w:rStyle w:val="AERtexthighlight"/>
          <w:rFonts w:hint="eastAsia"/>
          <w:shd w:val="clear" w:color="auto" w:fill="auto"/>
        </w:rPr>
        <w:t>’</w:t>
      </w:r>
      <w:r w:rsidRPr="00AE3AB7">
        <w:rPr>
          <w:rStyle w:val="AERtexthighlight"/>
          <w:shd w:val="clear" w:color="auto" w:fill="auto"/>
        </w:rPr>
        <w:t xml:space="preserve"> contingent project, and related opex, which </w:t>
      </w:r>
      <w:r w:rsidR="007C3BF8" w:rsidRPr="00810B62">
        <w:rPr>
          <w:rStyle w:val="AERtexthighlight"/>
          <w:shd w:val="clear" w:color="auto" w:fill="auto"/>
        </w:rPr>
        <w:t xml:space="preserve">more recent </w:t>
      </w:r>
      <w:r w:rsidRPr="00810B62">
        <w:rPr>
          <w:rStyle w:val="AERtexthighlight"/>
          <w:shd w:val="clear" w:color="auto" w:fill="auto"/>
        </w:rPr>
        <w:t>demand forecasts suggest will not be required of TransGrid in the 201</w:t>
      </w:r>
      <w:r w:rsidR="00F94EDD">
        <w:rPr>
          <w:rStyle w:val="AERtexthighlight"/>
          <w:shd w:val="clear" w:color="auto" w:fill="auto"/>
        </w:rPr>
        <w:t>5</w:t>
      </w:r>
      <w:r w:rsidR="00F94EDD">
        <w:rPr>
          <w:rStyle w:val="AERtexthighlight"/>
          <w:rFonts w:cs="Gautami"/>
          <w:shd w:val="clear" w:color="auto" w:fill="auto"/>
        </w:rPr>
        <w:t>–</w:t>
      </w:r>
      <w:r w:rsidRPr="00AE3AB7">
        <w:rPr>
          <w:rStyle w:val="AERtexthighlight"/>
          <w:shd w:val="clear" w:color="auto" w:fill="auto"/>
        </w:rPr>
        <w:t>18 period.</w:t>
      </w:r>
    </w:p>
    <w:p w:rsidR="009A47C1" w:rsidRDefault="009A47C1" w:rsidP="009A47C1">
      <w:pPr>
        <w:pStyle w:val="HeadingBoldBlue"/>
      </w:pPr>
      <w:r w:rsidRPr="000476A6">
        <w:t xml:space="preserve">Risk </w:t>
      </w:r>
      <w:r>
        <w:t xml:space="preserve">assessment and </w:t>
      </w:r>
      <w:r w:rsidRPr="000476A6">
        <w:t>management</w:t>
      </w:r>
    </w:p>
    <w:p w:rsidR="009A47C1" w:rsidRDefault="009A47C1" w:rsidP="009A47C1">
      <w:pPr>
        <w:pStyle w:val="AERbulletlistfirststyle"/>
      </w:pPr>
      <w:r>
        <w:t xml:space="preserve">In the course of our own review of TransGrid’s proposal and the independent review conducted by our consultants, EMCa, we have identified what we consider to be systemic weaknesses in the derivation of TransGrid’s proposed </w:t>
      </w:r>
      <w:r w:rsidR="00CF23CB">
        <w:t>replacement expenditure (repex)</w:t>
      </w:r>
      <w:r>
        <w:t xml:space="preserve"> forecast for 201</w:t>
      </w:r>
      <w:r w:rsidR="00F94EDD">
        <w:t>5</w:t>
      </w:r>
      <w:r w:rsidR="00F94EDD">
        <w:rPr>
          <w:rFonts w:cs="Gautami"/>
        </w:rPr>
        <w:t>–</w:t>
      </w:r>
      <w:r>
        <w:t xml:space="preserve">18. We consider the combined effect of TransGrid’s governance and risk management framework and its </w:t>
      </w:r>
      <w:r w:rsidR="005A7482">
        <w:t xml:space="preserve">risk quantification </w:t>
      </w:r>
      <w:r w:rsidR="007C3BF8">
        <w:t xml:space="preserve">leads to </w:t>
      </w:r>
      <w:r>
        <w:t xml:space="preserve"> an overestimation of the risk associated with its assets, and in turn an overstatement of, and unjustified upwards bias in, its proposed forecast repex. </w:t>
      </w:r>
    </w:p>
    <w:p w:rsidR="00337877" w:rsidRDefault="009A47C1" w:rsidP="009A47C1">
      <w:pPr>
        <w:pStyle w:val="AERbulletlistfirststyle"/>
      </w:pPr>
      <w:r>
        <w:t>EMCa’s specific findings included that, for each of TransGrid’s four key repex programs:</w:t>
      </w:r>
    </w:p>
    <w:p w:rsidR="00337877" w:rsidRDefault="009A47C1" w:rsidP="00CF23CB">
      <w:pPr>
        <w:pStyle w:val="AERbulletlistsecondstyle"/>
      </w:pPr>
      <w:r>
        <w:t xml:space="preserve">opportunities for deferral or reduction of project scope have not been identified; </w:t>
      </w:r>
    </w:p>
    <w:p w:rsidR="00337877" w:rsidRDefault="009A47C1" w:rsidP="00CF23CB">
      <w:pPr>
        <w:pStyle w:val="AERbulletlistsecondstyle"/>
      </w:pPr>
      <w:r>
        <w:t xml:space="preserve">quantification of project risk cost is likely overstated; and </w:t>
      </w:r>
    </w:p>
    <w:p w:rsidR="00337877" w:rsidRDefault="009A47C1" w:rsidP="00CF23CB">
      <w:pPr>
        <w:pStyle w:val="AERbulletlistsecondstyle"/>
      </w:pPr>
      <w:r>
        <w:t xml:space="preserve">consideration of lower cost options has not been demonstrated. </w:t>
      </w:r>
    </w:p>
    <w:p w:rsidR="009A47C1" w:rsidRDefault="009A47C1" w:rsidP="00CF23CB">
      <w:pPr>
        <w:pStyle w:val="AERbodytextindent1"/>
      </w:pPr>
      <w:r>
        <w:t xml:space="preserve">EMCa also identified </w:t>
      </w:r>
      <w:r w:rsidR="008946CB">
        <w:t>instances in which</w:t>
      </w:r>
      <w:r>
        <w:t xml:space="preserve"> relatively new assets </w:t>
      </w:r>
      <w:r w:rsidR="008946CB">
        <w:t xml:space="preserve">were replaced unnecessarily early </w:t>
      </w:r>
      <w:r>
        <w:t xml:space="preserve">as part of broader replacement programs, and </w:t>
      </w:r>
      <w:r w:rsidR="008946CB">
        <w:t xml:space="preserve">suggested </w:t>
      </w:r>
      <w:r>
        <w:t xml:space="preserve">the life of some assets </w:t>
      </w:r>
      <w:r w:rsidR="008946CB">
        <w:t xml:space="preserve">could potentially be extended </w:t>
      </w:r>
      <w:r>
        <w:t>by using existing assets as spares.</w:t>
      </w:r>
    </w:p>
    <w:p w:rsidR="009A47C1" w:rsidRDefault="009A47C1" w:rsidP="009A47C1">
      <w:pPr>
        <w:pStyle w:val="AERbulletlistfirststyle"/>
      </w:pPr>
      <w:r>
        <w:t>EMCa has also questioned the lack of evidence of performance</w:t>
      </w:r>
      <w:r w:rsidR="008946CB">
        <w:t xml:space="preserve"> or reliability</w:t>
      </w:r>
      <w:r>
        <w:t xml:space="preserve"> issues for specific assets</w:t>
      </w:r>
      <w:r w:rsidR="00CF23CB">
        <w:t xml:space="preserve"> to</w:t>
      </w:r>
      <w:r>
        <w:t xml:space="preserve"> support a substantial increase in repex over the coming period. It suggested that some assets appear to have been targeted as part of replacement technology strategies rather than concerns with asset condition. Again as noted above, TransGrid’s performance under common </w:t>
      </w:r>
      <w:r>
        <w:lastRenderedPageBreak/>
        <w:t>metrics, and as reported against the STPIS, does not suggest that current levels of reliability are at risk</w:t>
      </w:r>
      <w:r w:rsidR="0095665A">
        <w:t xml:space="preserve">. </w:t>
      </w:r>
    </w:p>
    <w:p w:rsidR="009A47C1" w:rsidRDefault="009A47C1" w:rsidP="009A47C1">
      <w:pPr>
        <w:pStyle w:val="AERbulletlistfirststyle"/>
      </w:pPr>
      <w:r>
        <w:t>EMCa estimates the resultant overstatement in TransGrid’s repex forecast to be in the order of 20 to 30 per cent. In rejecting TransGrid’s capex forecast, the replacement capex forecast in our draft decision has adjusted for this overstatement</w:t>
      </w:r>
      <w:r w:rsidR="00AE3AB7">
        <w:t xml:space="preserve">, adopting the </w:t>
      </w:r>
      <w:r w:rsidR="00AE3AB7" w:rsidRPr="009319B2">
        <w:rPr>
          <w:rStyle w:val="AERbody"/>
        </w:rPr>
        <w:t>higher end of the range proposed by EMC</w:t>
      </w:r>
      <w:r w:rsidR="00337877">
        <w:rPr>
          <w:rStyle w:val="AERbody"/>
        </w:rPr>
        <w:t>a</w:t>
      </w:r>
      <w:r w:rsidR="00AE3AB7">
        <w:rPr>
          <w:rStyle w:val="AERbody"/>
        </w:rPr>
        <w:t>. We consider this</w:t>
      </w:r>
      <w:r w:rsidR="00AE3AB7" w:rsidRPr="009319B2">
        <w:rPr>
          <w:rStyle w:val="AERbody"/>
        </w:rPr>
        <w:t xml:space="preserve"> is warranted in light of the real concerns </w:t>
      </w:r>
      <w:r w:rsidR="00E13C95">
        <w:rPr>
          <w:rStyle w:val="AERbody"/>
        </w:rPr>
        <w:t>we</w:t>
      </w:r>
      <w:r w:rsidR="00E13C95" w:rsidRPr="009319B2">
        <w:rPr>
          <w:rStyle w:val="AERbody"/>
        </w:rPr>
        <w:t xml:space="preserve"> </w:t>
      </w:r>
      <w:r w:rsidR="00AE3AB7" w:rsidRPr="009319B2">
        <w:rPr>
          <w:rStyle w:val="AERbody"/>
        </w:rPr>
        <w:t>have with certain aspects of TransGrid's forecasting methodology</w:t>
      </w:r>
      <w:r w:rsidR="00CD54FB">
        <w:rPr>
          <w:rStyle w:val="AERbody"/>
        </w:rPr>
        <w:t xml:space="preserve"> which </w:t>
      </w:r>
      <w:r w:rsidR="00AE3AB7" w:rsidRPr="009319B2">
        <w:rPr>
          <w:rStyle w:val="AERbody"/>
        </w:rPr>
        <w:t>is largely based on a bottom-up assessment approach that is excessively conservative</w:t>
      </w:r>
      <w:r w:rsidR="003A10C4">
        <w:rPr>
          <w:rStyle w:val="AERbody"/>
        </w:rPr>
        <w:t>, and</w:t>
      </w:r>
      <w:r w:rsidR="00AE3AB7" w:rsidRPr="009319B2">
        <w:rPr>
          <w:rStyle w:val="AERbody"/>
        </w:rPr>
        <w:t xml:space="preserve"> does not reflect prudent consideration of its forecast capex at a por</w:t>
      </w:r>
      <w:r w:rsidR="00F94EDD">
        <w:rPr>
          <w:rStyle w:val="AERbody"/>
        </w:rPr>
        <w:t>tfolio level throughout the 2015</w:t>
      </w:r>
      <w:r w:rsidR="00F94EDD">
        <w:rPr>
          <w:rStyle w:val="AERbody"/>
          <w:rFonts w:cs="Gautami"/>
        </w:rPr>
        <w:t>–</w:t>
      </w:r>
      <w:r w:rsidR="00AE3AB7" w:rsidRPr="009319B2">
        <w:rPr>
          <w:rStyle w:val="AERbody"/>
        </w:rPr>
        <w:t>2018 period.</w:t>
      </w:r>
    </w:p>
    <w:p w:rsidR="009A47C1" w:rsidRDefault="009A47C1" w:rsidP="009A47C1">
      <w:pPr>
        <w:pStyle w:val="HeadingBoldBlue"/>
      </w:pPr>
      <w:r>
        <w:t>Efficiency</w:t>
      </w:r>
    </w:p>
    <w:p w:rsidR="009A47C1" w:rsidRDefault="009A47C1" w:rsidP="009A47C1">
      <w:pPr>
        <w:pStyle w:val="AERbulletlistfirststyle"/>
      </w:pPr>
      <w:r>
        <w:t xml:space="preserve">Overall, we are not satisfied that TransGrid’s proposed total opex and capex forecasts reasonably reflect the opex and capex criteria and the levels of efficiency it </w:t>
      </w:r>
      <w:r w:rsidR="00AE6D9A">
        <w:t>should</w:t>
      </w:r>
      <w:r>
        <w:t xml:space="preserve"> be achieving. For the reasons outlined in more detail in attachments </w:t>
      </w:r>
      <w:r w:rsidR="00E13C95">
        <w:t xml:space="preserve">6 </w:t>
      </w:r>
      <w:r>
        <w:t>and</w:t>
      </w:r>
      <w:r w:rsidR="00E13C95">
        <w:t xml:space="preserve"> 7</w:t>
      </w:r>
      <w:r>
        <w:t>, we consider these forecasts exceed the efficient levels of expenditure that a prudent operator would require to achieve the opex and capex objectives.</w:t>
      </w:r>
    </w:p>
    <w:p w:rsidR="009A47C1" w:rsidRPr="00B31BB8" w:rsidRDefault="009A47C1" w:rsidP="009A47C1">
      <w:pPr>
        <w:pStyle w:val="AERbulletlistfirststyle"/>
      </w:pPr>
      <w:r>
        <w:t>For opex, w</w:t>
      </w:r>
      <w:r w:rsidRPr="00BF068A">
        <w:t>e reached this conclusion after undertaking our analysis using the single year revealed expenditure approach.</w:t>
      </w:r>
      <w:r w:rsidRPr="00BF068A">
        <w:rPr>
          <w:rStyle w:val="FootnoteReference"/>
        </w:rPr>
        <w:footnoteReference w:id="54"/>
      </w:r>
      <w:r w:rsidRPr="00BF068A">
        <w:t xml:space="preserve"> When we compare T</w:t>
      </w:r>
      <w:r>
        <w:t>ransGrid'</w:t>
      </w:r>
      <w:r w:rsidRPr="00BF068A">
        <w:t xml:space="preserve">s total forecast opex with our estimate of the efficient opex a prudent operator would require to achieve the opex objectives, </w:t>
      </w:r>
      <w:r>
        <w:t>TransGrid's</w:t>
      </w:r>
      <w:r w:rsidRPr="00BF068A">
        <w:t xml:space="preserve"> proposal is materially</w:t>
      </w:r>
      <w:r>
        <w:t xml:space="preserve"> higher</w:t>
      </w:r>
      <w:r w:rsidRPr="00BF068A">
        <w:t>.</w:t>
      </w:r>
    </w:p>
    <w:p w:rsidR="009A47C1" w:rsidRPr="00CC5C12" w:rsidRDefault="009A47C1">
      <w:pPr>
        <w:pStyle w:val="AERbulletlistfirststyle"/>
        <w:rPr>
          <w:rStyle w:val="AERtexthighlight"/>
          <w:shd w:val="clear" w:color="auto" w:fill="auto"/>
        </w:rPr>
      </w:pPr>
      <w:r w:rsidRPr="00E13C95">
        <w:rPr>
          <w:rStyle w:val="AERtexthighlight"/>
          <w:shd w:val="clear" w:color="auto" w:fill="auto"/>
        </w:rPr>
        <w:t>Similarly, with the exception of its forecast augex we do not consider TransGrid</w:t>
      </w:r>
      <w:r w:rsidRPr="00E13C95">
        <w:rPr>
          <w:rStyle w:val="AERtexthighlight"/>
          <w:rFonts w:hint="eastAsia"/>
          <w:shd w:val="clear" w:color="auto" w:fill="auto"/>
        </w:rPr>
        <w:t>’</w:t>
      </w:r>
      <w:r w:rsidRPr="00E13C95">
        <w:rPr>
          <w:rStyle w:val="AERtexthighlight"/>
          <w:shd w:val="clear" w:color="auto" w:fill="auto"/>
        </w:rPr>
        <w:t>s capex forecasting methodology is a sufficient basis on which to derive an efficient forecast of its total capex requirement. TransGrid has applied a bottom-up assessment without testing the outcomes with a top-down assessment to confirm efficiency of its overall forecast. As discussed above, this is compounded by a risk assessment that our independent review found to be excessively conservative and lacking in justification of project timing and priority</w:t>
      </w:r>
      <w:r w:rsidRPr="00E13C95">
        <w:rPr>
          <w:rStyle w:val="AERtexthighlight"/>
          <w:rFonts w:hint="eastAsia"/>
          <w:shd w:val="clear" w:color="auto" w:fill="auto"/>
        </w:rPr>
        <w:t>—</w:t>
      </w:r>
      <w:r w:rsidR="007C3BF8" w:rsidRPr="00E13C95">
        <w:rPr>
          <w:rStyle w:val="AERtexthighlight"/>
          <w:shd w:val="clear" w:color="auto" w:fill="auto"/>
        </w:rPr>
        <w:t xml:space="preserve">this is </w:t>
      </w:r>
      <w:r w:rsidRPr="00E13C95">
        <w:rPr>
          <w:rStyle w:val="AERtexthighlight"/>
          <w:shd w:val="clear" w:color="auto" w:fill="auto"/>
        </w:rPr>
        <w:t>discussed further in attachment</w:t>
      </w:r>
      <w:r w:rsidR="00E13C95" w:rsidRPr="00AB54CB">
        <w:rPr>
          <w:rStyle w:val="AERtexthighlight"/>
          <w:shd w:val="clear" w:color="auto" w:fill="auto"/>
        </w:rPr>
        <w:t xml:space="preserve"> 6</w:t>
      </w:r>
      <w:r w:rsidRPr="00E13C95">
        <w:rPr>
          <w:rStyle w:val="AERtexthighlight"/>
          <w:shd w:val="clear" w:color="auto" w:fill="auto"/>
        </w:rPr>
        <w:t xml:space="preserve">. </w:t>
      </w:r>
    </w:p>
    <w:p w:rsidR="009A47C1" w:rsidRPr="00E83918" w:rsidRDefault="009A47C1" w:rsidP="009A47C1">
      <w:pPr>
        <w:pStyle w:val="AERbulletlistfirststyle"/>
      </w:pPr>
      <w:r w:rsidRPr="00120C85">
        <w:t xml:space="preserve">Consequently, we consider that </w:t>
      </w:r>
      <w:r>
        <w:t>TransGrid</w:t>
      </w:r>
      <w:r w:rsidRPr="00120C85">
        <w:t>'s forecast opex and capex are overstated.</w:t>
      </w:r>
      <w:r>
        <w:t xml:space="preserve"> TransG</w:t>
      </w:r>
      <w:r w:rsidRPr="00B31BB8">
        <w:t xml:space="preserve">rid ought to be able to </w:t>
      </w:r>
      <w:r w:rsidRPr="00B165EE">
        <w:t>provide</w:t>
      </w:r>
      <w:r w:rsidRPr="00B31BB8">
        <w:t xml:space="preserve"> its current level of service whilst being able to achieve consistent improvements to its costs of providing these services to consumers.</w:t>
      </w:r>
    </w:p>
    <w:p w:rsidR="004F7E2D" w:rsidRDefault="009A47C1" w:rsidP="004F7E2D">
      <w:r>
        <w:t xml:space="preserve">Individually, each of these key drivers has impacted the constituent components of our decision. However, it is their cumulative impact that is particularly important. Together, they indicate a consistent picture. TransGrid's efficient level of </w:t>
      </w:r>
      <w:r w:rsidR="00F94EDD">
        <w:t>overall revenue during the 2015</w:t>
      </w:r>
      <w:r w:rsidR="00F94EDD">
        <w:rPr>
          <w:rFonts w:cs="Gautami"/>
        </w:rPr>
        <w:t>–</w:t>
      </w:r>
      <w:r>
        <w:t>18 regulatory control period should decrease substantially, compared both to the current regulatory control period and TransGrid's proposal. This is consistent with the overall revenue level deriv</w:t>
      </w:r>
      <w:r w:rsidR="00AC2563">
        <w:t>ed</w:t>
      </w:r>
      <w:r>
        <w:t xml:space="preserve"> from the detailed analysis in our attachments and appendices.</w:t>
      </w:r>
    </w:p>
    <w:p w:rsidR="003B0D45" w:rsidRPr="009D05D0" w:rsidRDefault="003B0D45" w:rsidP="00E14922">
      <w:pPr>
        <w:pStyle w:val="Heading1"/>
      </w:pPr>
      <w:bookmarkStart w:id="25" w:name="_Toc404437610"/>
      <w:r w:rsidRPr="009D05D0">
        <w:lastRenderedPageBreak/>
        <w:t xml:space="preserve">Why our </w:t>
      </w:r>
      <w:r w:rsidRPr="00E14922">
        <w:t>decision</w:t>
      </w:r>
      <w:r w:rsidRPr="009D05D0">
        <w:t>, as</w:t>
      </w:r>
      <w:r>
        <w:t xml:space="preserve"> a</w:t>
      </w:r>
      <w:r w:rsidRPr="009D05D0">
        <w:t xml:space="preserve"> whole, is preferable</w:t>
      </w:r>
      <w:bookmarkEnd w:id="25"/>
    </w:p>
    <w:p w:rsidR="001D7856" w:rsidRDefault="001D7856" w:rsidP="001D7856">
      <w:pPr>
        <w:pStyle w:val="AERbodytext"/>
      </w:pPr>
      <w:r>
        <w:t xml:space="preserve">The NEL anticipates that there may be </w:t>
      </w:r>
      <w:r w:rsidR="00F47A47">
        <w:t>more than one outcome</w:t>
      </w:r>
      <w:r>
        <w:t xml:space="preserve"> that will or </w:t>
      </w:r>
      <w:r w:rsidR="00F47A47">
        <w:t xml:space="preserve">is </w:t>
      </w:r>
      <w:r>
        <w:t xml:space="preserve">likely to contribute to the achievement of the NEO. </w:t>
      </w:r>
      <w:r w:rsidRPr="007C6A07">
        <w:t>In those cases, we must make the decision we are satisfied will contribute to the achievement of the NEO to the greatest degree.</w:t>
      </w:r>
      <w:r>
        <w:rPr>
          <w:rStyle w:val="FootnoteReference"/>
        </w:rPr>
        <w:footnoteReference w:id="55"/>
      </w:r>
    </w:p>
    <w:p w:rsidR="001D7856" w:rsidRDefault="00767923" w:rsidP="001D7856">
      <w:pPr>
        <w:pStyle w:val="AERbodytext"/>
      </w:pPr>
      <w:r>
        <w:t xml:space="preserve">Under the new framework we have turned our mind to the question of what outcome </w:t>
      </w:r>
      <w:r w:rsidR="001D7856">
        <w:t>would contribute to the achievement of the NEO to the greatest degree. There is no sole assessment approach that would enable us to determine this question objectively. The NEL recognise</w:t>
      </w:r>
      <w:r w:rsidR="0017260B">
        <w:t>s</w:t>
      </w:r>
      <w:r w:rsidR="001D7856">
        <w:t xml:space="preserve"> this by making our task subjective. It empowers us to determine what we are satisfied contributes to the achievement of the NEO to the greatest degree.</w:t>
      </w:r>
      <w:r w:rsidR="001D7856">
        <w:rPr>
          <w:rStyle w:val="FootnoteReference"/>
        </w:rPr>
        <w:footnoteReference w:id="56"/>
      </w:r>
      <w:r w:rsidR="001D7856">
        <w:t xml:space="preserve"> In turn, we must determine how we will satisfy ourselves of this requirement. We consider this inherently involves exercising regulatory judgement.</w:t>
      </w:r>
    </w:p>
    <w:p w:rsidR="001D7856" w:rsidRDefault="001D7856" w:rsidP="001D7856">
      <w:pPr>
        <w:pStyle w:val="AERbodytext"/>
      </w:pPr>
      <w:r>
        <w:t>Consistent with Energy Ministers' views, we consider a decision will contribute to the achievement of the NEO to the greatest degree when we are satisfied that it delivers the best balance between the NEO's factors.</w:t>
      </w:r>
      <w:r>
        <w:rPr>
          <w:rStyle w:val="FootnoteReference"/>
        </w:rPr>
        <w:footnoteReference w:id="57"/>
      </w:r>
      <w:r>
        <w:t xml:space="preserve"> To assess this, we specifically consider whether we are satisfied that:</w:t>
      </w:r>
    </w:p>
    <w:p w:rsidR="001D7856" w:rsidRDefault="001D7856" w:rsidP="001D7856">
      <w:pPr>
        <w:pStyle w:val="AERbulletlistfirststyle"/>
      </w:pPr>
      <w:r>
        <w:t>the overall revenue allowance is consistent with the key drivers</w:t>
      </w:r>
    </w:p>
    <w:p w:rsidR="001D7856" w:rsidRDefault="001D7856" w:rsidP="001D7856">
      <w:pPr>
        <w:pStyle w:val="AERbulletlistfirststyle"/>
      </w:pPr>
      <w:r>
        <w:t>the constituent components of a potential decision comply with the NER's requirements.</w:t>
      </w:r>
    </w:p>
    <w:p w:rsidR="001D7856" w:rsidRDefault="001D7856" w:rsidP="005868A1">
      <w:pPr>
        <w:pStyle w:val="AERbodytext"/>
      </w:pPr>
      <w:r>
        <w:t xml:space="preserve">This is a relative assessment. Some stakeholders may consider </w:t>
      </w:r>
      <w:r w:rsidR="00767923">
        <w:t>that some</w:t>
      </w:r>
      <w:r>
        <w:t xml:space="preserve"> potential </w:t>
      </w:r>
      <w:r w:rsidR="00F46402">
        <w:t xml:space="preserve">outcomes </w:t>
      </w:r>
      <w:r>
        <w:t xml:space="preserve">do not contribute to the achievement of the NEO. However, we have not sought to determine that issue. Rather, we have considered which potential </w:t>
      </w:r>
      <w:r w:rsidR="00F46402">
        <w:t xml:space="preserve">outcome </w:t>
      </w:r>
      <w:r>
        <w:t>we are satisfied makes the greatest contribution to the achievement of the NEO.</w:t>
      </w:r>
    </w:p>
    <w:p w:rsidR="00F46402" w:rsidRPr="00F46402" w:rsidRDefault="00F46402" w:rsidP="00F46402">
      <w:pPr>
        <w:pStyle w:val="AERbodytext"/>
      </w:pPr>
      <w:r>
        <w:t>W</w:t>
      </w:r>
      <w:r w:rsidRPr="00F46402">
        <w:t xml:space="preserve">e acknowledge that there are a range of alternative </w:t>
      </w:r>
      <w:r w:rsidR="00A923B4">
        <w:t>outcomes</w:t>
      </w:r>
      <w:r w:rsidR="00A923B4" w:rsidRPr="00F46402">
        <w:t xml:space="preserve"> </w:t>
      </w:r>
      <w:r w:rsidRPr="00F46402">
        <w:t xml:space="preserve">that might contribute to the achievement of the NEO. This is particularly the case because, for several components of our decision (e.g. equity beta or the MRP) we could reasonably select several point estimates from within a range. In turn, this could result in different overall revenue allowances. </w:t>
      </w:r>
    </w:p>
    <w:p w:rsidR="00F46402" w:rsidRPr="00F46402" w:rsidRDefault="00F46402" w:rsidP="00F46402">
      <w:pPr>
        <w:pStyle w:val="AERbodytext"/>
      </w:pPr>
      <w:r w:rsidRPr="00F46402">
        <w:t xml:space="preserve">We </w:t>
      </w:r>
      <w:r w:rsidR="00337877">
        <w:t>do not consider</w:t>
      </w:r>
      <w:r w:rsidRPr="00F46402">
        <w:t xml:space="preserve"> that it is practical or necessary to consider every possible permutation specifically. However, for the reasons in our attachments and appendices we are satisfied that the specific estimates we have selected will or are likely to contribute to the achievement of the NEO to the greatest degree. In particular, we are aware of the consequences of underinvestment for the long term interests of consumers and, therefore, have consistently selected estimates we are satisfied provide TransGrid with a reasonable opportunity to recover at least efficient costs.</w:t>
      </w:r>
      <w:r w:rsidRPr="00F46402">
        <w:rPr>
          <w:rStyle w:val="FootnoteReference"/>
        </w:rPr>
        <w:footnoteReference w:id="58"/>
      </w:r>
      <w:r w:rsidRPr="00F46402">
        <w:t xml:space="preserve"> </w:t>
      </w:r>
    </w:p>
    <w:p w:rsidR="00F84EA6" w:rsidRDefault="001D7856" w:rsidP="00F84EA6">
      <w:pPr>
        <w:pStyle w:val="AERbodytext"/>
        <w:rPr>
          <w:rStyle w:val="AERtexthighlight"/>
        </w:rPr>
      </w:pPr>
      <w:r w:rsidRPr="00EB1FB3">
        <w:t xml:space="preserve">We are satisfied that our draft decision contributes to the achievement of the NEO to the greatest </w:t>
      </w:r>
      <w:r w:rsidRPr="004B4F91">
        <w:t>degree.</w:t>
      </w:r>
      <w:r w:rsidR="00337877">
        <w:rPr>
          <w:rStyle w:val="FootnoteReference"/>
        </w:rPr>
        <w:footnoteReference w:id="59"/>
      </w:r>
      <w:r w:rsidRPr="004B4F91">
        <w:t xml:space="preserve"> </w:t>
      </w:r>
      <w:r w:rsidRPr="004B4F91">
        <w:rPr>
          <w:rStyle w:val="AERtexthighlight"/>
          <w:shd w:val="clear" w:color="auto" w:fill="auto"/>
        </w:rPr>
        <w:t xml:space="preserve">As figure </w:t>
      </w:r>
      <w:r w:rsidR="00D40DF3" w:rsidRPr="004B4F91">
        <w:rPr>
          <w:rStyle w:val="AERtexthighlight"/>
          <w:shd w:val="clear" w:color="auto" w:fill="auto"/>
        </w:rPr>
        <w:t>1-1 (</w:t>
      </w:r>
      <w:r w:rsidR="00E07DB6">
        <w:rPr>
          <w:rStyle w:val="AERtexthighlight"/>
          <w:shd w:val="clear" w:color="auto" w:fill="auto"/>
        </w:rPr>
        <w:t>in section 1 of this overview)</w:t>
      </w:r>
      <w:r w:rsidR="00D40DF3" w:rsidRPr="004B4F91">
        <w:rPr>
          <w:rStyle w:val="AERtexthighlight"/>
          <w:shd w:val="clear" w:color="auto" w:fill="auto"/>
        </w:rPr>
        <w:t xml:space="preserve">) </w:t>
      </w:r>
      <w:r w:rsidRPr="004B4F91">
        <w:rPr>
          <w:rStyle w:val="AERtexthighlight"/>
          <w:shd w:val="clear" w:color="auto" w:fill="auto"/>
        </w:rPr>
        <w:t>illustrates, over the 2004</w:t>
      </w:r>
      <w:r w:rsidR="00F94EDD">
        <w:rPr>
          <w:rStyle w:val="AERtexthighlight"/>
          <w:rFonts w:cs="Gautami"/>
          <w:shd w:val="clear" w:color="auto" w:fill="auto"/>
        </w:rPr>
        <w:t>–</w:t>
      </w:r>
      <w:r w:rsidRPr="004B4F91">
        <w:rPr>
          <w:rStyle w:val="AERtexthighlight"/>
          <w:shd w:val="clear" w:color="auto" w:fill="auto"/>
        </w:rPr>
        <w:t>0</w:t>
      </w:r>
      <w:r w:rsidR="00AE6D9A" w:rsidRPr="00F94EDD">
        <w:t>9</w:t>
      </w:r>
      <w:r w:rsidRPr="004B4F91">
        <w:rPr>
          <w:rStyle w:val="AERtexthighlight"/>
          <w:shd w:val="clear" w:color="auto" w:fill="auto"/>
        </w:rPr>
        <w:t xml:space="preserve"> regulatory control period, there was a relatively steady trend in </w:t>
      </w:r>
      <w:r w:rsidR="00D40DF3" w:rsidRPr="004B4F91">
        <w:rPr>
          <w:rStyle w:val="AERtexthighlight"/>
          <w:shd w:val="clear" w:color="auto" w:fill="auto"/>
        </w:rPr>
        <w:t xml:space="preserve">TransGrid’s </w:t>
      </w:r>
      <w:r w:rsidRPr="004B4F91">
        <w:rPr>
          <w:rStyle w:val="AERtexthighlight"/>
          <w:shd w:val="clear" w:color="auto" w:fill="auto"/>
        </w:rPr>
        <w:t xml:space="preserve">revenue. </w:t>
      </w:r>
      <w:r w:rsidR="00EB1FB3" w:rsidRPr="004B4F91">
        <w:rPr>
          <w:rStyle w:val="AERtexthighlight"/>
          <w:shd w:val="clear" w:color="auto" w:fill="auto"/>
        </w:rPr>
        <w:t>T</w:t>
      </w:r>
      <w:r w:rsidR="00F94EDD">
        <w:rPr>
          <w:rStyle w:val="AERtexthighlight"/>
          <w:shd w:val="clear" w:color="auto" w:fill="auto"/>
        </w:rPr>
        <w:t>he 2009</w:t>
      </w:r>
      <w:r w:rsidR="00F94EDD">
        <w:rPr>
          <w:rStyle w:val="AERtexthighlight"/>
          <w:rFonts w:cs="Gautami"/>
          <w:shd w:val="clear" w:color="auto" w:fill="auto"/>
        </w:rPr>
        <w:t>–</w:t>
      </w:r>
      <w:r w:rsidRPr="004B4F91">
        <w:rPr>
          <w:rStyle w:val="AERtexthighlight"/>
          <w:shd w:val="clear" w:color="auto" w:fill="auto"/>
        </w:rPr>
        <w:t xml:space="preserve">14 regulatory control </w:t>
      </w:r>
      <w:r w:rsidR="00E07DB6">
        <w:rPr>
          <w:rStyle w:val="AERtexthighlight"/>
          <w:shd w:val="clear" w:color="auto" w:fill="auto"/>
        </w:rPr>
        <w:t xml:space="preserve">period </w:t>
      </w:r>
      <w:r w:rsidR="00EB1FB3" w:rsidRPr="004B4F91">
        <w:rPr>
          <w:rStyle w:val="AERtexthighlight"/>
          <w:shd w:val="clear" w:color="auto" w:fill="auto"/>
        </w:rPr>
        <w:t>saw</w:t>
      </w:r>
      <w:r w:rsidRPr="004B4F91">
        <w:rPr>
          <w:rStyle w:val="AERtexthighlight"/>
          <w:shd w:val="clear" w:color="auto" w:fill="auto"/>
        </w:rPr>
        <w:t xml:space="preserve"> substantial increases in revenue. </w:t>
      </w:r>
      <w:r w:rsidR="00D63ABE" w:rsidRPr="004B4F91">
        <w:rPr>
          <w:rStyle w:val="AERtexthighlight"/>
          <w:shd w:val="clear" w:color="auto" w:fill="auto"/>
        </w:rPr>
        <w:t>This was driven by factors which are no longer relevant.</w:t>
      </w:r>
      <w:r w:rsidR="00F84EA6" w:rsidRPr="00F84EA6">
        <w:rPr>
          <w:rStyle w:val="AERtexthighlight"/>
        </w:rPr>
        <w:t xml:space="preserve"> </w:t>
      </w:r>
    </w:p>
    <w:p w:rsidR="001D7856" w:rsidRPr="00EB1FB3" w:rsidRDefault="00AE6D9A" w:rsidP="00905007">
      <w:pPr>
        <w:pStyle w:val="AERbodytext"/>
        <w:rPr>
          <w:rStyle w:val="AERtexthighlight"/>
          <w:shd w:val="clear" w:color="auto" w:fill="auto"/>
        </w:rPr>
      </w:pPr>
      <w:r>
        <w:rPr>
          <w:rStyle w:val="AERbody"/>
        </w:rPr>
        <w:lastRenderedPageBreak/>
        <w:t xml:space="preserve">However, </w:t>
      </w:r>
      <w:r w:rsidRPr="00F94EDD">
        <w:t>a</w:t>
      </w:r>
      <w:r w:rsidR="001D7856" w:rsidRPr="004B4F91">
        <w:rPr>
          <w:rStyle w:val="AERtexthighlight"/>
          <w:shd w:val="clear" w:color="auto" w:fill="auto"/>
        </w:rPr>
        <w:t xml:space="preserve">s discussed in section 5, </w:t>
      </w:r>
      <w:r w:rsidR="00EB1FB3" w:rsidRPr="004B4F91">
        <w:rPr>
          <w:rStyle w:val="AERtexthighlight"/>
          <w:shd w:val="clear" w:color="auto" w:fill="auto"/>
        </w:rPr>
        <w:t>we are now seeing a number of key drivers</w:t>
      </w:r>
      <w:r w:rsidR="001D7856" w:rsidRPr="004B4F91">
        <w:rPr>
          <w:rStyle w:val="AERtexthighlight"/>
          <w:shd w:val="clear" w:color="auto" w:fill="auto"/>
        </w:rPr>
        <w:t xml:space="preserve"> that </w:t>
      </w:r>
      <w:r w:rsidR="00EB1FB3" w:rsidRPr="004B4F91">
        <w:rPr>
          <w:rStyle w:val="AERtexthighlight"/>
          <w:shd w:val="clear" w:color="auto" w:fill="auto"/>
        </w:rPr>
        <w:t>indicate</w:t>
      </w:r>
      <w:r w:rsidR="00EB1FB3" w:rsidRPr="00EB1FB3">
        <w:rPr>
          <w:rStyle w:val="AERtexthighlight"/>
          <w:shd w:val="clear" w:color="auto" w:fill="auto"/>
        </w:rPr>
        <w:t xml:space="preserve"> </w:t>
      </w:r>
      <w:r w:rsidR="001D7856" w:rsidRPr="00EB1FB3">
        <w:rPr>
          <w:rStyle w:val="AERtexthighlight"/>
          <w:shd w:val="clear" w:color="auto" w:fill="auto"/>
        </w:rPr>
        <w:t xml:space="preserve">substantial </w:t>
      </w:r>
      <w:r w:rsidR="001D7856" w:rsidRPr="00905007">
        <w:rPr>
          <w:rStyle w:val="AERtexthighlight"/>
          <w:shd w:val="clear" w:color="auto" w:fill="auto"/>
        </w:rPr>
        <w:t xml:space="preserve">revenue reductions are appropriate. </w:t>
      </w:r>
      <w:r w:rsidR="00905007" w:rsidRPr="008429CF">
        <w:rPr>
          <w:rStyle w:val="AERtexthighlight"/>
          <w:shd w:val="clear" w:color="auto" w:fill="auto"/>
        </w:rPr>
        <w:t>W</w:t>
      </w:r>
      <w:r w:rsidR="001D7856" w:rsidRPr="00905007">
        <w:rPr>
          <w:rStyle w:val="AERtexthighlight"/>
          <w:shd w:val="clear" w:color="auto" w:fill="auto"/>
        </w:rPr>
        <w:t>e have</w:t>
      </w:r>
      <w:r w:rsidR="00905007" w:rsidRPr="008429CF">
        <w:rPr>
          <w:rStyle w:val="AERtexthighlight"/>
          <w:shd w:val="clear" w:color="auto" w:fill="auto"/>
        </w:rPr>
        <w:t xml:space="preserve"> also</w:t>
      </w:r>
      <w:r w:rsidR="001D7856" w:rsidRPr="00905007">
        <w:rPr>
          <w:rStyle w:val="AERtexthighlight"/>
          <w:shd w:val="clear" w:color="auto" w:fill="auto"/>
        </w:rPr>
        <w:t xml:space="preserve"> identified several opportunities for </w:t>
      </w:r>
      <w:r w:rsidR="00EB1FB3" w:rsidRPr="00905007">
        <w:rPr>
          <w:rStyle w:val="AERtexthighlight"/>
          <w:shd w:val="clear" w:color="auto" w:fill="auto"/>
        </w:rPr>
        <w:t xml:space="preserve">TransGrid </w:t>
      </w:r>
      <w:r w:rsidR="001D7856" w:rsidRPr="00905007">
        <w:rPr>
          <w:rStyle w:val="AERtexthighlight"/>
          <w:shd w:val="clear" w:color="auto" w:fill="auto"/>
        </w:rPr>
        <w:t>to</w:t>
      </w:r>
      <w:r w:rsidR="001D7856" w:rsidRPr="00EB1FB3">
        <w:rPr>
          <w:rStyle w:val="AERtexthighlight"/>
          <w:shd w:val="clear" w:color="auto" w:fill="auto"/>
        </w:rPr>
        <w:t xml:space="preserve"> materially improve efficiency in how it invests in, operates and promotes use of its network. Our draft decision reflects these. </w:t>
      </w:r>
    </w:p>
    <w:p w:rsidR="001D7856" w:rsidRPr="00300D6B" w:rsidRDefault="001D7856" w:rsidP="001D7856">
      <w:pPr>
        <w:pStyle w:val="AERbodytext"/>
      </w:pPr>
      <w:r w:rsidRPr="00300D6B">
        <w:t>We are also satisfied, for the reasons set out in our attachments and appendices, the constituent components of our draft decision comply with the NER's requirements.</w:t>
      </w:r>
    </w:p>
    <w:p w:rsidR="001D7856" w:rsidRPr="00EB1FB3" w:rsidRDefault="001D7856" w:rsidP="00F46402">
      <w:pPr>
        <w:pStyle w:val="AERbodytext"/>
        <w:rPr>
          <w:rStyle w:val="AERtexthighlight"/>
          <w:shd w:val="clear" w:color="auto" w:fill="auto"/>
        </w:rPr>
      </w:pPr>
      <w:r w:rsidRPr="00300D6B">
        <w:t xml:space="preserve">As discussed in section 3, our decision reflects the </w:t>
      </w:r>
      <w:r w:rsidRPr="00F84EA6">
        <w:t>approaches set out in our g</w:t>
      </w:r>
      <w:r w:rsidRPr="00F46402">
        <w:t xml:space="preserve">uidelines, </w:t>
      </w:r>
      <w:r w:rsidR="006F59F5">
        <w:t xml:space="preserve">which were </w:t>
      </w:r>
      <w:r w:rsidRPr="00F46402">
        <w:t>developed with extensive stakeholder input. We are satisfied they provide a consistent and balanced framework that encourages efficiency in electricity networks for the long term interests of consumers.</w:t>
      </w:r>
      <w:r w:rsidR="00F94EDD">
        <w:t xml:space="preserve"> </w:t>
      </w:r>
      <w:r w:rsidR="00F84EA6" w:rsidRPr="00504FEB">
        <w:rPr>
          <w:rStyle w:val="AERtexthighlight"/>
          <w:shd w:val="clear" w:color="auto" w:fill="auto"/>
        </w:rPr>
        <w:t>When compared to TransGrid's proposal</w:t>
      </w:r>
      <w:r w:rsidRPr="00F46402">
        <w:rPr>
          <w:rStyle w:val="AERtexthighlight"/>
          <w:shd w:val="clear" w:color="auto" w:fill="auto"/>
        </w:rPr>
        <w:t xml:space="preserve">, we are satisfied that our draft decision strikes </w:t>
      </w:r>
      <w:r w:rsidR="000C1011" w:rsidRPr="00F94EDD">
        <w:t>a</w:t>
      </w:r>
      <w:r w:rsidR="000C1011" w:rsidRPr="00F46402">
        <w:rPr>
          <w:rStyle w:val="AERtexthighlight"/>
          <w:shd w:val="clear" w:color="auto" w:fill="auto"/>
        </w:rPr>
        <w:t xml:space="preserve"> </w:t>
      </w:r>
      <w:r w:rsidR="00F46402" w:rsidRPr="00504FEB">
        <w:rPr>
          <w:rStyle w:val="AERtexthighlight"/>
          <w:shd w:val="clear" w:color="auto" w:fill="auto"/>
        </w:rPr>
        <w:t xml:space="preserve">better </w:t>
      </w:r>
      <w:r w:rsidRPr="00F46402">
        <w:rPr>
          <w:rStyle w:val="AERtexthighlight"/>
          <w:shd w:val="clear" w:color="auto" w:fill="auto"/>
        </w:rPr>
        <w:t xml:space="preserve">balance between the efficient investment operation and use of electricity services that contribute to the achievement of the NEO. We are satisfied the overall revenue allowance for </w:t>
      </w:r>
      <w:r w:rsidR="00EB1FB3" w:rsidRPr="00F46402">
        <w:rPr>
          <w:rStyle w:val="AERtexthighlight"/>
          <w:shd w:val="clear" w:color="auto" w:fill="auto"/>
        </w:rPr>
        <w:t xml:space="preserve">TransGrid </w:t>
      </w:r>
      <w:r w:rsidRPr="00F46402">
        <w:rPr>
          <w:rStyle w:val="AERtexthighlight"/>
          <w:shd w:val="clear" w:color="auto" w:fill="auto"/>
        </w:rPr>
        <w:t xml:space="preserve">provides a return sufficient to promote efficient investment, while </w:t>
      </w:r>
      <w:r w:rsidR="00920C3E" w:rsidRPr="00F46402">
        <w:rPr>
          <w:rStyle w:val="AERtexthighlight"/>
          <w:shd w:val="clear" w:color="auto" w:fill="auto"/>
        </w:rPr>
        <w:t>also providing</w:t>
      </w:r>
      <w:r w:rsidRPr="00F46402">
        <w:rPr>
          <w:rStyle w:val="AERtexthighlight"/>
          <w:shd w:val="clear" w:color="auto" w:fill="auto"/>
        </w:rPr>
        <w:t xml:space="preserve"> </w:t>
      </w:r>
      <w:r w:rsidR="00EB1FB3" w:rsidRPr="00F46402">
        <w:rPr>
          <w:rStyle w:val="AERtexthighlight"/>
          <w:shd w:val="clear" w:color="auto" w:fill="auto"/>
        </w:rPr>
        <w:t xml:space="preserve">TransGrid </w:t>
      </w:r>
      <w:r w:rsidR="00920C3E" w:rsidRPr="00F46402">
        <w:rPr>
          <w:rStyle w:val="AERtexthighlight"/>
          <w:shd w:val="clear" w:color="auto" w:fill="auto"/>
        </w:rPr>
        <w:t xml:space="preserve">incentives </w:t>
      </w:r>
      <w:r w:rsidRPr="00F46402">
        <w:rPr>
          <w:rStyle w:val="AERtexthighlight"/>
          <w:shd w:val="clear" w:color="auto" w:fill="auto"/>
        </w:rPr>
        <w:t>to operate</w:t>
      </w:r>
      <w:r w:rsidRPr="00EB1FB3">
        <w:rPr>
          <w:rStyle w:val="AERtexthighlight"/>
          <w:shd w:val="clear" w:color="auto" w:fill="auto"/>
        </w:rPr>
        <w:t xml:space="preserve"> its network more efficiently. </w:t>
      </w:r>
    </w:p>
    <w:p w:rsidR="001D7856" w:rsidRPr="00EB1FB3" w:rsidRDefault="001D7856" w:rsidP="00905007">
      <w:pPr>
        <w:pStyle w:val="AERbodytext"/>
      </w:pPr>
      <w:r w:rsidRPr="00905007">
        <w:rPr>
          <w:rStyle w:val="AERtexthighlight"/>
          <w:shd w:val="clear" w:color="auto" w:fill="auto"/>
        </w:rPr>
        <w:t xml:space="preserve">We acknowledge that our draft decision sets an overall revenue allowance for </w:t>
      </w:r>
      <w:r w:rsidR="00EB1FB3" w:rsidRPr="00905007">
        <w:rPr>
          <w:rStyle w:val="AERtexthighlight"/>
          <w:shd w:val="clear" w:color="auto" w:fill="auto"/>
        </w:rPr>
        <w:t xml:space="preserve">TransGrid that </w:t>
      </w:r>
      <w:r w:rsidRPr="00905007">
        <w:rPr>
          <w:rStyle w:val="AERtexthighlight"/>
          <w:shd w:val="clear" w:color="auto" w:fill="auto"/>
        </w:rPr>
        <w:t xml:space="preserve">is </w:t>
      </w:r>
      <w:r w:rsidR="00A923B4" w:rsidRPr="008429CF">
        <w:rPr>
          <w:rStyle w:val="AERtexthighlight"/>
          <w:shd w:val="clear" w:color="auto" w:fill="auto"/>
        </w:rPr>
        <w:t xml:space="preserve">significantly </w:t>
      </w:r>
      <w:r w:rsidRPr="00905007">
        <w:rPr>
          <w:rStyle w:val="AERtexthighlight"/>
          <w:shd w:val="clear" w:color="auto" w:fill="auto"/>
        </w:rPr>
        <w:t xml:space="preserve">lower than in the 2009–14 regulatory control period and in its proposal. </w:t>
      </w:r>
      <w:r w:rsidR="00A923B4" w:rsidRPr="008429CF">
        <w:rPr>
          <w:rStyle w:val="AERtexthighlight"/>
          <w:shd w:val="clear" w:color="auto" w:fill="auto"/>
        </w:rPr>
        <w:t>However, w</w:t>
      </w:r>
      <w:r w:rsidRPr="00905007">
        <w:rPr>
          <w:rStyle w:val="AERtexthighlight"/>
          <w:shd w:val="clear" w:color="auto" w:fill="auto"/>
        </w:rPr>
        <w:t>e consider this is appropriate, given the key drivers of efficient revenue for the 2014-1</w:t>
      </w:r>
      <w:r w:rsidR="00EB1FB3" w:rsidRPr="00905007">
        <w:rPr>
          <w:rStyle w:val="AERtexthighlight"/>
          <w:shd w:val="clear" w:color="auto" w:fill="auto"/>
        </w:rPr>
        <w:t>8</w:t>
      </w:r>
      <w:r w:rsidRPr="00905007">
        <w:rPr>
          <w:rStyle w:val="AERtexthighlight"/>
          <w:shd w:val="clear" w:color="auto" w:fill="auto"/>
        </w:rPr>
        <w:t xml:space="preserve"> period. It is also</w:t>
      </w:r>
      <w:r w:rsidRPr="00EB1FB3">
        <w:rPr>
          <w:rStyle w:val="AERtexthighlight"/>
          <w:shd w:val="clear" w:color="auto" w:fill="auto"/>
        </w:rPr>
        <w:t xml:space="preserve"> consistent with trends that have tended to moderate the need for investment in the electricity network sector.</w:t>
      </w:r>
    </w:p>
    <w:p w:rsidR="001D7856" w:rsidRPr="004B4F91" w:rsidRDefault="00EB1FB3" w:rsidP="00905007">
      <w:pPr>
        <w:pStyle w:val="AERbodytext"/>
        <w:rPr>
          <w:rStyle w:val="AERtexthighlight"/>
          <w:shd w:val="clear" w:color="auto" w:fill="auto"/>
        </w:rPr>
      </w:pPr>
      <w:r w:rsidRPr="004B4F91">
        <w:rPr>
          <w:rStyle w:val="AERtexthighlight"/>
          <w:shd w:val="clear" w:color="auto" w:fill="auto"/>
        </w:rPr>
        <w:t xml:space="preserve">TransGrid's </w:t>
      </w:r>
      <w:r w:rsidR="001D7856" w:rsidRPr="004B4F91">
        <w:rPr>
          <w:rStyle w:val="AERtexthighlight"/>
          <w:shd w:val="clear" w:color="auto" w:fill="auto"/>
        </w:rPr>
        <w:t xml:space="preserve">proposal </w:t>
      </w:r>
      <w:r w:rsidRPr="004B4F91">
        <w:rPr>
          <w:rStyle w:val="AERtexthighlight"/>
          <w:shd w:val="clear" w:color="auto" w:fill="auto"/>
        </w:rPr>
        <w:t xml:space="preserve">notes </w:t>
      </w:r>
      <w:r w:rsidR="001D7856" w:rsidRPr="004B4F91">
        <w:rPr>
          <w:rStyle w:val="AERtexthighlight"/>
          <w:shd w:val="clear" w:color="auto" w:fill="auto"/>
        </w:rPr>
        <w:t xml:space="preserve">many of the same key drivers of efficient revenue as </w:t>
      </w:r>
      <w:r w:rsidR="00BE04D3" w:rsidRPr="004B4F91">
        <w:rPr>
          <w:rStyle w:val="AERtexthighlight"/>
          <w:shd w:val="clear" w:color="auto" w:fill="auto"/>
        </w:rPr>
        <w:t xml:space="preserve">we have </w:t>
      </w:r>
      <w:r w:rsidR="001D7856" w:rsidRPr="004B4F91">
        <w:rPr>
          <w:rStyle w:val="AERtexthighlight"/>
          <w:shd w:val="clear" w:color="auto" w:fill="auto"/>
        </w:rPr>
        <w:t xml:space="preserve">set </w:t>
      </w:r>
      <w:r w:rsidR="001D7856" w:rsidRPr="00905007">
        <w:rPr>
          <w:rStyle w:val="AERtexthighlight"/>
          <w:shd w:val="clear" w:color="auto" w:fill="auto"/>
        </w:rPr>
        <w:t xml:space="preserve">out in section 5. However, </w:t>
      </w:r>
      <w:r w:rsidR="00905007" w:rsidRPr="008429CF">
        <w:rPr>
          <w:rStyle w:val="AERtexthighlight"/>
          <w:shd w:val="clear" w:color="auto" w:fill="auto"/>
        </w:rPr>
        <w:t>w</w:t>
      </w:r>
      <w:r w:rsidR="001D7856" w:rsidRPr="00905007">
        <w:rPr>
          <w:rStyle w:val="AERtexthighlight"/>
          <w:shd w:val="clear" w:color="auto" w:fill="auto"/>
        </w:rPr>
        <w:t>hile the key drivers of efficient revenue indicate a substantial revenue</w:t>
      </w:r>
      <w:r w:rsidR="001D7856" w:rsidRPr="004B4F91">
        <w:rPr>
          <w:rStyle w:val="AERtexthighlight"/>
          <w:shd w:val="clear" w:color="auto" w:fill="auto"/>
        </w:rPr>
        <w:t xml:space="preserve"> reduction is appropriate</w:t>
      </w:r>
      <w:r w:rsidR="00617B35" w:rsidRPr="00F94EDD">
        <w:t>,</w:t>
      </w:r>
      <w:r w:rsidR="001D7856" w:rsidRPr="004B4F91">
        <w:rPr>
          <w:rStyle w:val="AERtexthighlight"/>
          <w:shd w:val="clear" w:color="auto" w:fill="auto"/>
        </w:rPr>
        <w:t xml:space="preserve"> </w:t>
      </w:r>
      <w:r w:rsidRPr="004B4F91">
        <w:rPr>
          <w:rStyle w:val="AERtexthighlight"/>
          <w:shd w:val="clear" w:color="auto" w:fill="auto"/>
        </w:rPr>
        <w:t>this is not reflected in TransGrid's proposal</w:t>
      </w:r>
      <w:r w:rsidR="001D7856" w:rsidRPr="004B4F91">
        <w:rPr>
          <w:rStyle w:val="AERtexthighlight"/>
          <w:shd w:val="clear" w:color="auto" w:fill="auto"/>
        </w:rPr>
        <w:t xml:space="preserve">. </w:t>
      </w:r>
    </w:p>
    <w:p w:rsidR="00905007" w:rsidRPr="00EB1FB3" w:rsidRDefault="001D7856" w:rsidP="00AC2563">
      <w:pPr>
        <w:pStyle w:val="AERbodytext"/>
        <w:rPr>
          <w:rStyle w:val="AERtexthighlight"/>
          <w:shd w:val="clear" w:color="auto" w:fill="auto"/>
        </w:rPr>
      </w:pPr>
      <w:r w:rsidRPr="00905007">
        <w:rPr>
          <w:rStyle w:val="AERtexthighlight"/>
          <w:shd w:val="clear" w:color="auto" w:fill="auto"/>
        </w:rPr>
        <w:t xml:space="preserve">In our attachments and appendices, we have included detailed analysis explaining why we consider several constituent components of </w:t>
      </w:r>
      <w:r w:rsidR="00EB1FB3" w:rsidRPr="00905007">
        <w:rPr>
          <w:rStyle w:val="AERtexthighlight"/>
          <w:shd w:val="clear" w:color="auto" w:fill="auto"/>
        </w:rPr>
        <w:t xml:space="preserve">TransGrid's </w:t>
      </w:r>
      <w:r w:rsidRPr="00905007">
        <w:rPr>
          <w:rStyle w:val="AERtexthighlight"/>
          <w:shd w:val="clear" w:color="auto" w:fill="auto"/>
        </w:rPr>
        <w:t>proposal do not comply with the NER's requirements.</w:t>
      </w:r>
      <w:r w:rsidR="00905007">
        <w:rPr>
          <w:rStyle w:val="AERtexthighlight"/>
        </w:rPr>
        <w:t xml:space="preserve"> </w:t>
      </w:r>
    </w:p>
    <w:p w:rsidR="00F94EDD" w:rsidRDefault="00F94EDD" w:rsidP="00E14922">
      <w:pPr>
        <w:pStyle w:val="Heading1"/>
        <w:rPr>
          <w:rStyle w:val="AERtexthighlight"/>
          <w:shd w:val="clear" w:color="auto" w:fill="auto"/>
        </w:rPr>
      </w:pPr>
      <w:bookmarkStart w:id="26" w:name="_Toc404437611"/>
      <w:r>
        <w:rPr>
          <w:rStyle w:val="AERtexthighlight"/>
          <w:shd w:val="clear" w:color="auto" w:fill="auto"/>
        </w:rPr>
        <w:lastRenderedPageBreak/>
        <w:t>Total revenue requirements and impact on price</w:t>
      </w:r>
      <w:bookmarkEnd w:id="26"/>
    </w:p>
    <w:p w:rsidR="00451C81" w:rsidRPr="001E4325" w:rsidRDefault="00451C81" w:rsidP="00D76C94">
      <w:pPr>
        <w:pStyle w:val="AERbodytext"/>
        <w:rPr>
          <w:rStyle w:val="AERtexthighlight"/>
          <w:shd w:val="clear" w:color="auto" w:fill="auto"/>
        </w:rPr>
      </w:pPr>
      <w:bookmarkStart w:id="27" w:name="_Toc390936272"/>
      <w:r>
        <w:t xml:space="preserve">The </w:t>
      </w:r>
      <w:r w:rsidRPr="0014223F">
        <w:t xml:space="preserve">total revenue cap represents our forecast of the efficient costs </w:t>
      </w:r>
      <w:r w:rsidR="005E3F54">
        <w:t>a</w:t>
      </w:r>
      <w:r w:rsidRPr="0014223F">
        <w:t xml:space="preserve"> prudent operator would incur in providing </w:t>
      </w:r>
      <w:r>
        <w:t>transmission</w:t>
      </w:r>
      <w:r w:rsidRPr="0014223F">
        <w:t xml:space="preserve"> network services for </w:t>
      </w:r>
      <w:r w:rsidR="00FA0979">
        <w:t xml:space="preserve">the </w:t>
      </w:r>
      <w:r w:rsidRPr="0014223F">
        <w:t>201</w:t>
      </w:r>
      <w:r>
        <w:t>5</w:t>
      </w:r>
      <w:r w:rsidRPr="0014223F">
        <w:t>–</w:t>
      </w:r>
      <w:r w:rsidR="00EE1664">
        <w:t>18</w:t>
      </w:r>
      <w:r w:rsidR="00FA0979">
        <w:t xml:space="preserve"> regulatory control period</w:t>
      </w:r>
      <w:r w:rsidRPr="0014223F">
        <w:t xml:space="preserve">. </w:t>
      </w:r>
    </w:p>
    <w:p w:rsidR="003B0D45" w:rsidRDefault="003B0D45" w:rsidP="00E14922">
      <w:pPr>
        <w:pStyle w:val="Heading2"/>
      </w:pPr>
      <w:bookmarkStart w:id="28" w:name="_Toc404437612"/>
      <w:r w:rsidRPr="00406F38">
        <w:t xml:space="preserve">Draft </w:t>
      </w:r>
      <w:r w:rsidRPr="00E14922">
        <w:t>decision</w:t>
      </w:r>
      <w:bookmarkEnd w:id="27"/>
      <w:bookmarkEnd w:id="28"/>
    </w:p>
    <w:bookmarkEnd w:id="0"/>
    <w:p w:rsidR="00451C81" w:rsidRPr="0014223F" w:rsidRDefault="00451C81" w:rsidP="00451C81">
      <w:pPr>
        <w:pStyle w:val="AERbodytext"/>
      </w:pPr>
      <w:r>
        <w:t xml:space="preserve">Our draft decision on </w:t>
      </w:r>
      <w:r w:rsidR="009340F2">
        <w:t>TransGrid</w:t>
      </w:r>
      <w:r w:rsidRPr="0014223F">
        <w:t>'s total revenue</w:t>
      </w:r>
      <w:r w:rsidR="005E3F54">
        <w:t xml:space="preserve"> cap</w:t>
      </w:r>
      <w:r w:rsidRPr="0014223F">
        <w:t xml:space="preserve"> over the 201</w:t>
      </w:r>
      <w:r>
        <w:t>5</w:t>
      </w:r>
      <w:r w:rsidRPr="0014223F">
        <w:t>–1</w:t>
      </w:r>
      <w:r w:rsidR="00EE1664">
        <w:t>8</w:t>
      </w:r>
      <w:r w:rsidRPr="0014223F">
        <w:t xml:space="preserve"> </w:t>
      </w:r>
      <w:r w:rsidR="00FA0979">
        <w:t xml:space="preserve">regulatory control </w:t>
      </w:r>
      <w:r w:rsidRPr="0014223F">
        <w:t>period</w:t>
      </w:r>
      <w:r w:rsidR="00FF5DC8">
        <w:t xml:space="preserve"> </w:t>
      </w:r>
      <w:r w:rsidRPr="0014223F">
        <w:t>is $</w:t>
      </w:r>
      <w:r w:rsidR="00130EBB">
        <w:t>2</w:t>
      </w:r>
      <w:r w:rsidR="003056B1">
        <w:t>310.5</w:t>
      </w:r>
      <w:r w:rsidRPr="0014223F">
        <w:t xml:space="preserve"> million ($ nominal).</w:t>
      </w:r>
      <w:r w:rsidR="00FF5DC8">
        <w:rPr>
          <w:rStyle w:val="FootnoteReference"/>
        </w:rPr>
        <w:footnoteReference w:id="60"/>
      </w:r>
      <w:r w:rsidRPr="0014223F">
        <w:t xml:space="preserve"> This is $</w:t>
      </w:r>
      <w:r w:rsidR="00130EBB">
        <w:t>7</w:t>
      </w:r>
      <w:r w:rsidR="003056B1">
        <w:t>3</w:t>
      </w:r>
      <w:r w:rsidR="00130EBB">
        <w:t>5.</w:t>
      </w:r>
      <w:r w:rsidR="003056B1">
        <w:t>7</w:t>
      </w:r>
      <w:r w:rsidRPr="0014223F">
        <w:t xml:space="preserve"> million (or </w:t>
      </w:r>
      <w:r w:rsidR="00130EBB">
        <w:t>24.</w:t>
      </w:r>
      <w:r w:rsidR="003056B1">
        <w:t>2</w:t>
      </w:r>
      <w:r w:rsidRPr="0014223F">
        <w:t xml:space="preserve"> per cent) less than </w:t>
      </w:r>
      <w:r w:rsidR="009340F2">
        <w:t>TransGrid</w:t>
      </w:r>
      <w:r w:rsidRPr="0014223F">
        <w:t>'s re</w:t>
      </w:r>
      <w:r w:rsidR="005E3F54">
        <w:t>venue</w:t>
      </w:r>
      <w:r w:rsidRPr="0014223F">
        <w:t xml:space="preserve"> proposal.</w:t>
      </w:r>
      <w:r w:rsidR="00130EBB">
        <w:rPr>
          <w:rStyle w:val="FootnoteReference"/>
        </w:rPr>
        <w:footnoteReference w:id="61"/>
      </w:r>
      <w:r w:rsidRPr="0014223F">
        <w:t xml:space="preserve"> </w:t>
      </w:r>
      <w:r w:rsidR="00E57171">
        <w:fldChar w:fldCharType="begin"/>
      </w:r>
      <w:r w:rsidR="00E57171">
        <w:instrText xml:space="preserve"> REF _Ref402249636 \h </w:instrText>
      </w:r>
      <w:r w:rsidR="00E57171">
        <w:fldChar w:fldCharType="separate"/>
      </w:r>
      <w:r w:rsidR="00C71301" w:rsidRPr="00D852F8">
        <w:t xml:space="preserve">Table </w:t>
      </w:r>
      <w:r w:rsidR="00C71301">
        <w:rPr>
          <w:noProof/>
        </w:rPr>
        <w:t>7</w:t>
      </w:r>
      <w:r w:rsidR="00C71301">
        <w:noBreakHyphen/>
      </w:r>
      <w:r w:rsidR="00C71301">
        <w:rPr>
          <w:noProof/>
        </w:rPr>
        <w:t>1</w:t>
      </w:r>
      <w:r w:rsidR="00E57171">
        <w:fldChar w:fldCharType="end"/>
      </w:r>
      <w:r w:rsidR="00E57171">
        <w:t xml:space="preserve"> </w:t>
      </w:r>
      <w:r w:rsidRPr="0014223F">
        <w:t xml:space="preserve">shows our draft decision on </w:t>
      </w:r>
      <w:r w:rsidR="009340F2">
        <w:t>TransGrid</w:t>
      </w:r>
      <w:r w:rsidRPr="0014223F">
        <w:t>'s building block</w:t>
      </w:r>
      <w:r w:rsidR="003C19E7">
        <w:t xml:space="preserve"> cost</w:t>
      </w:r>
      <w:r w:rsidRPr="0014223F">
        <w:t xml:space="preserve">s </w:t>
      </w:r>
      <w:r w:rsidR="00B3652D">
        <w:t xml:space="preserve">and </w:t>
      </w:r>
      <w:r w:rsidR="00FF5DC8">
        <w:t>unsmoothed</w:t>
      </w:r>
      <w:r w:rsidR="00B3652D">
        <w:t xml:space="preserve"> </w:t>
      </w:r>
      <w:r w:rsidR="002A0C7D">
        <w:t xml:space="preserve">revenues </w:t>
      </w:r>
      <w:r w:rsidR="002A0C7D" w:rsidRPr="0014223F">
        <w:t>and</w:t>
      </w:r>
      <w:r w:rsidRPr="0014223F">
        <w:t xml:space="preserve"> t</w:t>
      </w:r>
      <w:r w:rsidR="003C19E7">
        <w:t>he resulting</w:t>
      </w:r>
      <w:r w:rsidR="00FF5DC8">
        <w:t xml:space="preserve"> smoothed</w:t>
      </w:r>
      <w:r w:rsidRPr="0014223F">
        <w:t xml:space="preserve"> revenue</w:t>
      </w:r>
      <w:r w:rsidR="003C19E7">
        <w:t>s</w:t>
      </w:r>
      <w:r w:rsidRPr="0014223F">
        <w:t xml:space="preserve">. Attachments to our draft decision discuss </w:t>
      </w:r>
      <w:r w:rsidR="003C19E7">
        <w:t xml:space="preserve">in detail </w:t>
      </w:r>
      <w:r w:rsidRPr="0014223F">
        <w:t>each building block</w:t>
      </w:r>
      <w:r w:rsidR="003C19E7">
        <w:t xml:space="preserve"> cost and its elements</w:t>
      </w:r>
      <w:r w:rsidR="00CC5C12">
        <w:t>,</w:t>
      </w:r>
      <w:r w:rsidRPr="0014223F">
        <w:t xml:space="preserve"> our approaches </w:t>
      </w:r>
      <w:r w:rsidR="003C19E7">
        <w:t>to assessment</w:t>
      </w:r>
      <w:r w:rsidR="00CC5C12">
        <w:t>,</w:t>
      </w:r>
      <w:r w:rsidR="003C19E7">
        <w:t xml:space="preserve"> </w:t>
      </w:r>
      <w:r w:rsidRPr="0014223F">
        <w:t xml:space="preserve">and </w:t>
      </w:r>
      <w:r w:rsidR="003C19E7">
        <w:t>the</w:t>
      </w:r>
      <w:r w:rsidRPr="0014223F">
        <w:t xml:space="preserve"> interrelationships </w:t>
      </w:r>
      <w:r w:rsidR="003C19E7">
        <w:t xml:space="preserve">between elements and across years. </w:t>
      </w:r>
      <w:r w:rsidR="006F59F5">
        <w:t>Together, these</w:t>
      </w:r>
      <w:r w:rsidRPr="0014223F">
        <w:t xml:space="preserve"> support our overall revenue allowance. </w:t>
      </w:r>
    </w:p>
    <w:p w:rsidR="00451C81" w:rsidRPr="00D852F8" w:rsidRDefault="00D852F8" w:rsidP="00D852F8">
      <w:pPr>
        <w:pStyle w:val="Caption"/>
        <w:rPr>
          <w:rStyle w:val="AERtextbold"/>
          <w:b/>
        </w:rPr>
      </w:pPr>
      <w:bookmarkStart w:id="29" w:name="_Ref402249636"/>
      <w:r w:rsidRPr="00D852F8">
        <w:t xml:space="preserve">Table </w:t>
      </w:r>
      <w:r w:rsidR="00864D56">
        <w:fldChar w:fldCharType="begin"/>
      </w:r>
      <w:r w:rsidR="00864D56">
        <w:instrText xml:space="preserve"> STYLEREF 1 \s </w:instrText>
      </w:r>
      <w:r w:rsidR="00864D56">
        <w:fldChar w:fldCharType="separate"/>
      </w:r>
      <w:r w:rsidR="00C71301">
        <w:rPr>
          <w:noProof/>
        </w:rPr>
        <w:t>7</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1</w:t>
      </w:r>
      <w:r w:rsidR="00864D56">
        <w:rPr>
          <w:noProof/>
        </w:rPr>
        <w:fldChar w:fldCharType="end"/>
      </w:r>
      <w:bookmarkEnd w:id="29"/>
      <w:r w:rsidRPr="00D852F8">
        <w:tab/>
      </w:r>
      <w:r w:rsidR="00451C81" w:rsidRPr="00D852F8">
        <w:rPr>
          <w:rStyle w:val="AERtextbold"/>
          <w:b/>
        </w:rPr>
        <w:t xml:space="preserve">AER's draft decision on </w:t>
      </w:r>
      <w:r w:rsidR="009340F2" w:rsidRPr="00D852F8">
        <w:rPr>
          <w:rStyle w:val="AERtextbold"/>
          <w:b/>
        </w:rPr>
        <w:t>TransGrid</w:t>
      </w:r>
      <w:r w:rsidR="00451C81" w:rsidRPr="00D852F8">
        <w:rPr>
          <w:rStyle w:val="AERtextbold"/>
          <w:b/>
        </w:rPr>
        <w:t>'s proposed revenues ($ million, nominal)</w:t>
      </w:r>
    </w:p>
    <w:tbl>
      <w:tblPr>
        <w:tblStyle w:val="AERtable-text"/>
        <w:tblW w:w="5000" w:type="pct"/>
        <w:tblLook w:val="04A0" w:firstRow="1" w:lastRow="0" w:firstColumn="1" w:lastColumn="0" w:noHBand="0" w:noVBand="1"/>
      </w:tblPr>
      <w:tblGrid>
        <w:gridCol w:w="3201"/>
        <w:gridCol w:w="1740"/>
        <w:gridCol w:w="1035"/>
        <w:gridCol w:w="1035"/>
        <w:gridCol w:w="1035"/>
        <w:gridCol w:w="1196"/>
      </w:tblGrid>
      <w:tr w:rsidR="00EE1664" w:rsidTr="003056B1">
        <w:trPr>
          <w:cnfStyle w:val="100000000000" w:firstRow="1" w:lastRow="0" w:firstColumn="0" w:lastColumn="0" w:oddVBand="0" w:evenVBand="0" w:oddHBand="0" w:evenHBand="0" w:firstRowFirstColumn="0" w:firstRowLastColumn="0" w:lastRowFirstColumn="0" w:lastRowLastColumn="0"/>
        </w:trPr>
        <w:tc>
          <w:tcPr>
            <w:tcW w:w="1731" w:type="pct"/>
          </w:tcPr>
          <w:p w:rsidR="00EE1664" w:rsidRDefault="00EE1664" w:rsidP="00451C81">
            <w:pPr>
              <w:pStyle w:val="AERbodytext"/>
            </w:pPr>
          </w:p>
        </w:tc>
        <w:tc>
          <w:tcPr>
            <w:tcW w:w="941" w:type="pct"/>
          </w:tcPr>
          <w:p w:rsidR="00EE1664" w:rsidRPr="0019062A" w:rsidRDefault="00EE1664" w:rsidP="0019062A">
            <w:pPr>
              <w:pStyle w:val="AERtabletextright"/>
            </w:pPr>
            <w:r w:rsidRPr="0019062A">
              <w:t>2014–15</w:t>
            </w:r>
          </w:p>
        </w:tc>
        <w:tc>
          <w:tcPr>
            <w:tcW w:w="560" w:type="pct"/>
          </w:tcPr>
          <w:p w:rsidR="00EE1664" w:rsidRPr="0019062A" w:rsidRDefault="00EE1664" w:rsidP="0019062A">
            <w:pPr>
              <w:pStyle w:val="AERtabletextright"/>
            </w:pPr>
            <w:r w:rsidRPr="0019062A">
              <w:t>2015–16</w:t>
            </w:r>
          </w:p>
        </w:tc>
        <w:tc>
          <w:tcPr>
            <w:tcW w:w="560" w:type="pct"/>
          </w:tcPr>
          <w:p w:rsidR="00EE1664" w:rsidRPr="0019062A" w:rsidRDefault="00EE1664" w:rsidP="0019062A">
            <w:pPr>
              <w:pStyle w:val="AERtabletextright"/>
            </w:pPr>
            <w:r w:rsidRPr="0019062A">
              <w:t>2016–17</w:t>
            </w:r>
          </w:p>
        </w:tc>
        <w:tc>
          <w:tcPr>
            <w:tcW w:w="560" w:type="pct"/>
          </w:tcPr>
          <w:p w:rsidR="00EE1664" w:rsidRPr="0019062A" w:rsidRDefault="00EE1664" w:rsidP="0019062A">
            <w:pPr>
              <w:pStyle w:val="AERtabletextright"/>
            </w:pPr>
            <w:r w:rsidRPr="0019062A">
              <w:t>2017–18</w:t>
            </w:r>
          </w:p>
        </w:tc>
        <w:tc>
          <w:tcPr>
            <w:tcW w:w="647" w:type="pct"/>
          </w:tcPr>
          <w:p w:rsidR="00EE1664" w:rsidRPr="0019062A" w:rsidRDefault="00EE1664" w:rsidP="0019062A">
            <w:pPr>
              <w:pStyle w:val="AERtabletextright"/>
            </w:pPr>
            <w:r w:rsidRPr="0019062A">
              <w:t>Total</w:t>
            </w:r>
          </w:p>
        </w:tc>
      </w:tr>
      <w:tr w:rsidR="00EE1664" w:rsidTr="003056B1">
        <w:trPr>
          <w:trHeight w:val="373"/>
        </w:trPr>
        <w:tc>
          <w:tcPr>
            <w:tcW w:w="1731" w:type="pct"/>
          </w:tcPr>
          <w:p w:rsidR="00EE1664" w:rsidRDefault="00EE1664" w:rsidP="00FA0979">
            <w:pPr>
              <w:pStyle w:val="AERtabletextleft"/>
            </w:pPr>
            <w:r>
              <w:t>Return on capital</w:t>
            </w:r>
          </w:p>
        </w:tc>
        <w:tc>
          <w:tcPr>
            <w:tcW w:w="941" w:type="pct"/>
          </w:tcPr>
          <w:p w:rsidR="00EE1664" w:rsidRDefault="0019062A" w:rsidP="0019062A">
            <w:pPr>
              <w:pStyle w:val="AERtabletextright"/>
            </w:pPr>
            <w:r>
              <w:t>445.1</w:t>
            </w:r>
          </w:p>
        </w:tc>
        <w:tc>
          <w:tcPr>
            <w:tcW w:w="560" w:type="pct"/>
          </w:tcPr>
          <w:p w:rsidR="00EE1664" w:rsidRDefault="0019062A" w:rsidP="0019062A">
            <w:pPr>
              <w:pStyle w:val="AERtabletextright"/>
            </w:pPr>
            <w:r>
              <w:t>456.5</w:t>
            </w:r>
          </w:p>
        </w:tc>
        <w:tc>
          <w:tcPr>
            <w:tcW w:w="560" w:type="pct"/>
          </w:tcPr>
          <w:p w:rsidR="00EE1664" w:rsidRDefault="0019062A" w:rsidP="0019062A">
            <w:pPr>
              <w:pStyle w:val="AERtabletextright"/>
            </w:pPr>
            <w:r>
              <w:t>466.9</w:t>
            </w:r>
          </w:p>
        </w:tc>
        <w:tc>
          <w:tcPr>
            <w:tcW w:w="560" w:type="pct"/>
          </w:tcPr>
          <w:p w:rsidR="00EE1664" w:rsidRDefault="0019062A" w:rsidP="0019062A">
            <w:pPr>
              <w:pStyle w:val="AERtabletextright"/>
            </w:pPr>
            <w:r>
              <w:t>475.4</w:t>
            </w:r>
          </w:p>
        </w:tc>
        <w:tc>
          <w:tcPr>
            <w:tcW w:w="647" w:type="pct"/>
          </w:tcPr>
          <w:p w:rsidR="00EE1664" w:rsidRDefault="0019062A" w:rsidP="0019062A">
            <w:pPr>
              <w:pStyle w:val="AERtabletextright"/>
            </w:pPr>
            <w:r>
              <w:t>1843.9</w:t>
            </w:r>
          </w:p>
        </w:tc>
      </w:tr>
      <w:tr w:rsidR="00EE1664" w:rsidTr="003056B1">
        <w:trPr>
          <w:cnfStyle w:val="000000010000" w:firstRow="0" w:lastRow="0" w:firstColumn="0" w:lastColumn="0" w:oddVBand="0" w:evenVBand="0" w:oddHBand="0" w:evenHBand="1" w:firstRowFirstColumn="0" w:firstRowLastColumn="0" w:lastRowFirstColumn="0" w:lastRowLastColumn="0"/>
        </w:trPr>
        <w:tc>
          <w:tcPr>
            <w:tcW w:w="1731" w:type="pct"/>
          </w:tcPr>
          <w:p w:rsidR="00EE1664" w:rsidRPr="0014223F" w:rsidRDefault="00EE1664" w:rsidP="001E029E">
            <w:pPr>
              <w:pStyle w:val="AERtabletextright"/>
              <w:jc w:val="both"/>
            </w:pPr>
            <w:r>
              <w:t>Regulatory depreciation</w:t>
            </w:r>
            <w:r w:rsidRPr="0014223F">
              <w:rPr>
                <w:rStyle w:val="AERsuperscript"/>
              </w:rPr>
              <w:t>a</w:t>
            </w:r>
          </w:p>
        </w:tc>
        <w:tc>
          <w:tcPr>
            <w:tcW w:w="941" w:type="pct"/>
          </w:tcPr>
          <w:p w:rsidR="00EE1664" w:rsidRDefault="0019062A" w:rsidP="0019062A">
            <w:pPr>
              <w:pStyle w:val="AERtabletextright"/>
            </w:pPr>
            <w:r>
              <w:t>93.2</w:t>
            </w:r>
          </w:p>
        </w:tc>
        <w:tc>
          <w:tcPr>
            <w:tcW w:w="560" w:type="pct"/>
          </w:tcPr>
          <w:p w:rsidR="00EE1664" w:rsidRDefault="0019062A" w:rsidP="0019062A">
            <w:pPr>
              <w:pStyle w:val="AERtabletextright"/>
            </w:pPr>
            <w:r>
              <w:t>109.9</w:t>
            </w:r>
          </w:p>
        </w:tc>
        <w:tc>
          <w:tcPr>
            <w:tcW w:w="560" w:type="pct"/>
          </w:tcPr>
          <w:p w:rsidR="00EE1664" w:rsidRDefault="0019062A" w:rsidP="0019062A">
            <w:pPr>
              <w:pStyle w:val="AERtabletextright"/>
            </w:pPr>
            <w:r>
              <w:t>126.1</w:t>
            </w:r>
          </w:p>
        </w:tc>
        <w:tc>
          <w:tcPr>
            <w:tcW w:w="560" w:type="pct"/>
          </w:tcPr>
          <w:p w:rsidR="00EE1664" w:rsidRDefault="0019062A" w:rsidP="0019062A">
            <w:pPr>
              <w:pStyle w:val="AERtabletextright"/>
            </w:pPr>
            <w:r>
              <w:t>111.7</w:t>
            </w:r>
          </w:p>
        </w:tc>
        <w:tc>
          <w:tcPr>
            <w:tcW w:w="647" w:type="pct"/>
          </w:tcPr>
          <w:p w:rsidR="00EE1664" w:rsidRDefault="0019062A" w:rsidP="0019062A">
            <w:pPr>
              <w:pStyle w:val="AERtabletextright"/>
            </w:pPr>
            <w:r>
              <w:t>440.9</w:t>
            </w:r>
          </w:p>
        </w:tc>
      </w:tr>
      <w:tr w:rsidR="003056B1" w:rsidTr="00F02D30">
        <w:tc>
          <w:tcPr>
            <w:tcW w:w="1731" w:type="pct"/>
          </w:tcPr>
          <w:p w:rsidR="003056B1" w:rsidRDefault="003056B1" w:rsidP="003056B1">
            <w:pPr>
              <w:pStyle w:val="AERtabletextleft"/>
            </w:pPr>
            <w:r>
              <w:t>Operating expenditure</w:t>
            </w:r>
          </w:p>
        </w:tc>
        <w:tc>
          <w:tcPr>
            <w:tcW w:w="941" w:type="pct"/>
            <w:vAlign w:val="bottom"/>
          </w:tcPr>
          <w:p w:rsidR="003056B1" w:rsidRPr="003056B1" w:rsidRDefault="003056B1" w:rsidP="003056B1">
            <w:pPr>
              <w:pStyle w:val="AERtabletextright"/>
            </w:pPr>
            <w:r>
              <w:t>170</w:t>
            </w:r>
            <w:r w:rsidRPr="003056B1">
              <w:t>.2</w:t>
            </w:r>
          </w:p>
        </w:tc>
        <w:tc>
          <w:tcPr>
            <w:tcW w:w="560" w:type="pct"/>
            <w:vAlign w:val="bottom"/>
          </w:tcPr>
          <w:p w:rsidR="003056B1" w:rsidRPr="003056B1" w:rsidRDefault="003056B1" w:rsidP="003056B1">
            <w:pPr>
              <w:pStyle w:val="AERtabletextright"/>
            </w:pPr>
            <w:r w:rsidRPr="00035292">
              <w:t>172.</w:t>
            </w:r>
            <w:r w:rsidRPr="003056B1">
              <w:t>6</w:t>
            </w:r>
          </w:p>
        </w:tc>
        <w:tc>
          <w:tcPr>
            <w:tcW w:w="560" w:type="pct"/>
            <w:vAlign w:val="bottom"/>
          </w:tcPr>
          <w:p w:rsidR="003056B1" w:rsidRPr="003056B1" w:rsidRDefault="003056B1" w:rsidP="003056B1">
            <w:pPr>
              <w:pStyle w:val="AERtabletextright"/>
            </w:pPr>
            <w:r w:rsidRPr="00035292">
              <w:t>177.</w:t>
            </w:r>
            <w:r w:rsidRPr="003056B1">
              <w:t>0</w:t>
            </w:r>
          </w:p>
        </w:tc>
        <w:tc>
          <w:tcPr>
            <w:tcW w:w="560" w:type="pct"/>
            <w:vAlign w:val="bottom"/>
          </w:tcPr>
          <w:p w:rsidR="003056B1" w:rsidRPr="003056B1" w:rsidRDefault="003056B1" w:rsidP="003056B1">
            <w:pPr>
              <w:pStyle w:val="AERtabletextright"/>
            </w:pPr>
            <w:r w:rsidRPr="00035292">
              <w:t>182.</w:t>
            </w:r>
            <w:r w:rsidRPr="003056B1">
              <w:t>1</w:t>
            </w:r>
          </w:p>
        </w:tc>
        <w:tc>
          <w:tcPr>
            <w:tcW w:w="647" w:type="pct"/>
            <w:vAlign w:val="bottom"/>
          </w:tcPr>
          <w:p w:rsidR="003056B1" w:rsidRPr="003056B1" w:rsidRDefault="003056B1" w:rsidP="003056B1">
            <w:pPr>
              <w:pStyle w:val="AERtabletextright"/>
            </w:pPr>
            <w:r w:rsidRPr="00035292">
              <w:t>70</w:t>
            </w:r>
            <w:r w:rsidRPr="003056B1">
              <w:t>1.9</w:t>
            </w:r>
          </w:p>
        </w:tc>
      </w:tr>
      <w:tr w:rsidR="003056B1" w:rsidTr="00F02D30">
        <w:trPr>
          <w:cnfStyle w:val="000000010000" w:firstRow="0" w:lastRow="0" w:firstColumn="0" w:lastColumn="0" w:oddVBand="0" w:evenVBand="0" w:oddHBand="0" w:evenHBand="1" w:firstRowFirstColumn="0" w:firstRowLastColumn="0" w:lastRowFirstColumn="0" w:lastRowLastColumn="0"/>
        </w:trPr>
        <w:tc>
          <w:tcPr>
            <w:tcW w:w="1731" w:type="pct"/>
          </w:tcPr>
          <w:p w:rsidR="003056B1" w:rsidRDefault="003056B1" w:rsidP="003056B1">
            <w:pPr>
              <w:pStyle w:val="AERtabletextleft"/>
            </w:pPr>
            <w:r>
              <w:t>Efficiency benefit sharing scheme (carryover amounts)</w:t>
            </w:r>
          </w:p>
        </w:tc>
        <w:tc>
          <w:tcPr>
            <w:tcW w:w="941" w:type="pct"/>
          </w:tcPr>
          <w:p w:rsidR="003056B1" w:rsidRPr="003056B1" w:rsidRDefault="003056B1" w:rsidP="003056B1">
            <w:pPr>
              <w:pStyle w:val="AERtabletextright"/>
            </w:pPr>
            <w:r>
              <w:t>21.5</w:t>
            </w:r>
          </w:p>
        </w:tc>
        <w:tc>
          <w:tcPr>
            <w:tcW w:w="560" w:type="pct"/>
            <w:vAlign w:val="bottom"/>
          </w:tcPr>
          <w:p w:rsidR="003056B1" w:rsidRPr="003056B1" w:rsidRDefault="003056B1" w:rsidP="003056B1">
            <w:pPr>
              <w:pStyle w:val="AERtabletextright"/>
            </w:pPr>
            <w:r>
              <w:t>14</w:t>
            </w:r>
            <w:r w:rsidRPr="003056B1">
              <w:t>.4</w:t>
            </w:r>
          </w:p>
        </w:tc>
        <w:tc>
          <w:tcPr>
            <w:tcW w:w="560" w:type="pct"/>
            <w:vAlign w:val="bottom"/>
          </w:tcPr>
          <w:p w:rsidR="003056B1" w:rsidRPr="003056B1" w:rsidRDefault="003056B1" w:rsidP="003056B1">
            <w:pPr>
              <w:pStyle w:val="AERtabletextright"/>
            </w:pPr>
            <w:r w:rsidRPr="00035292">
              <w:t>1</w:t>
            </w:r>
            <w:r w:rsidRPr="003056B1">
              <w:t>7.3</w:t>
            </w:r>
          </w:p>
        </w:tc>
        <w:tc>
          <w:tcPr>
            <w:tcW w:w="560" w:type="pct"/>
            <w:vAlign w:val="bottom"/>
          </w:tcPr>
          <w:p w:rsidR="003056B1" w:rsidRPr="003056B1" w:rsidRDefault="003056B1" w:rsidP="003056B1">
            <w:pPr>
              <w:pStyle w:val="AERtabletextright"/>
            </w:pPr>
            <w:r>
              <w:t>11.5</w:t>
            </w:r>
          </w:p>
        </w:tc>
        <w:tc>
          <w:tcPr>
            <w:tcW w:w="647" w:type="pct"/>
            <w:vAlign w:val="bottom"/>
          </w:tcPr>
          <w:p w:rsidR="003056B1" w:rsidRPr="003056B1" w:rsidRDefault="003056B1" w:rsidP="003056B1">
            <w:pPr>
              <w:pStyle w:val="AERtabletextright"/>
            </w:pPr>
            <w:r>
              <w:t>6</w:t>
            </w:r>
            <w:r w:rsidRPr="003056B1">
              <w:t>4.6</w:t>
            </w:r>
          </w:p>
        </w:tc>
      </w:tr>
      <w:tr w:rsidR="003056B1" w:rsidTr="003056B1">
        <w:tc>
          <w:tcPr>
            <w:tcW w:w="1731" w:type="pct"/>
          </w:tcPr>
          <w:p w:rsidR="003056B1" w:rsidRDefault="003056B1" w:rsidP="003056B1">
            <w:pPr>
              <w:pStyle w:val="AERtabletextleft"/>
            </w:pPr>
            <w:r>
              <w:t>Net tax allowance</w:t>
            </w:r>
          </w:p>
        </w:tc>
        <w:tc>
          <w:tcPr>
            <w:tcW w:w="941" w:type="pct"/>
          </w:tcPr>
          <w:p w:rsidR="003056B1" w:rsidRPr="003056B1" w:rsidRDefault="003056B1" w:rsidP="003056B1">
            <w:pPr>
              <w:pStyle w:val="AERtabletextright"/>
            </w:pPr>
            <w:r>
              <w:t>21.1</w:t>
            </w:r>
          </w:p>
        </w:tc>
        <w:tc>
          <w:tcPr>
            <w:tcW w:w="560" w:type="pct"/>
          </w:tcPr>
          <w:p w:rsidR="003056B1" w:rsidRPr="003056B1" w:rsidRDefault="003056B1" w:rsidP="003056B1">
            <w:pPr>
              <w:pStyle w:val="AERtabletextright"/>
            </w:pPr>
            <w:r>
              <w:t>22.9</w:t>
            </w:r>
          </w:p>
        </w:tc>
        <w:tc>
          <w:tcPr>
            <w:tcW w:w="560" w:type="pct"/>
          </w:tcPr>
          <w:p w:rsidR="003056B1" w:rsidRPr="003056B1" w:rsidRDefault="003056B1" w:rsidP="003056B1">
            <w:pPr>
              <w:pStyle w:val="AERtabletextright"/>
            </w:pPr>
            <w:r>
              <w:t>36.9</w:t>
            </w:r>
          </w:p>
        </w:tc>
        <w:tc>
          <w:tcPr>
            <w:tcW w:w="560" w:type="pct"/>
          </w:tcPr>
          <w:p w:rsidR="003056B1" w:rsidRPr="003056B1" w:rsidRDefault="003056B1" w:rsidP="003056B1">
            <w:pPr>
              <w:pStyle w:val="AERtabletextright"/>
            </w:pPr>
            <w:r>
              <w:t>37.4</w:t>
            </w:r>
          </w:p>
        </w:tc>
        <w:tc>
          <w:tcPr>
            <w:tcW w:w="647" w:type="pct"/>
          </w:tcPr>
          <w:p w:rsidR="003056B1" w:rsidRPr="003056B1" w:rsidRDefault="003056B1" w:rsidP="003056B1">
            <w:pPr>
              <w:pStyle w:val="AERtabletextright"/>
            </w:pPr>
            <w:r>
              <w:t>118.4</w:t>
            </w:r>
          </w:p>
        </w:tc>
      </w:tr>
      <w:tr w:rsidR="003056B1" w:rsidTr="00F02D30">
        <w:trPr>
          <w:cnfStyle w:val="000000010000" w:firstRow="0" w:lastRow="0" w:firstColumn="0" w:lastColumn="0" w:oddVBand="0" w:evenVBand="0" w:oddHBand="0" w:evenHBand="1" w:firstRowFirstColumn="0" w:firstRowLastColumn="0" w:lastRowFirstColumn="0" w:lastRowLastColumn="0"/>
        </w:trPr>
        <w:tc>
          <w:tcPr>
            <w:tcW w:w="1731" w:type="pct"/>
          </w:tcPr>
          <w:p w:rsidR="003056B1" w:rsidRPr="003056B1" w:rsidRDefault="003056B1" w:rsidP="003056B1">
            <w:pPr>
              <w:pStyle w:val="AERtabletextleft"/>
            </w:pPr>
            <w:r>
              <w:t xml:space="preserve">Annual </w:t>
            </w:r>
            <w:r w:rsidRPr="003056B1">
              <w:t>building block revenue requirement (unsmoothed)</w:t>
            </w:r>
          </w:p>
        </w:tc>
        <w:tc>
          <w:tcPr>
            <w:tcW w:w="941" w:type="pct"/>
            <w:vAlign w:val="bottom"/>
          </w:tcPr>
          <w:p w:rsidR="003056B1" w:rsidRPr="003056B1" w:rsidRDefault="003056B1" w:rsidP="003056B1">
            <w:pPr>
              <w:pStyle w:val="AERtabletextright"/>
            </w:pPr>
            <w:r w:rsidRPr="00035292">
              <w:t>7</w:t>
            </w:r>
            <w:r w:rsidRPr="003056B1">
              <w:t>51.1</w:t>
            </w:r>
          </w:p>
        </w:tc>
        <w:tc>
          <w:tcPr>
            <w:tcW w:w="560" w:type="pct"/>
            <w:vAlign w:val="bottom"/>
          </w:tcPr>
          <w:p w:rsidR="003056B1" w:rsidRPr="003056B1" w:rsidRDefault="003056B1" w:rsidP="003056B1">
            <w:pPr>
              <w:pStyle w:val="AERtabletextright"/>
            </w:pPr>
            <w:r w:rsidRPr="00035292">
              <w:t>7</w:t>
            </w:r>
            <w:r w:rsidRPr="003056B1">
              <w:t>76.3</w:t>
            </w:r>
          </w:p>
        </w:tc>
        <w:tc>
          <w:tcPr>
            <w:tcW w:w="560" w:type="pct"/>
            <w:vAlign w:val="bottom"/>
          </w:tcPr>
          <w:p w:rsidR="003056B1" w:rsidRPr="003056B1" w:rsidRDefault="003056B1" w:rsidP="003056B1">
            <w:pPr>
              <w:pStyle w:val="AERtabletextright"/>
            </w:pPr>
            <w:r>
              <w:t>824</w:t>
            </w:r>
            <w:r w:rsidRPr="003056B1">
              <w:t>.3</w:t>
            </w:r>
          </w:p>
        </w:tc>
        <w:tc>
          <w:tcPr>
            <w:tcW w:w="560" w:type="pct"/>
            <w:vAlign w:val="bottom"/>
          </w:tcPr>
          <w:p w:rsidR="003056B1" w:rsidRPr="003056B1" w:rsidRDefault="003056B1" w:rsidP="003056B1">
            <w:pPr>
              <w:pStyle w:val="AERtabletextright"/>
            </w:pPr>
            <w:r w:rsidRPr="00035292">
              <w:t>8</w:t>
            </w:r>
            <w:r w:rsidRPr="003056B1">
              <w:t>18.0</w:t>
            </w:r>
          </w:p>
        </w:tc>
        <w:tc>
          <w:tcPr>
            <w:tcW w:w="647" w:type="pct"/>
            <w:vAlign w:val="bottom"/>
          </w:tcPr>
          <w:p w:rsidR="003056B1" w:rsidRPr="003056B1" w:rsidRDefault="003056B1" w:rsidP="003056B1">
            <w:pPr>
              <w:pStyle w:val="AERtabletextright"/>
            </w:pPr>
            <w:r w:rsidRPr="00035292">
              <w:t>3</w:t>
            </w:r>
            <w:r w:rsidRPr="003056B1">
              <w:t>169.6</w:t>
            </w:r>
          </w:p>
        </w:tc>
      </w:tr>
      <w:tr w:rsidR="003056B1" w:rsidTr="00F02D30">
        <w:tc>
          <w:tcPr>
            <w:tcW w:w="1731" w:type="pct"/>
          </w:tcPr>
          <w:p w:rsidR="003056B1" w:rsidRPr="00F02D30" w:rsidRDefault="003056B1" w:rsidP="003056B1">
            <w:pPr>
              <w:pStyle w:val="AERtabletextleft"/>
              <w:jc w:val="both"/>
              <w:rPr>
                <w:rStyle w:val="AERtextbold"/>
              </w:rPr>
            </w:pPr>
            <w:r w:rsidRPr="00F02D30">
              <w:rPr>
                <w:rStyle w:val="AERtextbold"/>
              </w:rPr>
              <w:t>Annual expected MAR (smoothed)</w:t>
            </w:r>
          </w:p>
        </w:tc>
        <w:tc>
          <w:tcPr>
            <w:tcW w:w="941" w:type="pct"/>
          </w:tcPr>
          <w:p w:rsidR="003056B1" w:rsidRPr="00F02D30" w:rsidRDefault="003056B1" w:rsidP="003056B1">
            <w:pPr>
              <w:pStyle w:val="AERtabletextright"/>
              <w:rPr>
                <w:rStyle w:val="AERtextbold"/>
              </w:rPr>
            </w:pPr>
            <w:r w:rsidRPr="00F02D30">
              <w:rPr>
                <w:rStyle w:val="AERtextbold"/>
              </w:rPr>
              <w:t>845.4</w:t>
            </w:r>
          </w:p>
        </w:tc>
        <w:tc>
          <w:tcPr>
            <w:tcW w:w="560" w:type="pct"/>
            <w:vAlign w:val="bottom"/>
          </w:tcPr>
          <w:p w:rsidR="003056B1" w:rsidRPr="00F02D30" w:rsidRDefault="003056B1" w:rsidP="003056B1">
            <w:pPr>
              <w:pStyle w:val="AERtabletextright"/>
              <w:rPr>
                <w:rStyle w:val="AERtextbold"/>
              </w:rPr>
            </w:pPr>
            <w:r w:rsidRPr="007D5F98">
              <w:rPr>
                <w:rStyle w:val="AERtextbold"/>
              </w:rPr>
              <w:t>7</w:t>
            </w:r>
            <w:r w:rsidRPr="003056B1">
              <w:rPr>
                <w:rStyle w:val="AERtextbold"/>
              </w:rPr>
              <w:t>47.4</w:t>
            </w:r>
          </w:p>
        </w:tc>
        <w:tc>
          <w:tcPr>
            <w:tcW w:w="560" w:type="pct"/>
            <w:vAlign w:val="bottom"/>
          </w:tcPr>
          <w:p w:rsidR="003056B1" w:rsidRPr="00F02D30" w:rsidRDefault="003056B1" w:rsidP="003056B1">
            <w:pPr>
              <w:pStyle w:val="AERtabletextright"/>
              <w:rPr>
                <w:rStyle w:val="AERtextbold"/>
              </w:rPr>
            </w:pPr>
            <w:r w:rsidRPr="007D5F98">
              <w:rPr>
                <w:rStyle w:val="AERtextbold"/>
              </w:rPr>
              <w:t>769</w:t>
            </w:r>
            <w:r w:rsidRPr="003056B1">
              <w:rPr>
                <w:rStyle w:val="AERtextbold"/>
              </w:rPr>
              <w:t>.9</w:t>
            </w:r>
          </w:p>
        </w:tc>
        <w:tc>
          <w:tcPr>
            <w:tcW w:w="560" w:type="pct"/>
            <w:vAlign w:val="bottom"/>
          </w:tcPr>
          <w:p w:rsidR="003056B1" w:rsidRPr="00F02D30" w:rsidRDefault="003056B1" w:rsidP="003056B1">
            <w:pPr>
              <w:pStyle w:val="AERtabletextright"/>
              <w:rPr>
                <w:rStyle w:val="AERtextbold"/>
              </w:rPr>
            </w:pPr>
            <w:r w:rsidRPr="007D5F98">
              <w:rPr>
                <w:rStyle w:val="AERtextbold"/>
              </w:rPr>
              <w:t>79</w:t>
            </w:r>
            <w:r w:rsidRPr="003056B1">
              <w:rPr>
                <w:rStyle w:val="AERtextbold"/>
              </w:rPr>
              <w:t>3.1</w:t>
            </w:r>
          </w:p>
        </w:tc>
        <w:tc>
          <w:tcPr>
            <w:tcW w:w="647" w:type="pct"/>
          </w:tcPr>
          <w:p w:rsidR="003056B1" w:rsidRPr="00F02D30" w:rsidRDefault="003056B1" w:rsidP="003056B1">
            <w:pPr>
              <w:pStyle w:val="AERtabletextright"/>
              <w:rPr>
                <w:rStyle w:val="AERtextbold"/>
              </w:rPr>
            </w:pPr>
            <w:r w:rsidRPr="007D5F98">
              <w:rPr>
                <w:rStyle w:val="AERtextbold"/>
              </w:rPr>
              <w:t>31</w:t>
            </w:r>
            <w:r w:rsidRPr="003056B1">
              <w:rPr>
                <w:rStyle w:val="AERtextbold"/>
              </w:rPr>
              <w:t>55.9</w:t>
            </w:r>
          </w:p>
        </w:tc>
      </w:tr>
      <w:tr w:rsidR="003056B1" w:rsidTr="003056B1">
        <w:trPr>
          <w:cnfStyle w:val="000000010000" w:firstRow="0" w:lastRow="0" w:firstColumn="0" w:lastColumn="0" w:oddVBand="0" w:evenVBand="0" w:oddHBand="0" w:evenHBand="1" w:firstRowFirstColumn="0" w:firstRowLastColumn="0" w:lastRowFirstColumn="0" w:lastRowLastColumn="0"/>
        </w:trPr>
        <w:tc>
          <w:tcPr>
            <w:tcW w:w="1731" w:type="pct"/>
          </w:tcPr>
          <w:p w:rsidR="003056B1" w:rsidRDefault="003056B1" w:rsidP="003056B1">
            <w:pPr>
              <w:pStyle w:val="AERtabletextleft"/>
            </w:pPr>
            <w:r>
              <w:t>X factor (%)</w:t>
            </w:r>
          </w:p>
        </w:tc>
        <w:tc>
          <w:tcPr>
            <w:tcW w:w="941" w:type="pct"/>
          </w:tcPr>
          <w:p w:rsidR="003056B1" w:rsidRPr="003056B1" w:rsidRDefault="003056B1" w:rsidP="003056B1">
            <w:pPr>
              <w:pStyle w:val="AERtabletextright"/>
              <w:rPr>
                <w:rStyle w:val="AERsuperscript"/>
              </w:rPr>
            </w:pPr>
            <w:r>
              <w:t>n/a</w:t>
            </w:r>
            <w:r w:rsidRPr="003056B1">
              <w:rPr>
                <w:rStyle w:val="AERsuperscript"/>
              </w:rPr>
              <w:t>b</w:t>
            </w:r>
          </w:p>
        </w:tc>
        <w:tc>
          <w:tcPr>
            <w:tcW w:w="560" w:type="pct"/>
          </w:tcPr>
          <w:p w:rsidR="003056B1" w:rsidRPr="003056B1" w:rsidRDefault="003056B1" w:rsidP="003056B1">
            <w:pPr>
              <w:pStyle w:val="AERtabletextright"/>
              <w:rPr>
                <w:rStyle w:val="AERsuperscript"/>
              </w:rPr>
            </w:pPr>
            <w:r>
              <w:t>n/a</w:t>
            </w:r>
            <w:r w:rsidRPr="003056B1">
              <w:rPr>
                <w:rStyle w:val="AERsuperscript"/>
              </w:rPr>
              <w:t>c</w:t>
            </w:r>
          </w:p>
        </w:tc>
        <w:tc>
          <w:tcPr>
            <w:tcW w:w="560" w:type="pct"/>
          </w:tcPr>
          <w:p w:rsidR="003056B1" w:rsidRPr="003056B1" w:rsidRDefault="003056B1" w:rsidP="003056B1">
            <w:pPr>
              <w:pStyle w:val="AERtabletextright"/>
              <w:rPr>
                <w:rStyle w:val="AERsuperscript"/>
              </w:rPr>
            </w:pPr>
            <w:r>
              <w:t>–0.5%</w:t>
            </w:r>
            <w:r w:rsidRPr="003056B1">
              <w:rPr>
                <w:rStyle w:val="AERsuperscript"/>
              </w:rPr>
              <w:t>d</w:t>
            </w:r>
          </w:p>
        </w:tc>
        <w:tc>
          <w:tcPr>
            <w:tcW w:w="560" w:type="pct"/>
          </w:tcPr>
          <w:p w:rsidR="003056B1" w:rsidRPr="003056B1" w:rsidRDefault="003056B1" w:rsidP="003056B1">
            <w:pPr>
              <w:pStyle w:val="AERtabletextright"/>
              <w:rPr>
                <w:rStyle w:val="AERsuperscript"/>
              </w:rPr>
            </w:pPr>
            <w:r>
              <w:t>–0.5%</w:t>
            </w:r>
            <w:r w:rsidRPr="003056B1">
              <w:rPr>
                <w:rStyle w:val="AERsuperscript"/>
              </w:rPr>
              <w:t>d</w:t>
            </w:r>
          </w:p>
        </w:tc>
        <w:tc>
          <w:tcPr>
            <w:tcW w:w="647" w:type="pct"/>
          </w:tcPr>
          <w:p w:rsidR="003056B1" w:rsidRPr="003056B1" w:rsidRDefault="003056B1" w:rsidP="003056B1">
            <w:pPr>
              <w:pStyle w:val="AERtabletextright"/>
            </w:pPr>
            <w:r>
              <w:t>n/a</w:t>
            </w:r>
          </w:p>
        </w:tc>
      </w:tr>
    </w:tbl>
    <w:p w:rsidR="00451C81" w:rsidRPr="008458CA" w:rsidRDefault="00451C81" w:rsidP="008458CA">
      <w:pPr>
        <w:pStyle w:val="AERtablesource"/>
      </w:pPr>
      <w:r w:rsidRPr="008458CA">
        <w:t xml:space="preserve">Source: </w:t>
      </w:r>
      <w:r w:rsidRPr="008458CA">
        <w:tab/>
        <w:t>AER analysis</w:t>
      </w:r>
      <w:r w:rsidR="003C19E7" w:rsidRPr="008458CA">
        <w:t>.</w:t>
      </w:r>
    </w:p>
    <w:p w:rsidR="008458CA" w:rsidRPr="008458CA" w:rsidRDefault="00451C81" w:rsidP="008458CA">
      <w:pPr>
        <w:pStyle w:val="AERtablesource"/>
      </w:pPr>
      <w:r w:rsidRPr="008458CA">
        <w:t xml:space="preserve">(a) </w:t>
      </w:r>
      <w:r w:rsidRPr="008458CA">
        <w:tab/>
        <w:t>Regulatory depreciation is straight-line depreciation net of the inflation indexation on the opening RAB</w:t>
      </w:r>
      <w:r w:rsidR="008458CA" w:rsidRPr="008458CA">
        <w:t xml:space="preserve">. </w:t>
      </w:r>
    </w:p>
    <w:p w:rsidR="008458CA" w:rsidRPr="008458CA" w:rsidRDefault="008458CA" w:rsidP="008458CA">
      <w:pPr>
        <w:pStyle w:val="AERtablesource"/>
      </w:pPr>
      <w:r w:rsidRPr="003429FD">
        <w:t>(b</w:t>
      </w:r>
      <w:r w:rsidRPr="008458CA">
        <w:t>)</w:t>
      </w:r>
      <w:r w:rsidRPr="008458CA">
        <w:tab/>
        <w:t>TransGrid is not required to apply an X factor for 2014</w:t>
      </w:r>
      <w:r w:rsidRPr="008458CA">
        <w:rPr>
          <w:rFonts w:hint="eastAsia"/>
        </w:rPr>
        <w:t>–</w:t>
      </w:r>
      <w:r w:rsidRPr="008458CA">
        <w:t>15 because we set the 2014</w:t>
      </w:r>
      <w:r w:rsidRPr="008458CA">
        <w:rPr>
          <w:rFonts w:hint="eastAsia"/>
        </w:rPr>
        <w:t>–</w:t>
      </w:r>
      <w:r w:rsidRPr="008458CA">
        <w:t>15 MAR in this decision consistent with the placeholder MAR approved in the transitional determination. We have set the 2014</w:t>
      </w:r>
      <w:r w:rsidRPr="008458CA">
        <w:rPr>
          <w:rFonts w:hint="eastAsia"/>
        </w:rPr>
        <w:t>–</w:t>
      </w:r>
      <w:r w:rsidRPr="008458CA">
        <w:t>15 MAR equal to TransGrid's placeholder MAR ($845.4 million) for 2014</w:t>
      </w:r>
      <w:r w:rsidRPr="008458CA">
        <w:rPr>
          <w:rFonts w:hint="eastAsia"/>
        </w:rPr>
        <w:t>–</w:t>
      </w:r>
      <w:r w:rsidRPr="008458CA">
        <w:t>15. The MAR for 2014</w:t>
      </w:r>
      <w:r w:rsidRPr="008458CA">
        <w:rPr>
          <w:rFonts w:hint="eastAsia"/>
        </w:rPr>
        <w:t>–</w:t>
      </w:r>
      <w:r w:rsidRPr="008458CA">
        <w:t>15 is around 11.7 per cent lower than the approved MAR ($934.2 million) in the final year of the 2009</w:t>
      </w:r>
      <w:r w:rsidRPr="008458CA">
        <w:rPr>
          <w:rFonts w:hint="eastAsia"/>
        </w:rPr>
        <w:t>–</w:t>
      </w:r>
      <w:r w:rsidRPr="008458CA">
        <w:t>14 regulatory control period (2013</w:t>
      </w:r>
      <w:r w:rsidRPr="008458CA">
        <w:rPr>
          <w:rFonts w:hint="eastAsia"/>
        </w:rPr>
        <w:t>–</w:t>
      </w:r>
      <w:r w:rsidRPr="008458CA">
        <w:t xml:space="preserve">14) in real terms, or 9.5 per cent lower in nominal terms. </w:t>
      </w:r>
    </w:p>
    <w:p w:rsidR="008458CA" w:rsidRPr="008458CA" w:rsidRDefault="008458CA">
      <w:pPr>
        <w:pStyle w:val="AERtablesource"/>
      </w:pPr>
      <w:r w:rsidRPr="008458CA">
        <w:t>(c)</w:t>
      </w:r>
      <w:r w:rsidRPr="008458CA">
        <w:tab/>
        <w:t>TransGrid is not required to apply an X factor for 2015</w:t>
      </w:r>
      <w:r w:rsidRPr="008458CA">
        <w:rPr>
          <w:rFonts w:hint="eastAsia"/>
        </w:rPr>
        <w:t>–</w:t>
      </w:r>
      <w:r w:rsidRPr="008458CA">
        <w:t>16 because we set the 2015</w:t>
      </w:r>
      <w:r w:rsidRPr="008458CA">
        <w:rPr>
          <w:rFonts w:hint="eastAsia"/>
        </w:rPr>
        <w:t>–</w:t>
      </w:r>
      <w:r w:rsidRPr="008458CA">
        <w:t>16 MAR in this decision. The MAR for 2015</w:t>
      </w:r>
      <w:r w:rsidRPr="008458CA">
        <w:rPr>
          <w:rFonts w:hint="eastAsia"/>
        </w:rPr>
        <w:t>–</w:t>
      </w:r>
      <w:r w:rsidRPr="008458CA">
        <w:t>16 is around 1</w:t>
      </w:r>
      <w:r w:rsidR="00C401E4">
        <w:t>3</w:t>
      </w:r>
      <w:r w:rsidRPr="008458CA">
        <w:t>.</w:t>
      </w:r>
      <w:r w:rsidR="00C401E4">
        <w:t>7</w:t>
      </w:r>
      <w:r w:rsidRPr="008458CA">
        <w:t xml:space="preserve"> per cent lower than the approved MAR for 2014</w:t>
      </w:r>
      <w:r w:rsidRPr="008458CA">
        <w:rPr>
          <w:rFonts w:hint="eastAsia"/>
        </w:rPr>
        <w:t>–</w:t>
      </w:r>
      <w:r w:rsidRPr="008458CA">
        <w:t>15 in real terms, or 1</w:t>
      </w:r>
      <w:r w:rsidR="00C401E4">
        <w:t>1</w:t>
      </w:r>
      <w:r w:rsidRPr="008458CA">
        <w:t>.6 per cent lower in nominal terms.</w:t>
      </w:r>
    </w:p>
    <w:p w:rsidR="008458CA" w:rsidRPr="008458CA" w:rsidRDefault="008458CA">
      <w:pPr>
        <w:pStyle w:val="AERtablesource"/>
      </w:pPr>
      <w:r w:rsidRPr="008458CA">
        <w:t>(d)</w:t>
      </w:r>
      <w:r w:rsidRPr="008458CA">
        <w:tab/>
        <w:t>The X factor will be revised to reflect the annual return on debt update.</w:t>
      </w:r>
    </w:p>
    <w:p w:rsidR="008349B4" w:rsidRPr="00B660F0" w:rsidRDefault="008349B4" w:rsidP="008349B4">
      <w:pPr>
        <w:pStyle w:val="AERbodytext"/>
      </w:pPr>
      <w:r>
        <w:fldChar w:fldCharType="begin"/>
      </w:r>
      <w:r>
        <w:instrText xml:space="preserve"> REF _Ref401667538 \h </w:instrText>
      </w:r>
      <w:r>
        <w:fldChar w:fldCharType="separate"/>
      </w:r>
      <w:r w:rsidR="00C71301" w:rsidRPr="0001428B">
        <w:t xml:space="preserve">Figure </w:t>
      </w:r>
      <w:r w:rsidR="00C71301">
        <w:rPr>
          <w:noProof/>
        </w:rPr>
        <w:t>7</w:t>
      </w:r>
      <w:r w:rsidR="00C71301">
        <w:noBreakHyphen/>
      </w:r>
      <w:r w:rsidR="00C71301">
        <w:rPr>
          <w:noProof/>
        </w:rPr>
        <w:t>1</w:t>
      </w:r>
      <w:r>
        <w:fldChar w:fldCharType="end"/>
      </w:r>
      <w:r>
        <w:t xml:space="preserve"> compares (on average) our draft decision</w:t>
      </w:r>
      <w:r w:rsidR="00FA0979">
        <w:t xml:space="preserve"> on</w:t>
      </w:r>
      <w:r>
        <w:t xml:space="preserve"> TransGrid's</w:t>
      </w:r>
      <w:r w:rsidRPr="00ED755A">
        <w:t xml:space="preserve"> building block</w:t>
      </w:r>
      <w:r>
        <w:t xml:space="preserve"> cost</w:t>
      </w:r>
      <w:r w:rsidRPr="00ED755A">
        <w:t>s</w:t>
      </w:r>
      <w:r>
        <w:t xml:space="preserve"> against what was proposed by TransGrid for the 201</w:t>
      </w:r>
      <w:r w:rsidR="003C6491">
        <w:t>5</w:t>
      </w:r>
      <w:r>
        <w:t>–18 period</w:t>
      </w:r>
      <w:r w:rsidR="006834B6">
        <w:t>,</w:t>
      </w:r>
      <w:r>
        <w:t xml:space="preserve"> and what </w:t>
      </w:r>
      <w:r w:rsidR="006834B6">
        <w:t xml:space="preserve">we </w:t>
      </w:r>
      <w:r>
        <w:t>approved for the 2009–14 regulatory control period</w:t>
      </w:r>
      <w:r w:rsidRPr="00ED755A">
        <w:t xml:space="preserve">. </w:t>
      </w:r>
    </w:p>
    <w:p w:rsidR="008349B4" w:rsidRPr="00B660F0" w:rsidRDefault="008349B4" w:rsidP="008349B4">
      <w:pPr>
        <w:pStyle w:val="Caption"/>
        <w:rPr>
          <w:rStyle w:val="AERtextbold"/>
        </w:rPr>
      </w:pPr>
      <w:bookmarkStart w:id="30" w:name="_Ref401667538"/>
      <w:r w:rsidRPr="0001428B">
        <w:lastRenderedPageBreak/>
        <w:t xml:space="preserve">Figure </w:t>
      </w:r>
      <w:r w:rsidR="00864D56">
        <w:fldChar w:fldCharType="begin"/>
      </w:r>
      <w:r w:rsidR="00864D56">
        <w:instrText xml:space="preserve"> STYLEREF 1 \s </w:instrText>
      </w:r>
      <w:r w:rsidR="00864D56">
        <w:fldChar w:fldCharType="separate"/>
      </w:r>
      <w:r w:rsidR="00C71301">
        <w:rPr>
          <w:noProof/>
        </w:rPr>
        <w:t>7</w:t>
      </w:r>
      <w:r w:rsidR="00864D56">
        <w:rPr>
          <w:noProof/>
        </w:rPr>
        <w:fldChar w:fldCharType="end"/>
      </w:r>
      <w:r w:rsidR="00B75C12">
        <w:noBreakHyphen/>
      </w:r>
      <w:r w:rsidR="00864D56">
        <w:fldChar w:fldCharType="begin"/>
      </w:r>
      <w:r w:rsidR="00864D56">
        <w:instrText xml:space="preserve"> SEQ Figure \* ARABIC \s 1 </w:instrText>
      </w:r>
      <w:r w:rsidR="00864D56">
        <w:fldChar w:fldCharType="separate"/>
      </w:r>
      <w:r w:rsidR="00C71301">
        <w:rPr>
          <w:noProof/>
        </w:rPr>
        <w:t>1</w:t>
      </w:r>
      <w:r w:rsidR="00864D56">
        <w:rPr>
          <w:noProof/>
        </w:rPr>
        <w:fldChar w:fldCharType="end"/>
      </w:r>
      <w:bookmarkEnd w:id="30"/>
      <w:r w:rsidRPr="00B660F0">
        <w:rPr>
          <w:rStyle w:val="AERtextbold"/>
        </w:rPr>
        <w:tab/>
      </w:r>
      <w:r w:rsidRPr="0001634F">
        <w:rPr>
          <w:rStyle w:val="AERtextbold"/>
          <w:b/>
        </w:rPr>
        <w:t xml:space="preserve">AER's draft decision and </w:t>
      </w:r>
      <w:r>
        <w:t>TransGrid's</w:t>
      </w:r>
      <w:r w:rsidRPr="0001634F">
        <w:rPr>
          <w:rStyle w:val="AERtextbold"/>
          <w:b/>
        </w:rPr>
        <w:t xml:space="preserve"> proposed annual building block costs ($ million, 2013–14)</w:t>
      </w:r>
    </w:p>
    <w:p w:rsidR="008349B4" w:rsidRPr="0019062A" w:rsidRDefault="0019062A" w:rsidP="0019062A">
      <w:pPr>
        <w:pStyle w:val="AERbodytext"/>
      </w:pPr>
      <w:r w:rsidRPr="0019062A">
        <w:rPr>
          <w:noProof/>
          <w:lang w:eastAsia="en-AU"/>
        </w:rPr>
        <w:drawing>
          <wp:inline distT="0" distB="0" distL="0" distR="0" wp14:anchorId="683ADBD6" wp14:editId="351093E8">
            <wp:extent cx="5382895" cy="3950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2895" cy="3950970"/>
                    </a:xfrm>
                    <a:prstGeom prst="rect">
                      <a:avLst/>
                    </a:prstGeom>
                    <a:noFill/>
                    <a:ln>
                      <a:noFill/>
                    </a:ln>
                  </pic:spPr>
                </pic:pic>
              </a:graphicData>
            </a:graphic>
          </wp:inline>
        </w:drawing>
      </w:r>
    </w:p>
    <w:p w:rsidR="0019062A" w:rsidRDefault="0019062A" w:rsidP="0019062A">
      <w:pPr>
        <w:pStyle w:val="AERtablesource"/>
      </w:pPr>
      <w:r>
        <w:t xml:space="preserve">Source: </w:t>
      </w:r>
      <w:r>
        <w:tab/>
        <w:t>AER analysis.</w:t>
      </w:r>
    </w:p>
    <w:p w:rsidR="008349B4" w:rsidRDefault="008349B4" w:rsidP="008349B4">
      <w:pPr>
        <w:pStyle w:val="AERbodytext"/>
      </w:pPr>
      <w:r>
        <w:fldChar w:fldCharType="begin"/>
      </w:r>
      <w:r>
        <w:instrText xml:space="preserve"> REF _Ref401667547 \h </w:instrText>
      </w:r>
      <w:r>
        <w:fldChar w:fldCharType="separate"/>
      </w:r>
      <w:r w:rsidR="00C71301" w:rsidRPr="0001428B">
        <w:t xml:space="preserve">Figure </w:t>
      </w:r>
      <w:r w:rsidR="00C71301">
        <w:rPr>
          <w:noProof/>
        </w:rPr>
        <w:t>7</w:t>
      </w:r>
      <w:r w:rsidR="00C71301">
        <w:noBreakHyphen/>
      </w:r>
      <w:r w:rsidR="00C71301">
        <w:rPr>
          <w:noProof/>
        </w:rPr>
        <w:t>2</w:t>
      </w:r>
      <w:r>
        <w:fldChar w:fldCharType="end"/>
      </w:r>
      <w:r>
        <w:t xml:space="preserve"> shows the size of the changes in the building block costs from our draft decision and how these impact on revenues on average. The </w:t>
      </w:r>
      <w:r w:rsidR="0052714F">
        <w:t xml:space="preserve">allowed </w:t>
      </w:r>
      <w:r>
        <w:t>revenue for 2013–14 is used as a base from which the impact of the changes can be shown.</w:t>
      </w:r>
      <w:r w:rsidR="001E4325">
        <w:rPr>
          <w:rStyle w:val="FootnoteReference"/>
        </w:rPr>
        <w:footnoteReference w:id="62"/>
      </w:r>
      <w:r>
        <w:t xml:space="preserve"> For example, the most significant change is to the </w:t>
      </w:r>
      <w:r w:rsidR="001E4325">
        <w:t>return on capital</w:t>
      </w:r>
      <w:r>
        <w:t xml:space="preserve"> allowance</w:t>
      </w:r>
      <w:r w:rsidR="001E029E">
        <w:t>,</w:t>
      </w:r>
      <w:r>
        <w:t xml:space="preserve"> </w:t>
      </w:r>
      <w:r w:rsidR="001E029E">
        <w:t>which</w:t>
      </w:r>
      <w:r>
        <w:t xml:space="preserve"> reduces the annual </w:t>
      </w:r>
      <w:r w:rsidR="00D015C0">
        <w:t xml:space="preserve">building block </w:t>
      </w:r>
      <w:r>
        <w:t>revenue requirement on average by about $</w:t>
      </w:r>
      <w:r w:rsidR="001E4325">
        <w:t>175.9</w:t>
      </w:r>
      <w:r>
        <w:t xml:space="preserve"> million. </w:t>
      </w:r>
    </w:p>
    <w:p w:rsidR="008349B4" w:rsidRPr="00B660F0" w:rsidRDefault="008349B4" w:rsidP="00F71AB5">
      <w:pPr>
        <w:pStyle w:val="Caption"/>
        <w:rPr>
          <w:rStyle w:val="AERtextbold"/>
        </w:rPr>
      </w:pPr>
      <w:bookmarkStart w:id="31" w:name="_Ref401667547"/>
      <w:r w:rsidRPr="0001428B">
        <w:lastRenderedPageBreak/>
        <w:t xml:space="preserve">Figure </w:t>
      </w:r>
      <w:r w:rsidR="00864D56">
        <w:fldChar w:fldCharType="begin"/>
      </w:r>
      <w:r w:rsidR="00864D56">
        <w:instrText xml:space="preserve"> STYLEREF 1 \s </w:instrText>
      </w:r>
      <w:r w:rsidR="00864D56">
        <w:fldChar w:fldCharType="separate"/>
      </w:r>
      <w:r w:rsidR="00C71301">
        <w:rPr>
          <w:noProof/>
        </w:rPr>
        <w:t>7</w:t>
      </w:r>
      <w:r w:rsidR="00864D56">
        <w:rPr>
          <w:noProof/>
        </w:rPr>
        <w:fldChar w:fldCharType="end"/>
      </w:r>
      <w:r w:rsidR="00B75C12">
        <w:noBreakHyphen/>
      </w:r>
      <w:r w:rsidR="00864D56">
        <w:fldChar w:fldCharType="begin"/>
      </w:r>
      <w:r w:rsidR="00864D56">
        <w:instrText xml:space="preserve"> SEQ Figure \* ARABIC \s 1 </w:instrText>
      </w:r>
      <w:r w:rsidR="00864D56">
        <w:fldChar w:fldCharType="separate"/>
      </w:r>
      <w:r w:rsidR="00C71301">
        <w:rPr>
          <w:noProof/>
        </w:rPr>
        <w:t>2</w:t>
      </w:r>
      <w:r w:rsidR="00864D56">
        <w:rPr>
          <w:noProof/>
        </w:rPr>
        <w:fldChar w:fldCharType="end"/>
      </w:r>
      <w:bookmarkEnd w:id="31"/>
      <w:r w:rsidRPr="0001428B">
        <w:tab/>
      </w:r>
      <w:r w:rsidRPr="00F71AB5">
        <w:rPr>
          <w:rStyle w:val="AERtextbold"/>
          <w:b/>
        </w:rPr>
        <w:t>AER</w:t>
      </w:r>
      <w:r w:rsidR="00D015C0" w:rsidRPr="00F71AB5">
        <w:rPr>
          <w:rStyle w:val="AERtextbold"/>
          <w:b/>
        </w:rPr>
        <w:t>'s</w:t>
      </w:r>
      <w:r w:rsidRPr="00F71AB5">
        <w:rPr>
          <w:rStyle w:val="AERtextbold"/>
          <w:b/>
        </w:rPr>
        <w:t xml:space="preserve"> draft decision on building block costs</w:t>
      </w:r>
      <w:r w:rsidR="00F71AB5" w:rsidRPr="00F71DA2">
        <w:rPr>
          <w:rStyle w:val="AERtextbold"/>
          <w:b/>
        </w:rPr>
        <w:t xml:space="preserve"> ($ million, 2013</w:t>
      </w:r>
      <w:r w:rsidR="00F71AB5" w:rsidRPr="004E188C">
        <w:rPr>
          <w:rStyle w:val="AERtextbold"/>
          <w:rFonts w:hint="eastAsia"/>
          <w:b/>
        </w:rPr>
        <w:t>–</w:t>
      </w:r>
      <w:r w:rsidR="00F71AB5" w:rsidRPr="004E188C">
        <w:rPr>
          <w:rStyle w:val="AERtextbold"/>
          <w:b/>
        </w:rPr>
        <w:t>14)</w:t>
      </w:r>
    </w:p>
    <w:p w:rsidR="008349B4" w:rsidRDefault="00A27950" w:rsidP="008349B4">
      <w:pPr>
        <w:pStyle w:val="AERbodytext"/>
      </w:pPr>
      <w:r>
        <w:rPr>
          <w:noProof/>
          <w:lang w:eastAsia="en-AU"/>
        </w:rPr>
        <w:drawing>
          <wp:inline distT="0" distB="0" distL="0" distR="0" wp14:anchorId="58070C16" wp14:editId="21679BE9">
            <wp:extent cx="5401310" cy="3243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3243580"/>
                    </a:xfrm>
                    <a:prstGeom prst="rect">
                      <a:avLst/>
                    </a:prstGeom>
                    <a:noFill/>
                  </pic:spPr>
                </pic:pic>
              </a:graphicData>
            </a:graphic>
          </wp:inline>
        </w:drawing>
      </w:r>
    </w:p>
    <w:p w:rsidR="007D7247" w:rsidRDefault="008349B4" w:rsidP="008349B4">
      <w:pPr>
        <w:pStyle w:val="AERtablesource"/>
      </w:pPr>
      <w:r w:rsidRPr="00A81B80">
        <w:t>Source:</w:t>
      </w:r>
      <w:r w:rsidRPr="00A81B80">
        <w:tab/>
        <w:t>AER analysis</w:t>
      </w:r>
      <w:r>
        <w:t>.</w:t>
      </w:r>
      <w:r w:rsidR="00D107C5">
        <w:t xml:space="preserve"> </w:t>
      </w:r>
    </w:p>
    <w:p w:rsidR="008349B4" w:rsidRDefault="007D7247" w:rsidP="008349B4">
      <w:pPr>
        <w:pStyle w:val="AERtablesource"/>
      </w:pPr>
      <w:r>
        <w:t>Notes:</w:t>
      </w:r>
      <w:r>
        <w:tab/>
      </w:r>
      <w:r w:rsidR="0052714F">
        <w:t>'Allowed 2013-14' is the smoothed revenue approved by the AER for th</w:t>
      </w:r>
      <w:r w:rsidR="00B3652D">
        <w:t>at</w:t>
      </w:r>
      <w:r w:rsidR="0052714F">
        <w:t xml:space="preserve"> year. In order to calculate building block changes, this figure is notionally divided in the same proportion as allowed building block revenue over the 2009–14</w:t>
      </w:r>
      <w:r w:rsidR="00B3652D">
        <w:t xml:space="preserve"> regulatory control</w:t>
      </w:r>
      <w:r w:rsidR="0052714F">
        <w:t xml:space="preserve"> period. </w:t>
      </w:r>
      <w:r w:rsidR="00B3652D">
        <w:t xml:space="preserve">As discussed below </w:t>
      </w:r>
      <w:r w:rsidR="0052714F">
        <w:t>TransGrid's actual revenue</w:t>
      </w:r>
      <w:r w:rsidR="00B3652D">
        <w:t xml:space="preserve"> target</w:t>
      </w:r>
      <w:r w:rsidR="0052714F">
        <w:t xml:space="preserve"> in 2013–14 </w:t>
      </w:r>
      <w:r w:rsidR="00B3652D">
        <w:t>is</w:t>
      </w:r>
      <w:r w:rsidR="0052714F">
        <w:t xml:space="preserve"> below the approved revenue.</w:t>
      </w:r>
    </w:p>
    <w:p w:rsidR="008349B4" w:rsidRPr="00ED755A" w:rsidRDefault="008349B4" w:rsidP="008349B4">
      <w:pPr>
        <w:pStyle w:val="AERbodytext"/>
      </w:pPr>
      <w:r>
        <w:fldChar w:fldCharType="begin"/>
      </w:r>
      <w:r>
        <w:instrText xml:space="preserve"> REF _Ref401667493 \h </w:instrText>
      </w:r>
      <w:r>
        <w:fldChar w:fldCharType="separate"/>
      </w:r>
      <w:r w:rsidR="00C71301">
        <w:t xml:space="preserve">Figure </w:t>
      </w:r>
      <w:r w:rsidR="00C71301">
        <w:rPr>
          <w:noProof/>
        </w:rPr>
        <w:t>7</w:t>
      </w:r>
      <w:r w:rsidR="00C71301">
        <w:noBreakHyphen/>
      </w:r>
      <w:r w:rsidR="00C71301">
        <w:rPr>
          <w:noProof/>
        </w:rPr>
        <w:t>3</w:t>
      </w:r>
      <w:r>
        <w:fldChar w:fldCharType="end"/>
      </w:r>
      <w:r>
        <w:t xml:space="preserve"> compares our draft decision on </w:t>
      </w:r>
      <w:r w:rsidR="00202087">
        <w:t>T</w:t>
      </w:r>
      <w:r w:rsidR="00FA0979">
        <w:t>ra</w:t>
      </w:r>
      <w:r w:rsidR="00202087">
        <w:t>n</w:t>
      </w:r>
      <w:r w:rsidR="00FA0979">
        <w:t>s</w:t>
      </w:r>
      <w:r w:rsidR="00202087">
        <w:t>Grid's</w:t>
      </w:r>
      <w:r>
        <w:t xml:space="preserve"> expected </w:t>
      </w:r>
      <w:r w:rsidR="00202087">
        <w:t>maximum allowed revenues (MARs)</w:t>
      </w:r>
      <w:r>
        <w:t xml:space="preserve"> </w:t>
      </w:r>
      <w:r w:rsidRPr="00ED755A">
        <w:t xml:space="preserve">with </w:t>
      </w:r>
      <w:r w:rsidR="00202087">
        <w:t>TransGrid's</w:t>
      </w:r>
      <w:r w:rsidRPr="00ED755A">
        <w:t xml:space="preserve"> propos</w:t>
      </w:r>
      <w:r w:rsidR="00B92CE0">
        <w:t>al</w:t>
      </w:r>
      <w:r>
        <w:t xml:space="preserve"> (adjusted to reflect the transitional placeholder decision) </w:t>
      </w:r>
      <w:r w:rsidRPr="00ED755A">
        <w:t xml:space="preserve">for </w:t>
      </w:r>
      <w:r w:rsidR="00B92CE0">
        <w:t xml:space="preserve">the </w:t>
      </w:r>
      <w:r w:rsidR="003C6491">
        <w:t>2014</w:t>
      </w:r>
      <w:r w:rsidR="003C6491">
        <w:rPr>
          <w:rFonts w:cs="Gautami"/>
        </w:rPr>
        <w:t>–</w:t>
      </w:r>
      <w:r w:rsidR="00B92CE0">
        <w:t>19 period</w:t>
      </w:r>
      <w:r>
        <w:t xml:space="preserve">. </w:t>
      </w:r>
      <w:r w:rsidR="003827BB">
        <w:t>In this figure, t</w:t>
      </w:r>
      <w:r>
        <w:t>he two lines both start from the transitional placeholder decision</w:t>
      </w:r>
      <w:r w:rsidR="00B92CE0">
        <w:t>. This placeholder revenue was used as the b</w:t>
      </w:r>
      <w:r w:rsidR="003C6491">
        <w:t>asis from which prices for 2014</w:t>
      </w:r>
      <w:r w:rsidR="003C6491">
        <w:rPr>
          <w:rFonts w:cs="Gautami"/>
        </w:rPr>
        <w:t>–</w:t>
      </w:r>
      <w:r w:rsidR="00B92CE0">
        <w:t>15</w:t>
      </w:r>
      <w:r>
        <w:t xml:space="preserve"> were determined. Because </w:t>
      </w:r>
      <w:r w:rsidR="00202087">
        <w:t>TransGrid did</w:t>
      </w:r>
      <w:r>
        <w:t xml:space="preserve"> not account for the placeholder decision in its proposal, there would be an increase in revenues between 2014–15 and 2015–16 to get back to </w:t>
      </w:r>
      <w:r w:rsidR="00202087">
        <w:t>TransGrid's</w:t>
      </w:r>
      <w:r>
        <w:t xml:space="preserve"> proposed trend. </w:t>
      </w:r>
    </w:p>
    <w:p w:rsidR="008349B4" w:rsidRPr="00B660F0" w:rsidRDefault="008349B4" w:rsidP="00202087">
      <w:pPr>
        <w:pStyle w:val="Caption"/>
        <w:rPr>
          <w:rStyle w:val="AERtextbold"/>
        </w:rPr>
      </w:pPr>
      <w:bookmarkStart w:id="32" w:name="_Ref401667493"/>
      <w:r>
        <w:lastRenderedPageBreak/>
        <w:t xml:space="preserve">Figure </w:t>
      </w:r>
      <w:r w:rsidR="00864D56">
        <w:fldChar w:fldCharType="begin"/>
      </w:r>
      <w:r w:rsidR="00864D56">
        <w:instrText xml:space="preserve"> STYLEREF 1 \s </w:instrText>
      </w:r>
      <w:r w:rsidR="00864D56">
        <w:fldChar w:fldCharType="separate"/>
      </w:r>
      <w:r w:rsidR="00C71301">
        <w:rPr>
          <w:noProof/>
        </w:rPr>
        <w:t>7</w:t>
      </w:r>
      <w:r w:rsidR="00864D56">
        <w:rPr>
          <w:noProof/>
        </w:rPr>
        <w:fldChar w:fldCharType="end"/>
      </w:r>
      <w:r w:rsidR="00B75C12">
        <w:noBreakHyphen/>
      </w:r>
      <w:r w:rsidR="00864D56">
        <w:fldChar w:fldCharType="begin"/>
      </w:r>
      <w:r w:rsidR="00864D56">
        <w:instrText xml:space="preserve"> SEQ Figure \* ARABIC \s 1 </w:instrText>
      </w:r>
      <w:r w:rsidR="00864D56">
        <w:fldChar w:fldCharType="separate"/>
      </w:r>
      <w:r w:rsidR="00C71301">
        <w:rPr>
          <w:noProof/>
        </w:rPr>
        <w:t>3</w:t>
      </w:r>
      <w:r w:rsidR="00864D56">
        <w:rPr>
          <w:noProof/>
        </w:rPr>
        <w:fldChar w:fldCharType="end"/>
      </w:r>
      <w:bookmarkEnd w:id="32"/>
      <w:r w:rsidRPr="00B660F0">
        <w:rPr>
          <w:rStyle w:val="AERtextbold"/>
        </w:rPr>
        <w:tab/>
      </w:r>
      <w:r w:rsidRPr="0001634F">
        <w:rPr>
          <w:rStyle w:val="AERtextbold"/>
          <w:b/>
        </w:rPr>
        <w:t xml:space="preserve">AER's draft decision on </w:t>
      </w:r>
      <w:r w:rsidR="00202087" w:rsidRPr="0001634F">
        <w:rPr>
          <w:rStyle w:val="AERtextbold"/>
          <w:b/>
        </w:rPr>
        <w:t>MAR</w:t>
      </w:r>
      <w:r w:rsidRPr="0001634F">
        <w:rPr>
          <w:rStyle w:val="AERtextbold"/>
          <w:b/>
        </w:rPr>
        <w:t xml:space="preserve"> compared with </w:t>
      </w:r>
      <w:r w:rsidR="00202087" w:rsidRPr="0001634F">
        <w:rPr>
          <w:rStyle w:val="AERtextbold"/>
          <w:b/>
        </w:rPr>
        <w:t>TransGrid's</w:t>
      </w:r>
      <w:r w:rsidRPr="0001634F">
        <w:rPr>
          <w:rStyle w:val="AERtextbold"/>
          <w:b/>
        </w:rPr>
        <w:t xml:space="preserve"> proposed (adjusted) </w:t>
      </w:r>
      <w:r w:rsidR="00202087" w:rsidRPr="0001634F">
        <w:rPr>
          <w:rStyle w:val="AERtextbold"/>
          <w:b/>
        </w:rPr>
        <w:t>MAR</w:t>
      </w:r>
      <w:r w:rsidRPr="00667784">
        <w:rPr>
          <w:rStyle w:val="AERtextbold"/>
          <w:b/>
        </w:rPr>
        <w:t xml:space="preserve"> for 2014</w:t>
      </w:r>
      <w:r w:rsidRPr="00667784">
        <w:rPr>
          <w:rStyle w:val="AERtextbold"/>
          <w:rFonts w:hint="eastAsia"/>
          <w:b/>
        </w:rPr>
        <w:t>–</w:t>
      </w:r>
      <w:r w:rsidRPr="00667784">
        <w:rPr>
          <w:rStyle w:val="AERtextbold"/>
          <w:b/>
        </w:rPr>
        <w:t>1</w:t>
      </w:r>
      <w:r w:rsidR="00202087" w:rsidRPr="005017D3">
        <w:rPr>
          <w:rStyle w:val="AERtextbold"/>
          <w:b/>
        </w:rPr>
        <w:t>8</w:t>
      </w:r>
      <w:r w:rsidRPr="00EA0540">
        <w:rPr>
          <w:rStyle w:val="AERtextbold"/>
          <w:b/>
        </w:rPr>
        <w:t xml:space="preserve"> ($ million, nominal)</w:t>
      </w:r>
    </w:p>
    <w:p w:rsidR="008349B4" w:rsidRPr="00EE5F0C" w:rsidRDefault="00C401E4" w:rsidP="008349B4">
      <w:pPr>
        <w:pStyle w:val="AERtablesource"/>
      </w:pPr>
      <w:r w:rsidRPr="00C401E4">
        <w:rPr>
          <w:noProof/>
          <w:lang w:eastAsia="en-AU"/>
        </w:rPr>
        <w:drawing>
          <wp:inline distT="0" distB="0" distL="0" distR="0" wp14:anchorId="1ED4ED0C" wp14:editId="6996B010">
            <wp:extent cx="5362575" cy="331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2575" cy="3314700"/>
                    </a:xfrm>
                    <a:prstGeom prst="rect">
                      <a:avLst/>
                    </a:prstGeom>
                    <a:noFill/>
                    <a:ln>
                      <a:noFill/>
                    </a:ln>
                  </pic:spPr>
                </pic:pic>
              </a:graphicData>
            </a:graphic>
          </wp:inline>
        </w:drawing>
      </w:r>
      <w:r w:rsidR="008349B4" w:rsidRPr="00086A6C">
        <w:rPr>
          <w:rStyle w:val="AERtextitalic"/>
        </w:rPr>
        <w:t xml:space="preserve"> </w:t>
      </w:r>
    </w:p>
    <w:p w:rsidR="008349B4" w:rsidRPr="00EE5F0C" w:rsidRDefault="008349B4" w:rsidP="008349B4">
      <w:pPr>
        <w:pStyle w:val="AERtablesource"/>
      </w:pPr>
      <w:r w:rsidRPr="00EE5F0C">
        <w:t>Source:</w:t>
      </w:r>
      <w:r>
        <w:tab/>
      </w:r>
      <w:r w:rsidRPr="00EE5F0C">
        <w:t>AER analysis</w:t>
      </w:r>
      <w:r>
        <w:t>.</w:t>
      </w:r>
    </w:p>
    <w:p w:rsidR="008349B4" w:rsidRPr="0071444A" w:rsidRDefault="008349B4" w:rsidP="003A75A9">
      <w:pPr>
        <w:pStyle w:val="AERbodytext"/>
        <w:rPr>
          <w:rStyle w:val="AERbody"/>
          <w:i/>
        </w:rPr>
      </w:pPr>
      <w:r>
        <w:rPr>
          <w:rStyle w:val="AERbody"/>
        </w:rPr>
        <w:t xml:space="preserve">The smoothing we conducted to determine the </w:t>
      </w:r>
      <w:r w:rsidR="00202087">
        <w:rPr>
          <w:rStyle w:val="AERbody"/>
        </w:rPr>
        <w:t>MAR</w:t>
      </w:r>
      <w:r>
        <w:rPr>
          <w:rStyle w:val="AERbody"/>
        </w:rPr>
        <w:t xml:space="preserve"> for each year also achieves the NER requirement for a true-up in relation to the transitional year of 2014–15. The placeholder revenue from the transitional decision for 2014–15 is used as a base from which the smoothing occurs. This means the </w:t>
      </w:r>
      <w:r w:rsidR="00202087">
        <w:rPr>
          <w:rStyle w:val="AERbody"/>
        </w:rPr>
        <w:t>MAR</w:t>
      </w:r>
      <w:r>
        <w:rPr>
          <w:rStyle w:val="AERbody"/>
        </w:rPr>
        <w:t xml:space="preserve"> for 2014–15 matches what was targeted for pricing purposes for that year. The smoothing process requires us to equate the smoothed and unsmoothed revenues over the entire 2014–1</w:t>
      </w:r>
      <w:r w:rsidR="00202087">
        <w:rPr>
          <w:rStyle w:val="AERbody"/>
        </w:rPr>
        <w:t>8</w:t>
      </w:r>
      <w:r>
        <w:rPr>
          <w:rStyle w:val="AERbody"/>
        </w:rPr>
        <w:t xml:space="preserve"> period in net present value terms. Any difference between the annual </w:t>
      </w:r>
      <w:r w:rsidR="00202087">
        <w:rPr>
          <w:rStyle w:val="AERbody"/>
        </w:rPr>
        <w:t xml:space="preserve">building block </w:t>
      </w:r>
      <w:r>
        <w:rPr>
          <w:rStyle w:val="AERbody"/>
        </w:rPr>
        <w:t xml:space="preserve">revenue requirement for 2014–15 now determined by us in this decision and the placeholder amount is trued-up through this smoothing process. The difference is being effectively spread over the remaining </w:t>
      </w:r>
      <w:r w:rsidR="00202087">
        <w:rPr>
          <w:rStyle w:val="AERbody"/>
        </w:rPr>
        <w:t>three</w:t>
      </w:r>
      <w:r>
        <w:rPr>
          <w:rStyle w:val="AERbody"/>
        </w:rPr>
        <w:t xml:space="preserve"> years of the 2014–1</w:t>
      </w:r>
      <w:r w:rsidR="00202087">
        <w:rPr>
          <w:rStyle w:val="AERbody"/>
        </w:rPr>
        <w:t>8</w:t>
      </w:r>
      <w:r>
        <w:rPr>
          <w:rStyle w:val="AERbody"/>
        </w:rPr>
        <w:t xml:space="preserve"> period. </w:t>
      </w:r>
      <w:r w:rsidRPr="003A75A9">
        <w:rPr>
          <w:rStyle w:val="AERbody"/>
        </w:rPr>
        <w:t xml:space="preserve">Attachment </w:t>
      </w:r>
      <w:r w:rsidR="001E029E" w:rsidRPr="003A75A9">
        <w:rPr>
          <w:rStyle w:val="AERtexthighlight"/>
          <w:shd w:val="clear" w:color="auto" w:fill="auto"/>
        </w:rPr>
        <w:t>1</w:t>
      </w:r>
      <w:r w:rsidR="001E029E" w:rsidRPr="003A75A9">
        <w:rPr>
          <w:rStyle w:val="AERbody"/>
        </w:rPr>
        <w:t xml:space="preserve"> </w:t>
      </w:r>
      <w:r w:rsidRPr="003A75A9">
        <w:rPr>
          <w:rStyle w:val="AERbody"/>
        </w:rPr>
        <w:t>explains</w:t>
      </w:r>
      <w:r>
        <w:rPr>
          <w:rStyle w:val="AERbody"/>
        </w:rPr>
        <w:t xml:space="preserve"> the smoothing process further.</w:t>
      </w:r>
    </w:p>
    <w:p w:rsidR="0071444A" w:rsidRPr="0071444A" w:rsidRDefault="0071444A" w:rsidP="004B4F91">
      <w:pPr>
        <w:pStyle w:val="AERbodytext"/>
        <w:rPr>
          <w:rStyle w:val="AERtextitalic"/>
          <w:i w:val="0"/>
        </w:rPr>
      </w:pPr>
      <w:r w:rsidRPr="0071444A">
        <w:rPr>
          <w:rStyle w:val="AERtextitalic"/>
          <w:i w:val="0"/>
        </w:rPr>
        <w:t>We note that TransGrid has under-recover</w:t>
      </w:r>
      <w:r w:rsidR="00E07DB6">
        <w:rPr>
          <w:rStyle w:val="AERtextitalic"/>
          <w:i w:val="0"/>
        </w:rPr>
        <w:t>ed</w:t>
      </w:r>
      <w:r w:rsidRPr="0071444A">
        <w:rPr>
          <w:rStyle w:val="AERtextitalic"/>
          <w:i w:val="0"/>
        </w:rPr>
        <w:t xml:space="preserve"> $71 million in its allowed MAR for 2013–14. We understand that this under-recovery has arisen as a result of TransGrid's decision to adopt a 'revenue freeze' in 2013–14. We have no role in considering the regulatory treatment of this under-</w:t>
      </w:r>
      <w:r w:rsidRPr="004B4F91">
        <w:rPr>
          <w:rStyle w:val="AERtextitalic"/>
          <w:i w:val="0"/>
        </w:rPr>
        <w:t>recovery</w:t>
      </w:r>
      <w:r w:rsidR="00BE04D3" w:rsidRPr="004B4F91">
        <w:rPr>
          <w:rStyle w:val="AERtextitalic"/>
          <w:i w:val="0"/>
        </w:rPr>
        <w:t xml:space="preserve"> in this decision</w:t>
      </w:r>
      <w:r w:rsidRPr="004B4F91">
        <w:rPr>
          <w:rStyle w:val="AERtextitalic"/>
          <w:i w:val="0"/>
        </w:rPr>
        <w:t xml:space="preserve">. TransGrid is able to recover </w:t>
      </w:r>
      <w:r w:rsidR="00E07DB6">
        <w:rPr>
          <w:rStyle w:val="AERtextitalic"/>
          <w:i w:val="0"/>
        </w:rPr>
        <w:t>any shortfall</w:t>
      </w:r>
      <w:r w:rsidRPr="004B4F91">
        <w:rPr>
          <w:rStyle w:val="AERtextitalic"/>
          <w:i w:val="0"/>
        </w:rPr>
        <w:t xml:space="preserve"> in revenue that is below the</w:t>
      </w:r>
      <w:r w:rsidRPr="0071444A">
        <w:rPr>
          <w:rStyle w:val="AERtextitalic"/>
          <w:i w:val="0"/>
        </w:rPr>
        <w:t xml:space="preserve"> approved MAR</w:t>
      </w:r>
      <w:r w:rsidR="00E07DB6" w:rsidRPr="00E07DB6">
        <w:rPr>
          <w:rStyle w:val="AERtextitalic"/>
          <w:i w:val="0"/>
        </w:rPr>
        <w:t xml:space="preserve"> </w:t>
      </w:r>
      <w:r w:rsidR="00E07DB6" w:rsidRPr="004B4F91">
        <w:rPr>
          <w:rStyle w:val="AERtextitalic"/>
          <w:i w:val="0"/>
        </w:rPr>
        <w:t>in future years</w:t>
      </w:r>
      <w:r w:rsidRPr="0071444A">
        <w:rPr>
          <w:rStyle w:val="AERtextitalic"/>
          <w:i w:val="0"/>
        </w:rPr>
        <w:t xml:space="preserve">. Any decision by TransGrid to recover this revenue would affect transmission prices for its customers independently of the AER's determination for the 2014–18 period. </w:t>
      </w:r>
    </w:p>
    <w:p w:rsidR="003B0D45" w:rsidRDefault="003B0D45" w:rsidP="00E14922">
      <w:pPr>
        <w:pStyle w:val="Heading2"/>
      </w:pPr>
      <w:bookmarkStart w:id="33" w:name="_Toc404437613"/>
      <w:r w:rsidRPr="00EA44D5">
        <w:t>Indicative</w:t>
      </w:r>
      <w:r w:rsidRPr="000C0425">
        <w:t xml:space="preserve"> </w:t>
      </w:r>
      <w:r w:rsidRPr="00E14922">
        <w:t>impact</w:t>
      </w:r>
      <w:r w:rsidRPr="000C0425">
        <w:t xml:space="preserve"> o</w:t>
      </w:r>
      <w:r w:rsidR="00B65644">
        <w:t>f</w:t>
      </w:r>
      <w:r w:rsidRPr="000C0425">
        <w:t xml:space="preserve"> </w:t>
      </w:r>
      <w:r w:rsidR="00613A48">
        <w:t>transmission</w:t>
      </w:r>
      <w:r w:rsidRPr="000C0425">
        <w:t xml:space="preserve"> charges </w:t>
      </w:r>
      <w:r w:rsidR="00B65644">
        <w:t xml:space="preserve">on </w:t>
      </w:r>
      <w:r w:rsidRPr="000C0425">
        <w:t xml:space="preserve">electricity bills in </w:t>
      </w:r>
      <w:r w:rsidR="00202087">
        <w:t xml:space="preserve">NSW and </w:t>
      </w:r>
      <w:r w:rsidR="004D664D">
        <w:t xml:space="preserve">the </w:t>
      </w:r>
      <w:r w:rsidR="00202087">
        <w:t>ACT</w:t>
      </w:r>
      <w:bookmarkEnd w:id="33"/>
    </w:p>
    <w:p w:rsidR="00125A56" w:rsidRDefault="00125A56" w:rsidP="00125A56">
      <w:pPr>
        <w:pStyle w:val="AERbodytext"/>
      </w:pPr>
      <w:r>
        <w:t xml:space="preserve">Our draft decision on TransGrid's expected MAR ultimately affects the </w:t>
      </w:r>
      <w:r w:rsidR="004D664D">
        <w:t xml:space="preserve">annual electricity bills paid by </w:t>
      </w:r>
      <w:r>
        <w:t>consumers. However, TransGrid's expected MAR do</w:t>
      </w:r>
      <w:r w:rsidR="004554DD">
        <w:t>es</w:t>
      </w:r>
      <w:r>
        <w:t xml:space="preserve"> not directly translate to </w:t>
      </w:r>
      <w:r w:rsidR="00291A97">
        <w:t xml:space="preserve">bill </w:t>
      </w:r>
      <w:r>
        <w:t xml:space="preserve">impacts for </w:t>
      </w:r>
      <w:r w:rsidR="0043622D">
        <w:t>several</w:t>
      </w:r>
      <w:r>
        <w:t xml:space="preserve"> reasons. First, because TransGrid operates under a revenue cap, changes in the consumption of electricity will affect the </w:t>
      </w:r>
      <w:r w:rsidR="00291A97">
        <w:t xml:space="preserve">transmission charges </w:t>
      </w:r>
      <w:r>
        <w:t xml:space="preserve">ultimately </w:t>
      </w:r>
      <w:r w:rsidR="00291A97">
        <w:t xml:space="preserve">paid by </w:t>
      </w:r>
      <w:r>
        <w:t xml:space="preserve">consumers. Second, although TransGrid is the main transmission network service provider in NSW and the ACT, smaller components of the transmission network are operated by Ausgrid, ActewAGL and Directlink. The transmission charges for this entire region will reflect the joint effect of our decisions for all these </w:t>
      </w:r>
      <w:r>
        <w:lastRenderedPageBreak/>
        <w:t>businesses.</w:t>
      </w:r>
      <w:r w:rsidR="0043622D">
        <w:t xml:space="preserve"> Finally, transmission </w:t>
      </w:r>
      <w:r w:rsidR="00EC6E36">
        <w:t>charges are just one component of a customer's total annual electricity bill.</w:t>
      </w:r>
    </w:p>
    <w:p w:rsidR="004D664D" w:rsidRDefault="003542C9">
      <w:pPr>
        <w:pStyle w:val="AERbodytext"/>
      </w:pPr>
      <w:r>
        <w:t>I</w:t>
      </w:r>
      <w:r w:rsidR="00501370">
        <w:t xml:space="preserve">n NSW and the ACT, transmission charges represent approximately 7 per cent of a customer's </w:t>
      </w:r>
      <w:r w:rsidR="00E90BE7">
        <w:t xml:space="preserve">average </w:t>
      </w:r>
      <w:r w:rsidR="00501370">
        <w:t xml:space="preserve">annual electricity </w:t>
      </w:r>
      <w:r w:rsidR="00B65644">
        <w:t>bill</w:t>
      </w:r>
      <w:r w:rsidR="00501370">
        <w:t>.</w:t>
      </w:r>
      <w:r>
        <w:rPr>
          <w:rStyle w:val="FootnoteReference"/>
        </w:rPr>
        <w:footnoteReference w:id="63"/>
      </w:r>
      <w:r>
        <w:t xml:space="preserve"> </w:t>
      </w:r>
      <w:r w:rsidR="004D664D">
        <w:t>We estimate the joint effect of our transmission determinations on the average annual electricity bills for residential and small business customers as follows. We take the total annual transmission network revenues and divide it by AEMO's forecast annual energy delivered in NSW/ACT.</w:t>
      </w:r>
      <w:r w:rsidR="004D664D">
        <w:rPr>
          <w:rStyle w:val="FootnoteReference"/>
        </w:rPr>
        <w:footnoteReference w:id="64"/>
      </w:r>
      <w:r w:rsidR="004D664D">
        <w:t xml:space="preserve"> We assume </w:t>
      </w:r>
      <w:r>
        <w:t xml:space="preserve">other components of the </w:t>
      </w:r>
      <w:r w:rsidR="00EC6E36">
        <w:t xml:space="preserve">electricity bill </w:t>
      </w:r>
      <w:r>
        <w:t xml:space="preserve">(for example distribution, wholesale and retail energy costs) are </w:t>
      </w:r>
      <w:r w:rsidR="005878E6">
        <w:t>held constant</w:t>
      </w:r>
      <w:r w:rsidR="00291A97">
        <w:t>.</w:t>
      </w:r>
    </w:p>
    <w:p w:rsidR="00BB2FBC" w:rsidRDefault="00B65644" w:rsidP="000D12D3">
      <w:pPr>
        <w:pStyle w:val="AERbodytext"/>
      </w:pPr>
      <w:r>
        <w:fldChar w:fldCharType="begin"/>
      </w:r>
      <w:r>
        <w:instrText xml:space="preserve"> REF _Ref402950941 \h </w:instrText>
      </w:r>
      <w:r>
        <w:fldChar w:fldCharType="separate"/>
      </w:r>
      <w:r w:rsidR="00C71301">
        <w:t xml:space="preserve">Table </w:t>
      </w:r>
      <w:r w:rsidR="00C71301">
        <w:rPr>
          <w:noProof/>
        </w:rPr>
        <w:t>7</w:t>
      </w:r>
      <w:r w:rsidR="00C71301">
        <w:noBreakHyphen/>
      </w:r>
      <w:r w:rsidR="00C71301">
        <w:rPr>
          <w:noProof/>
        </w:rPr>
        <w:t>2</w:t>
      </w:r>
      <w:r>
        <w:fldChar w:fldCharType="end"/>
      </w:r>
      <w:r w:rsidR="00BB2FBC">
        <w:t xml:space="preserve"> shows the </w:t>
      </w:r>
      <w:r w:rsidR="005878E6" w:rsidRPr="00C729DC">
        <w:t xml:space="preserve">estimated impact of our draft decision </w:t>
      </w:r>
      <w:r w:rsidR="00E07DB6">
        <w:t xml:space="preserve">on the average residential customer's annual electricity bill in NSW and the ACT </w:t>
      </w:r>
      <w:r w:rsidR="004D664D">
        <w:t xml:space="preserve">over the 2014–18 </w:t>
      </w:r>
      <w:proofErr w:type="gramStart"/>
      <w:r w:rsidR="004D664D">
        <w:t>period</w:t>
      </w:r>
      <w:proofErr w:type="gramEnd"/>
      <w:r w:rsidR="00E07DB6">
        <w:t>,</w:t>
      </w:r>
      <w:r w:rsidR="004D664D">
        <w:t xml:space="preserve"> compared with </w:t>
      </w:r>
      <w:r w:rsidR="00E07DB6">
        <w:t>what was proposed</w:t>
      </w:r>
      <w:r w:rsidR="004D664D">
        <w:t>.</w:t>
      </w:r>
    </w:p>
    <w:p w:rsidR="00BB2FBC" w:rsidRPr="00D15362" w:rsidRDefault="00B65644" w:rsidP="00B65644">
      <w:pPr>
        <w:pStyle w:val="Caption"/>
      </w:pPr>
      <w:bookmarkStart w:id="34" w:name="_Ref402950941"/>
      <w:r>
        <w:t xml:space="preserve">Table </w:t>
      </w:r>
      <w:r w:rsidR="00864D56">
        <w:fldChar w:fldCharType="begin"/>
      </w:r>
      <w:r w:rsidR="00864D56">
        <w:instrText xml:space="preserve"> STYLEREF 1 \s </w:instrText>
      </w:r>
      <w:r w:rsidR="00864D56">
        <w:fldChar w:fldCharType="separate"/>
      </w:r>
      <w:r w:rsidR="00C71301">
        <w:rPr>
          <w:noProof/>
        </w:rPr>
        <w:t>7</w:t>
      </w:r>
      <w:r w:rsidR="00864D56">
        <w:rPr>
          <w:noProof/>
        </w:rPr>
        <w:fldChar w:fldCharType="end"/>
      </w:r>
      <w:r>
        <w:noBreakHyphen/>
      </w:r>
      <w:r w:rsidR="00864D56">
        <w:fldChar w:fldCharType="begin"/>
      </w:r>
      <w:r w:rsidR="00864D56">
        <w:instrText xml:space="preserve"> SEQ Tabl</w:instrText>
      </w:r>
      <w:r w:rsidR="00864D56">
        <w:instrText xml:space="preserve">e \* ARABIC \s 1 </w:instrText>
      </w:r>
      <w:r w:rsidR="00864D56">
        <w:fldChar w:fldCharType="separate"/>
      </w:r>
      <w:r w:rsidR="00C71301">
        <w:rPr>
          <w:noProof/>
        </w:rPr>
        <w:t>2</w:t>
      </w:r>
      <w:r w:rsidR="00864D56">
        <w:rPr>
          <w:noProof/>
        </w:rPr>
        <w:fldChar w:fldCharType="end"/>
      </w:r>
      <w:bookmarkEnd w:id="34"/>
      <w:r w:rsidR="00BB2FBC" w:rsidRPr="00D15362">
        <w:tab/>
        <w:t>AER</w:t>
      </w:r>
      <w:r w:rsidR="005878E6">
        <w:t>'s</w:t>
      </w:r>
      <w:r w:rsidR="00BB2FBC" w:rsidRPr="00D15362">
        <w:t xml:space="preserve"> estimated impact of </w:t>
      </w:r>
      <w:r w:rsidR="00E90BE7">
        <w:t>our</w:t>
      </w:r>
      <w:r w:rsidR="00E90BE7" w:rsidRPr="00D15362">
        <w:t xml:space="preserve"> </w:t>
      </w:r>
      <w:r w:rsidR="00A43B26">
        <w:t xml:space="preserve">transmission </w:t>
      </w:r>
      <w:r w:rsidR="00BB2FBC" w:rsidRPr="00D15362">
        <w:t>draft decision</w:t>
      </w:r>
      <w:r w:rsidR="00E90BE7">
        <w:t>s</w:t>
      </w:r>
      <w:r w:rsidR="00BB2FBC" w:rsidRPr="00D15362">
        <w:t xml:space="preserve"> on the average </w:t>
      </w:r>
      <w:r w:rsidR="00C401E4">
        <w:t>annual</w:t>
      </w:r>
      <w:r w:rsidR="00232BB2">
        <w:t xml:space="preserve"> </w:t>
      </w:r>
      <w:r w:rsidR="00BB2FBC" w:rsidRPr="00D15362">
        <w:t xml:space="preserve">electricity </w:t>
      </w:r>
      <w:r w:rsidR="00C401E4">
        <w:t>bills for residential customers</w:t>
      </w:r>
      <w:r w:rsidR="00BB2FBC" w:rsidRPr="00D15362">
        <w:t xml:space="preserve"> in </w:t>
      </w:r>
      <w:r>
        <w:t xml:space="preserve">NSW and ACT </w:t>
      </w:r>
      <w:r w:rsidR="00BB2FBC" w:rsidRPr="00D15362">
        <w:t>over 2014–1</w:t>
      </w:r>
      <w:r w:rsidR="00613A48">
        <w:t>8</w:t>
      </w:r>
      <w:r w:rsidR="00BB2FBC" w:rsidRPr="00D15362">
        <w:t xml:space="preserve"> ($</w:t>
      </w:r>
      <w:r>
        <w:t> nominal</w:t>
      </w:r>
      <w:r w:rsidR="00BB2FBC" w:rsidRPr="00D15362">
        <w:t>)</w:t>
      </w:r>
    </w:p>
    <w:tbl>
      <w:tblPr>
        <w:tblStyle w:val="AERtable-numbers"/>
        <w:tblW w:w="0" w:type="auto"/>
        <w:tblLayout w:type="fixed"/>
        <w:tblLook w:val="04A0" w:firstRow="1" w:lastRow="0" w:firstColumn="1" w:lastColumn="0" w:noHBand="0" w:noVBand="1"/>
      </w:tblPr>
      <w:tblGrid>
        <w:gridCol w:w="3674"/>
        <w:gridCol w:w="1113"/>
        <w:gridCol w:w="1114"/>
        <w:gridCol w:w="1113"/>
        <w:gridCol w:w="1114"/>
        <w:gridCol w:w="1114"/>
      </w:tblGrid>
      <w:tr w:rsidR="00501370" w:rsidRPr="002B4341" w:rsidTr="00826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rsidR="00501370" w:rsidRPr="00501370" w:rsidRDefault="00501370" w:rsidP="00501370">
            <w:pPr>
              <w:pStyle w:val="AERtabletextleft"/>
            </w:pPr>
          </w:p>
        </w:tc>
        <w:tc>
          <w:tcPr>
            <w:tcW w:w="1113" w:type="dxa"/>
          </w:tcPr>
          <w:p w:rsidR="00501370" w:rsidRPr="00501370" w:rsidRDefault="00501370" w:rsidP="00501370">
            <w:pPr>
              <w:pStyle w:val="AERtabletextright"/>
              <w:cnfStyle w:val="100000000000" w:firstRow="1" w:lastRow="0" w:firstColumn="0" w:lastColumn="0" w:oddVBand="0" w:evenVBand="0" w:oddHBand="0" w:evenHBand="0" w:firstRowFirstColumn="0" w:firstRowLastColumn="0" w:lastRowFirstColumn="0" w:lastRowLastColumn="0"/>
            </w:pPr>
            <w:r>
              <w:t>2013–14</w:t>
            </w:r>
          </w:p>
        </w:tc>
        <w:tc>
          <w:tcPr>
            <w:tcW w:w="1114" w:type="dxa"/>
          </w:tcPr>
          <w:p w:rsidR="00501370" w:rsidRPr="00501370" w:rsidRDefault="00501370" w:rsidP="00501370">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113" w:type="dxa"/>
          </w:tcPr>
          <w:p w:rsidR="00501370" w:rsidRPr="00501370" w:rsidRDefault="00501370" w:rsidP="00501370">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14" w:type="dxa"/>
          </w:tcPr>
          <w:p w:rsidR="00501370" w:rsidRPr="00501370" w:rsidRDefault="00501370" w:rsidP="00501370">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14" w:type="dxa"/>
          </w:tcPr>
          <w:p w:rsidR="00501370" w:rsidRPr="00501370" w:rsidRDefault="00501370" w:rsidP="00501370">
            <w:pPr>
              <w:pStyle w:val="AERtabletextright"/>
              <w:cnfStyle w:val="100000000000" w:firstRow="1" w:lastRow="0" w:firstColumn="0" w:lastColumn="0" w:oddVBand="0" w:evenVBand="0" w:oddHBand="0" w:evenHBand="0" w:firstRowFirstColumn="0" w:firstRowLastColumn="0" w:lastRowFirstColumn="0" w:lastRowLastColumn="0"/>
            </w:pPr>
            <w:r>
              <w:t>2017–18</w:t>
            </w:r>
          </w:p>
        </w:tc>
      </w:tr>
      <w:tr w:rsidR="00501370" w:rsidRPr="002B4341" w:rsidTr="00826FF5">
        <w:tc>
          <w:tcPr>
            <w:cnfStyle w:val="001000000000" w:firstRow="0" w:lastRow="0" w:firstColumn="1" w:lastColumn="0" w:oddVBand="0" w:evenVBand="0" w:oddHBand="0" w:evenHBand="0" w:firstRowFirstColumn="0" w:firstRowLastColumn="0" w:lastRowFirstColumn="0" w:lastRowLastColumn="0"/>
            <w:tcW w:w="3674" w:type="dxa"/>
          </w:tcPr>
          <w:p w:rsidR="00501370" w:rsidRPr="00501370" w:rsidDel="00501370" w:rsidRDefault="00E90BE7" w:rsidP="00E90BE7">
            <w:pPr>
              <w:pStyle w:val="AERtabletextleft"/>
            </w:pPr>
            <w:r>
              <w:rPr>
                <w:rStyle w:val="AERtextbold"/>
              </w:rPr>
              <w:t>TNSP p</w:t>
            </w:r>
            <w:r w:rsidR="00501370" w:rsidRPr="00E63FD8">
              <w:rPr>
                <w:rStyle w:val="AERtextbold"/>
              </w:rPr>
              <w:t>ropos</w:t>
            </w:r>
            <w:r>
              <w:rPr>
                <w:rStyle w:val="AERtextbold"/>
              </w:rPr>
              <w:t>als</w:t>
            </w:r>
          </w:p>
        </w:tc>
        <w:tc>
          <w:tcPr>
            <w:tcW w:w="1113" w:type="dxa"/>
          </w:tcPr>
          <w:p w:rsidR="00501370" w:rsidRPr="00D15362" w:rsidRDefault="00501370" w:rsidP="00501370">
            <w:pPr>
              <w:pStyle w:val="AERtabletextright"/>
              <w:cnfStyle w:val="000000000000" w:firstRow="0" w:lastRow="0" w:firstColumn="0" w:lastColumn="0" w:oddVBand="0" w:evenVBand="0" w:oddHBand="0" w:evenHBand="0" w:firstRowFirstColumn="0" w:firstRowLastColumn="0" w:lastRowFirstColumn="0" w:lastRowLastColumn="0"/>
            </w:pPr>
          </w:p>
        </w:tc>
        <w:tc>
          <w:tcPr>
            <w:tcW w:w="1114" w:type="dxa"/>
          </w:tcPr>
          <w:p w:rsidR="00501370" w:rsidRPr="00D15362" w:rsidRDefault="00501370" w:rsidP="00501370">
            <w:pPr>
              <w:pStyle w:val="AERtabletextright"/>
              <w:cnfStyle w:val="000000000000" w:firstRow="0" w:lastRow="0" w:firstColumn="0" w:lastColumn="0" w:oddVBand="0" w:evenVBand="0" w:oddHBand="0" w:evenHBand="0" w:firstRowFirstColumn="0" w:firstRowLastColumn="0" w:lastRowFirstColumn="0" w:lastRowLastColumn="0"/>
            </w:pPr>
          </w:p>
        </w:tc>
        <w:tc>
          <w:tcPr>
            <w:tcW w:w="1113" w:type="dxa"/>
          </w:tcPr>
          <w:p w:rsidR="00501370" w:rsidRPr="00D15362" w:rsidRDefault="00501370" w:rsidP="00501370">
            <w:pPr>
              <w:pStyle w:val="AERtabletextright"/>
              <w:cnfStyle w:val="000000000000" w:firstRow="0" w:lastRow="0" w:firstColumn="0" w:lastColumn="0" w:oddVBand="0" w:evenVBand="0" w:oddHBand="0" w:evenHBand="0" w:firstRowFirstColumn="0" w:firstRowLastColumn="0" w:lastRowFirstColumn="0" w:lastRowLastColumn="0"/>
            </w:pPr>
          </w:p>
        </w:tc>
        <w:tc>
          <w:tcPr>
            <w:tcW w:w="1114" w:type="dxa"/>
          </w:tcPr>
          <w:p w:rsidR="00501370" w:rsidRPr="00D15362" w:rsidRDefault="00501370" w:rsidP="00501370">
            <w:pPr>
              <w:pStyle w:val="AERtabletextright"/>
              <w:cnfStyle w:val="000000000000" w:firstRow="0" w:lastRow="0" w:firstColumn="0" w:lastColumn="0" w:oddVBand="0" w:evenVBand="0" w:oddHBand="0" w:evenHBand="0" w:firstRowFirstColumn="0" w:firstRowLastColumn="0" w:lastRowFirstColumn="0" w:lastRowLastColumn="0"/>
            </w:pPr>
          </w:p>
        </w:tc>
        <w:tc>
          <w:tcPr>
            <w:tcW w:w="1114" w:type="dxa"/>
          </w:tcPr>
          <w:p w:rsidR="00501370" w:rsidRPr="00D15362" w:rsidRDefault="00501370" w:rsidP="00501370">
            <w:pPr>
              <w:pStyle w:val="AERtabletextright"/>
              <w:cnfStyle w:val="000000000000" w:firstRow="0" w:lastRow="0" w:firstColumn="0" w:lastColumn="0" w:oddVBand="0" w:evenVBand="0" w:oddHBand="0" w:evenHBand="0" w:firstRowFirstColumn="0" w:firstRowLastColumn="0" w:lastRowFirstColumn="0" w:lastRowLastColumn="0"/>
            </w:pPr>
          </w:p>
        </w:tc>
      </w:tr>
      <w:tr w:rsidR="00A43B26" w:rsidRPr="002B4341" w:rsidTr="00291A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Del="00501370" w:rsidRDefault="00A43B26" w:rsidP="00A43B26">
            <w:pPr>
              <w:pStyle w:val="AERtabletextleft"/>
            </w:pPr>
            <w:r w:rsidRPr="00A43B26">
              <w:t>NSW residential annual bill</w:t>
            </w:r>
            <w:r w:rsidRPr="00A43B26">
              <w:rPr>
                <w:rStyle w:val="AERsuperscript"/>
              </w:rPr>
              <w:t>a</w:t>
            </w:r>
          </w:p>
        </w:tc>
        <w:tc>
          <w:tcPr>
            <w:tcW w:w="1113"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2227</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2240</w:t>
            </w:r>
          </w:p>
        </w:tc>
        <w:tc>
          <w:tcPr>
            <w:tcW w:w="1113"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2244</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2248</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2252</w:t>
            </w:r>
          </w:p>
        </w:tc>
      </w:tr>
      <w:tr w:rsidR="00A43B26" w:rsidRPr="002B4341" w:rsidTr="00291A97">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Del="00501370" w:rsidRDefault="00A43B26" w:rsidP="00A43B26">
            <w:pPr>
              <w:pStyle w:val="AERtabletextleft"/>
            </w:pPr>
            <w:r w:rsidRPr="00A43B26">
              <w:t>Annual change</w:t>
            </w:r>
          </w:p>
        </w:tc>
        <w:tc>
          <w:tcPr>
            <w:tcW w:w="1113"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13 (0.6%)</w:t>
            </w:r>
          </w:p>
        </w:tc>
        <w:tc>
          <w:tcPr>
            <w:tcW w:w="1113"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4 (0.2%)</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4 (0.2%)</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4 (0.2%)</w:t>
            </w:r>
          </w:p>
        </w:tc>
      </w:tr>
      <w:tr w:rsidR="00A43B26" w:rsidRPr="002B4341" w:rsidTr="00291A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Del="00501370" w:rsidRDefault="00A43B26" w:rsidP="00A43B26">
            <w:pPr>
              <w:pStyle w:val="AERtabletextleft"/>
            </w:pPr>
            <w:r w:rsidRPr="00A43B26">
              <w:t>ACT residential annual bill</w:t>
            </w:r>
            <w:r w:rsidRPr="00A43B26">
              <w:rPr>
                <w:rStyle w:val="AERsuperscript"/>
              </w:rPr>
              <w:t>b</w:t>
            </w:r>
          </w:p>
        </w:tc>
        <w:tc>
          <w:tcPr>
            <w:tcW w:w="1113"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1959</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1971</w:t>
            </w:r>
          </w:p>
        </w:tc>
        <w:tc>
          <w:tcPr>
            <w:tcW w:w="1113"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1974</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1977</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1981</w:t>
            </w:r>
          </w:p>
        </w:tc>
      </w:tr>
      <w:tr w:rsidR="00A43B26" w:rsidRPr="002B4341" w:rsidTr="00291A97">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Del="00501370" w:rsidRDefault="00A43B26" w:rsidP="00A43B26">
            <w:pPr>
              <w:pStyle w:val="AERtabletextleft"/>
            </w:pPr>
            <w:r w:rsidRPr="00A43B26">
              <w:t>Annual change</w:t>
            </w:r>
          </w:p>
        </w:tc>
        <w:tc>
          <w:tcPr>
            <w:tcW w:w="1113"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12 (0.6%)</w:t>
            </w:r>
          </w:p>
        </w:tc>
        <w:tc>
          <w:tcPr>
            <w:tcW w:w="1113"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3 (0.2%)</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3 (0.2%)</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3 (0.2%)</w:t>
            </w:r>
          </w:p>
        </w:tc>
      </w:tr>
      <w:tr w:rsidR="00A43B26" w:rsidRPr="002B4341" w:rsidTr="00291A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Del="00501370" w:rsidRDefault="00A43B26" w:rsidP="00A43B26">
            <w:pPr>
              <w:pStyle w:val="AERtabletextleft"/>
            </w:pPr>
            <w:r w:rsidRPr="00A43B26">
              <w:rPr>
                <w:rStyle w:val="AERtextbold"/>
              </w:rPr>
              <w:t>AER draft decision</w:t>
            </w:r>
          </w:p>
        </w:tc>
        <w:tc>
          <w:tcPr>
            <w:tcW w:w="1113"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3"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r>
      <w:tr w:rsidR="00A43B26" w:rsidRPr="002B4341" w:rsidTr="00291A97">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Del="00501370" w:rsidRDefault="00A43B26" w:rsidP="00A43B26">
            <w:pPr>
              <w:pStyle w:val="AERtabletextleft"/>
            </w:pPr>
            <w:r w:rsidRPr="00A43B26">
              <w:t>NSW residential annual bill</w:t>
            </w:r>
            <w:r w:rsidRPr="00A43B26">
              <w:rPr>
                <w:rStyle w:val="AERsuperscript"/>
              </w:rPr>
              <w:t>a</w:t>
            </w:r>
          </w:p>
        </w:tc>
        <w:tc>
          <w:tcPr>
            <w:tcW w:w="1113"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2227</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2225</w:t>
            </w:r>
          </w:p>
        </w:tc>
        <w:tc>
          <w:tcPr>
            <w:tcW w:w="1113"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2201</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2205</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2208</w:t>
            </w:r>
          </w:p>
        </w:tc>
      </w:tr>
      <w:tr w:rsidR="00A43B26" w:rsidRPr="002B4341" w:rsidTr="00291A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RDefault="00A43B26" w:rsidP="00A43B26">
            <w:pPr>
              <w:pStyle w:val="AERtabletextleft"/>
            </w:pPr>
            <w:r w:rsidRPr="00A43B26">
              <w:t>Annual change</w:t>
            </w:r>
          </w:p>
        </w:tc>
        <w:tc>
          <w:tcPr>
            <w:tcW w:w="1113"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4" w:type="dxa"/>
          </w:tcPr>
          <w:p w:rsidR="00A43B26" w:rsidRPr="00A43B26" w:rsidRDefault="00710C49" w:rsidP="00A43B26">
            <w:pPr>
              <w:pStyle w:val="AERtabletextright"/>
              <w:cnfStyle w:val="000000010000" w:firstRow="0" w:lastRow="0" w:firstColumn="0" w:lastColumn="0" w:oddVBand="0" w:evenVBand="0" w:oddHBand="0" w:evenHBand="1" w:firstRowFirstColumn="0" w:firstRowLastColumn="0" w:lastRowFirstColumn="0" w:lastRowLastColumn="0"/>
            </w:pPr>
            <w:r>
              <w:t>–</w:t>
            </w:r>
            <w:r w:rsidR="00A43B26" w:rsidRPr="00A43B26">
              <w:t>2 (</w:t>
            </w:r>
            <w:r>
              <w:t>–</w:t>
            </w:r>
            <w:r w:rsidR="00A43B26" w:rsidRPr="00A43B26">
              <w:t>0.1%)</w:t>
            </w:r>
          </w:p>
        </w:tc>
        <w:tc>
          <w:tcPr>
            <w:tcW w:w="1113" w:type="dxa"/>
          </w:tcPr>
          <w:p w:rsidR="00A43B26" w:rsidRPr="00A43B26" w:rsidRDefault="00710C49" w:rsidP="00A43B26">
            <w:pPr>
              <w:pStyle w:val="AERtabletextright"/>
              <w:cnfStyle w:val="000000010000" w:firstRow="0" w:lastRow="0" w:firstColumn="0" w:lastColumn="0" w:oddVBand="0" w:evenVBand="0" w:oddHBand="0" w:evenHBand="1" w:firstRowFirstColumn="0" w:firstRowLastColumn="0" w:lastRowFirstColumn="0" w:lastRowLastColumn="0"/>
            </w:pPr>
            <w:r>
              <w:t>–</w:t>
            </w:r>
            <w:r w:rsidR="00A43B26" w:rsidRPr="00A43B26">
              <w:t>24 (</w:t>
            </w:r>
            <w:r>
              <w:t>–</w:t>
            </w:r>
            <w:r w:rsidR="00A43B26" w:rsidRPr="00A43B26">
              <w:t>1.1%)</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4 (0.2%)</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4 (0.2%)</w:t>
            </w:r>
          </w:p>
        </w:tc>
      </w:tr>
      <w:tr w:rsidR="00A43B26" w:rsidRPr="002B4341" w:rsidTr="00291A97">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RDefault="00A43B26" w:rsidP="00A43B26">
            <w:pPr>
              <w:pStyle w:val="AERtabletextleft"/>
            </w:pPr>
            <w:r w:rsidRPr="00A43B26">
              <w:t>ACT residential annual bill</w:t>
            </w:r>
            <w:r w:rsidRPr="00A43B26">
              <w:rPr>
                <w:rStyle w:val="AERsuperscript"/>
              </w:rPr>
              <w:t>b</w:t>
            </w:r>
          </w:p>
        </w:tc>
        <w:tc>
          <w:tcPr>
            <w:tcW w:w="1113"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1959</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1957</w:t>
            </w:r>
          </w:p>
        </w:tc>
        <w:tc>
          <w:tcPr>
            <w:tcW w:w="1113"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1936</w:t>
            </w:r>
          </w:p>
        </w:tc>
        <w:tc>
          <w:tcPr>
            <w:tcW w:w="1114"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1939</w:t>
            </w:r>
          </w:p>
        </w:tc>
        <w:tc>
          <w:tcPr>
            <w:tcW w:w="1114" w:type="dxa"/>
          </w:tcPr>
          <w:p w:rsidR="00A43B26" w:rsidRPr="00A43B26" w:rsidRDefault="00A43B26" w:rsidP="00AC23B4">
            <w:pPr>
              <w:pStyle w:val="AERtabletextright"/>
              <w:cnfStyle w:val="000000000000" w:firstRow="0" w:lastRow="0" w:firstColumn="0" w:lastColumn="0" w:oddVBand="0" w:evenVBand="0" w:oddHBand="0" w:evenHBand="0" w:firstRowFirstColumn="0" w:firstRowLastColumn="0" w:lastRowFirstColumn="0" w:lastRowLastColumn="0"/>
            </w:pPr>
            <w:r w:rsidRPr="00A43B26">
              <w:t>194</w:t>
            </w:r>
            <w:r w:rsidR="00AC23B4">
              <w:t>2</w:t>
            </w:r>
          </w:p>
        </w:tc>
      </w:tr>
      <w:tr w:rsidR="00A43B26" w:rsidRPr="002B4341" w:rsidTr="00291A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Pr>
          <w:p w:rsidR="00A43B26" w:rsidRPr="00A43B26" w:rsidRDefault="00A43B26" w:rsidP="00A43B26">
            <w:pPr>
              <w:pStyle w:val="AERtabletextleft"/>
            </w:pPr>
            <w:r w:rsidRPr="00A43B26">
              <w:t>Annual change</w:t>
            </w:r>
          </w:p>
        </w:tc>
        <w:tc>
          <w:tcPr>
            <w:tcW w:w="1113"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4" w:type="dxa"/>
          </w:tcPr>
          <w:p w:rsidR="00A43B26" w:rsidRPr="00A43B26" w:rsidRDefault="00710C49" w:rsidP="00A43B26">
            <w:pPr>
              <w:pStyle w:val="AERtabletextright"/>
              <w:cnfStyle w:val="000000010000" w:firstRow="0" w:lastRow="0" w:firstColumn="0" w:lastColumn="0" w:oddVBand="0" w:evenVBand="0" w:oddHBand="0" w:evenHBand="1" w:firstRowFirstColumn="0" w:firstRowLastColumn="0" w:lastRowFirstColumn="0" w:lastRowLastColumn="0"/>
            </w:pPr>
            <w:r>
              <w:t>–</w:t>
            </w:r>
            <w:r w:rsidR="00A43B26" w:rsidRPr="00A43B26">
              <w:t>2 (</w:t>
            </w:r>
            <w:r>
              <w:t>–</w:t>
            </w:r>
            <w:r w:rsidR="00A43B26" w:rsidRPr="00A43B26">
              <w:t>0.1%)</w:t>
            </w:r>
          </w:p>
        </w:tc>
        <w:tc>
          <w:tcPr>
            <w:tcW w:w="1113" w:type="dxa"/>
          </w:tcPr>
          <w:p w:rsidR="00A43B26" w:rsidRPr="00A43B26" w:rsidRDefault="00710C49" w:rsidP="00A43B26">
            <w:pPr>
              <w:pStyle w:val="AERtabletextright"/>
              <w:cnfStyle w:val="000000010000" w:firstRow="0" w:lastRow="0" w:firstColumn="0" w:lastColumn="0" w:oddVBand="0" w:evenVBand="0" w:oddHBand="0" w:evenHBand="1" w:firstRowFirstColumn="0" w:firstRowLastColumn="0" w:lastRowFirstColumn="0" w:lastRowLastColumn="0"/>
            </w:pPr>
            <w:r>
              <w:t>–</w:t>
            </w:r>
            <w:r w:rsidR="00A43B26" w:rsidRPr="00A43B26">
              <w:t>21 (</w:t>
            </w:r>
            <w:r>
              <w:t>–</w:t>
            </w:r>
            <w:r w:rsidR="00A43B26" w:rsidRPr="00A43B26">
              <w:t>1.1%)</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3 (0.2%)</w:t>
            </w:r>
          </w:p>
        </w:tc>
        <w:tc>
          <w:tcPr>
            <w:tcW w:w="1114"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3 (0.2%)</w:t>
            </w:r>
          </w:p>
        </w:tc>
      </w:tr>
    </w:tbl>
    <w:p w:rsidR="00B65644" w:rsidRDefault="00B65644" w:rsidP="00B65644">
      <w:pPr>
        <w:pStyle w:val="AERtablesource"/>
      </w:pPr>
      <w:r w:rsidRPr="00C729DC">
        <w:t>Source:</w:t>
      </w:r>
      <w:r w:rsidRPr="00C729DC">
        <w:tab/>
      </w:r>
      <w:r>
        <w:t xml:space="preserve">AER analysis; </w:t>
      </w:r>
      <w:r w:rsidRPr="00C70B2A">
        <w:t xml:space="preserve">AER, </w:t>
      </w:r>
      <w:hyperlink r:id="rId16" w:history="1">
        <w:r w:rsidRPr="003C6491">
          <w:rPr>
            <w:rStyle w:val="Hyperlink"/>
            <w:color w:val="auto"/>
            <w:u w:val="none"/>
          </w:rPr>
          <w:t>Energy Made Easy</w:t>
        </w:r>
      </w:hyperlink>
      <w:r w:rsidRPr="003C6491">
        <w:rPr>
          <w:rStyle w:val="Hyperlink"/>
          <w:color w:val="auto"/>
          <w:u w:val="none"/>
        </w:rPr>
        <w:t>;</w:t>
      </w:r>
      <w:r w:rsidRPr="00C70B2A">
        <w:t xml:space="preserve"> IPART, </w:t>
      </w:r>
      <w:r w:rsidRPr="00BC4AE9">
        <w:rPr>
          <w:rStyle w:val="AERtextitalic"/>
        </w:rPr>
        <w:t>Final report: Review of regulated retail prices for electricity - from 1</w:t>
      </w:r>
      <w:r w:rsidR="004554DD">
        <w:rPr>
          <w:rStyle w:val="AERtextitalic"/>
        </w:rPr>
        <w:t> </w:t>
      </w:r>
      <w:r w:rsidRPr="00BC4AE9">
        <w:rPr>
          <w:rStyle w:val="AERtextitalic"/>
        </w:rPr>
        <w:t>July 2013 to 30 June 2016</w:t>
      </w:r>
      <w:r w:rsidRPr="00C70B2A">
        <w:t>, June 2013, p. 5</w:t>
      </w:r>
      <w:r>
        <w:t>;</w:t>
      </w:r>
      <w:r w:rsidRPr="00C70B2A">
        <w:t xml:space="preserve"> ICRC, </w:t>
      </w:r>
      <w:r w:rsidRPr="00BC4AE9">
        <w:rPr>
          <w:rStyle w:val="AERtextitalic"/>
        </w:rPr>
        <w:t>Draft report-Standing offer electricity prices from 1 July 2014</w:t>
      </w:r>
      <w:r w:rsidR="00EC6E36">
        <w:t>, p. </w:t>
      </w:r>
      <w:r>
        <w:t>160.</w:t>
      </w:r>
    </w:p>
    <w:p w:rsidR="00B65644" w:rsidRDefault="00B65644" w:rsidP="00B65644">
      <w:pPr>
        <w:pStyle w:val="AERtablesource"/>
      </w:pPr>
      <w:r>
        <w:t>(a)</w:t>
      </w:r>
      <w:r w:rsidRPr="00064DEE">
        <w:t xml:space="preserve"> </w:t>
      </w:r>
      <w:r>
        <w:tab/>
      </w:r>
      <w:r w:rsidRPr="00064DEE">
        <w:t xml:space="preserve">Based on the annual </w:t>
      </w:r>
      <w:r w:rsidR="00C401E4">
        <w:t>electricity bill</w:t>
      </w:r>
      <w:r w:rsidRPr="00064DEE">
        <w:t xml:space="preserve"> for a typical consumption of 6500</w:t>
      </w:r>
      <w:r>
        <w:t xml:space="preserve"> k</w:t>
      </w:r>
      <w:r w:rsidRPr="00064DEE">
        <w:t>Wh per year duri</w:t>
      </w:r>
      <w:r w:rsidR="00EC6E36">
        <w:t>ng the period 1 July 2013 to 30 </w:t>
      </w:r>
      <w:r w:rsidRPr="00064DEE">
        <w:t xml:space="preserve">June 2014. The </w:t>
      </w:r>
      <w:r w:rsidR="00C401E4">
        <w:t>bill</w:t>
      </w:r>
      <w:r w:rsidRPr="00064DEE">
        <w:t xml:space="preserve"> reflect</w:t>
      </w:r>
      <w:r w:rsidR="00C401E4">
        <w:t>s</w:t>
      </w:r>
      <w:r w:rsidRPr="00064DEE">
        <w:t xml:space="preserve"> regulated </w:t>
      </w:r>
      <w:r w:rsidR="00C401E4">
        <w:t>charges</w:t>
      </w:r>
      <w:r w:rsidRPr="00064DEE">
        <w:t xml:space="preserve"> in each distribution zone only. Sample postcode: Aus</w:t>
      </w:r>
      <w:r>
        <w:t>g</w:t>
      </w:r>
      <w:r w:rsidRPr="00064DEE">
        <w:t>rid (2112), Endeavour (2500), Essential (2650).</w:t>
      </w:r>
    </w:p>
    <w:p w:rsidR="00B65644" w:rsidRPr="00064DEE" w:rsidRDefault="00B65644" w:rsidP="00B65644">
      <w:pPr>
        <w:pStyle w:val="AERtablesource"/>
      </w:pPr>
      <w:r>
        <w:t>(b)</w:t>
      </w:r>
      <w:r>
        <w:tab/>
        <w:t>Based on</w:t>
      </w:r>
      <w:r w:rsidRPr="00064DEE">
        <w:t xml:space="preserve"> an average residential customer </w:t>
      </w:r>
      <w:r>
        <w:t xml:space="preserve">in </w:t>
      </w:r>
      <w:r w:rsidR="00C401E4">
        <w:t xml:space="preserve">the </w:t>
      </w:r>
      <w:r>
        <w:t xml:space="preserve">ACT </w:t>
      </w:r>
      <w:r w:rsidRPr="00064DEE">
        <w:t>consuming 8000</w:t>
      </w:r>
      <w:r>
        <w:t xml:space="preserve"> k</w:t>
      </w:r>
      <w:r w:rsidRPr="00064DEE">
        <w:t>Wh of electricity per year.</w:t>
      </w:r>
    </w:p>
    <w:p w:rsidR="00BB2FBC" w:rsidRDefault="00BB2FBC" w:rsidP="00A43B26">
      <w:pPr>
        <w:pStyle w:val="AERbodytext"/>
      </w:pPr>
      <w:r>
        <w:t xml:space="preserve">Similarly, </w:t>
      </w:r>
      <w:r w:rsidR="00232BB2" w:rsidRPr="00C401E4">
        <w:fldChar w:fldCharType="begin"/>
      </w:r>
      <w:r w:rsidR="00232BB2" w:rsidRPr="00C401E4">
        <w:instrText xml:space="preserve"> REF _Ref402959662 \h </w:instrText>
      </w:r>
      <w:r w:rsidR="00C401E4">
        <w:instrText xml:space="preserve"> \* MERGEFORMAT </w:instrText>
      </w:r>
      <w:r w:rsidR="00232BB2" w:rsidRPr="00C401E4">
        <w:fldChar w:fldCharType="separate"/>
      </w:r>
      <w:r w:rsidR="00C71301">
        <w:t>Table 7</w:t>
      </w:r>
      <w:r w:rsidR="00C71301">
        <w:noBreakHyphen/>
        <w:t>3</w:t>
      </w:r>
      <w:r w:rsidR="00232BB2" w:rsidRPr="00C401E4">
        <w:fldChar w:fldCharType="end"/>
      </w:r>
      <w:r w:rsidR="00232BB2" w:rsidRPr="00C401E4">
        <w:t xml:space="preserve"> </w:t>
      </w:r>
      <w:r w:rsidRPr="00C401E4">
        <w:t>shows the estimated impact of our</w:t>
      </w:r>
      <w:r>
        <w:t xml:space="preserve"> draft decision</w:t>
      </w:r>
      <w:r w:rsidR="00AC23B4">
        <w:t xml:space="preserve"> </w:t>
      </w:r>
      <w:r w:rsidR="00E07DB6">
        <w:t xml:space="preserve">on the average </w:t>
      </w:r>
      <w:r w:rsidR="00E07DB6" w:rsidRPr="000D12D3">
        <w:t>small business customer</w:t>
      </w:r>
      <w:r w:rsidR="00E07DB6">
        <w:t>'s</w:t>
      </w:r>
      <w:r w:rsidR="00E07DB6" w:rsidRPr="000D12D3">
        <w:t xml:space="preserve"> </w:t>
      </w:r>
      <w:r w:rsidR="00E07DB6">
        <w:t xml:space="preserve">annual electricity bill </w:t>
      </w:r>
      <w:r w:rsidR="00E07DB6" w:rsidRPr="000D12D3">
        <w:t xml:space="preserve">in NSW and </w:t>
      </w:r>
      <w:r w:rsidR="00E07DB6">
        <w:t xml:space="preserve">the </w:t>
      </w:r>
      <w:r w:rsidR="00E07DB6" w:rsidRPr="000D12D3">
        <w:t>ACT</w:t>
      </w:r>
      <w:r w:rsidR="00E07DB6">
        <w:t xml:space="preserve"> </w:t>
      </w:r>
      <w:r w:rsidR="00AC23B4">
        <w:t xml:space="preserve">over the 2014–18 period compared with </w:t>
      </w:r>
      <w:r w:rsidR="00E07DB6">
        <w:t>what was proposed</w:t>
      </w:r>
      <w:r>
        <w:t>.</w:t>
      </w:r>
    </w:p>
    <w:p w:rsidR="00BB2FBC" w:rsidRDefault="00B65644">
      <w:pPr>
        <w:pStyle w:val="Caption"/>
      </w:pPr>
      <w:bookmarkStart w:id="35" w:name="_Ref402959662"/>
      <w:r>
        <w:lastRenderedPageBreak/>
        <w:t xml:space="preserve">Table </w:t>
      </w:r>
      <w:r w:rsidR="00864D56">
        <w:fldChar w:fldCharType="begin"/>
      </w:r>
      <w:r w:rsidR="00864D56">
        <w:instrText xml:space="preserve"> STYLEREF 1 \s </w:instrText>
      </w:r>
      <w:r w:rsidR="00864D56">
        <w:fldChar w:fldCharType="separate"/>
      </w:r>
      <w:r w:rsidR="00C71301">
        <w:rPr>
          <w:noProof/>
        </w:rPr>
        <w:t>7</w:t>
      </w:r>
      <w:r w:rsidR="00864D56">
        <w:rPr>
          <w:noProof/>
        </w:rPr>
        <w:fldChar w:fldCharType="end"/>
      </w:r>
      <w:r>
        <w:noBreakHyphen/>
      </w:r>
      <w:r w:rsidR="00864D56">
        <w:fldChar w:fldCharType="begin"/>
      </w:r>
      <w:r w:rsidR="00864D56">
        <w:instrText xml:space="preserve"> SEQ Table \* ARABIC \s 1 </w:instrText>
      </w:r>
      <w:r w:rsidR="00864D56">
        <w:fldChar w:fldCharType="separate"/>
      </w:r>
      <w:r w:rsidR="00C71301">
        <w:rPr>
          <w:noProof/>
        </w:rPr>
        <w:t>3</w:t>
      </w:r>
      <w:r w:rsidR="00864D56">
        <w:rPr>
          <w:noProof/>
        </w:rPr>
        <w:fldChar w:fldCharType="end"/>
      </w:r>
      <w:bookmarkEnd w:id="35"/>
      <w:r w:rsidR="00BB2FBC">
        <w:tab/>
        <w:t>AER</w:t>
      </w:r>
      <w:r w:rsidR="00232BB2">
        <w:t>'s</w:t>
      </w:r>
      <w:r w:rsidR="00BB2FBC">
        <w:t xml:space="preserve"> estimated impact of </w:t>
      </w:r>
      <w:r w:rsidR="00A43B26">
        <w:t xml:space="preserve">our transmission </w:t>
      </w:r>
      <w:r w:rsidR="00BB2FBC">
        <w:t>draft decision</w:t>
      </w:r>
      <w:r w:rsidR="00A43B26">
        <w:t>s</w:t>
      </w:r>
      <w:r w:rsidR="00BB2FBC">
        <w:t xml:space="preserve"> on the average </w:t>
      </w:r>
      <w:r w:rsidR="0085122C">
        <w:t xml:space="preserve">annual </w:t>
      </w:r>
      <w:r w:rsidR="00BB2FBC">
        <w:t xml:space="preserve">electricity </w:t>
      </w:r>
      <w:r w:rsidR="0085122C">
        <w:t>bills for small business customers</w:t>
      </w:r>
      <w:r w:rsidR="00BB2FBC">
        <w:t xml:space="preserve"> in </w:t>
      </w:r>
      <w:r>
        <w:t>NSW and ACT</w:t>
      </w:r>
      <w:r w:rsidR="00BB2FBC">
        <w:t xml:space="preserve"> over 2014–1</w:t>
      </w:r>
      <w:r w:rsidR="00613A48">
        <w:t>8</w:t>
      </w:r>
      <w:r w:rsidR="00BB2FBC">
        <w:t xml:space="preserve"> ($</w:t>
      </w:r>
      <w:r>
        <w:t> nominal</w:t>
      </w:r>
      <w:r w:rsidR="00BB2FBC">
        <w:t>)</w:t>
      </w:r>
    </w:p>
    <w:tbl>
      <w:tblPr>
        <w:tblStyle w:val="AERtable-numbers"/>
        <w:tblW w:w="0" w:type="auto"/>
        <w:tblLayout w:type="fixed"/>
        <w:tblLook w:val="04A0" w:firstRow="1" w:lastRow="0" w:firstColumn="1" w:lastColumn="0" w:noHBand="0" w:noVBand="1"/>
      </w:tblPr>
      <w:tblGrid>
        <w:gridCol w:w="3652"/>
        <w:gridCol w:w="1118"/>
        <w:gridCol w:w="1118"/>
        <w:gridCol w:w="1118"/>
        <w:gridCol w:w="1118"/>
        <w:gridCol w:w="1118"/>
      </w:tblGrid>
      <w:tr w:rsidR="00826FF5" w:rsidRPr="002B4341" w:rsidTr="00826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26FF5" w:rsidRPr="00BB2FBC" w:rsidRDefault="00826FF5" w:rsidP="00826FF5">
            <w:pPr>
              <w:pStyle w:val="AERtabletextleft"/>
            </w:pPr>
          </w:p>
        </w:tc>
        <w:tc>
          <w:tcPr>
            <w:tcW w:w="1118" w:type="dxa"/>
          </w:tcPr>
          <w:p w:rsidR="00826FF5" w:rsidRPr="00826FF5" w:rsidRDefault="00826FF5" w:rsidP="00826FF5">
            <w:pPr>
              <w:pStyle w:val="AERtabletextright"/>
              <w:cnfStyle w:val="100000000000" w:firstRow="1" w:lastRow="0" w:firstColumn="0" w:lastColumn="0" w:oddVBand="0" w:evenVBand="0" w:oddHBand="0" w:evenHBand="0" w:firstRowFirstColumn="0" w:firstRowLastColumn="0" w:lastRowFirstColumn="0" w:lastRowLastColumn="0"/>
            </w:pPr>
            <w:r>
              <w:t>2013–14</w:t>
            </w:r>
          </w:p>
        </w:tc>
        <w:tc>
          <w:tcPr>
            <w:tcW w:w="1118" w:type="dxa"/>
          </w:tcPr>
          <w:p w:rsidR="00826FF5" w:rsidRPr="00826FF5" w:rsidRDefault="00826FF5" w:rsidP="00826FF5">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118" w:type="dxa"/>
          </w:tcPr>
          <w:p w:rsidR="00826FF5" w:rsidRPr="00826FF5" w:rsidRDefault="00826FF5" w:rsidP="00826FF5">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18" w:type="dxa"/>
          </w:tcPr>
          <w:p w:rsidR="00826FF5" w:rsidRPr="00826FF5" w:rsidRDefault="00826FF5" w:rsidP="00826FF5">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18" w:type="dxa"/>
          </w:tcPr>
          <w:p w:rsidR="00826FF5" w:rsidRPr="00826FF5" w:rsidRDefault="00826FF5" w:rsidP="00826FF5">
            <w:pPr>
              <w:pStyle w:val="AERtabletextright"/>
              <w:cnfStyle w:val="100000000000" w:firstRow="1" w:lastRow="0" w:firstColumn="0" w:lastColumn="0" w:oddVBand="0" w:evenVBand="0" w:oddHBand="0" w:evenHBand="0" w:firstRowFirstColumn="0" w:firstRowLastColumn="0" w:lastRowFirstColumn="0" w:lastRowLastColumn="0"/>
            </w:pPr>
            <w:r>
              <w:t>2017–18</w:t>
            </w:r>
          </w:p>
        </w:tc>
      </w:tr>
      <w:tr w:rsidR="00826FF5" w:rsidRPr="002B4341" w:rsidTr="00826FF5">
        <w:tc>
          <w:tcPr>
            <w:cnfStyle w:val="001000000000" w:firstRow="0" w:lastRow="0" w:firstColumn="1" w:lastColumn="0" w:oddVBand="0" w:evenVBand="0" w:oddHBand="0" w:evenHBand="0" w:firstRowFirstColumn="0" w:firstRowLastColumn="0" w:lastRowFirstColumn="0" w:lastRowLastColumn="0"/>
            <w:tcW w:w="3652" w:type="dxa"/>
          </w:tcPr>
          <w:p w:rsidR="00826FF5" w:rsidRPr="00826FF5" w:rsidDel="00B65644" w:rsidRDefault="00A43B26" w:rsidP="00A43B26">
            <w:pPr>
              <w:pStyle w:val="AERtabletextleft"/>
            </w:pPr>
            <w:r>
              <w:rPr>
                <w:rStyle w:val="AERtextbold"/>
              </w:rPr>
              <w:t>TNSP p</w:t>
            </w:r>
            <w:r w:rsidR="00826FF5" w:rsidRPr="00E63FD8">
              <w:rPr>
                <w:rStyle w:val="AERtextbold"/>
              </w:rPr>
              <w:t>ropos</w:t>
            </w:r>
            <w:r>
              <w:rPr>
                <w:rStyle w:val="AERtextbold"/>
              </w:rPr>
              <w:t>als</w:t>
            </w:r>
          </w:p>
        </w:tc>
        <w:tc>
          <w:tcPr>
            <w:tcW w:w="1118" w:type="dxa"/>
          </w:tcPr>
          <w:p w:rsidR="00826FF5" w:rsidRPr="00D15362" w:rsidRDefault="00826FF5" w:rsidP="00826FF5">
            <w:pPr>
              <w:pStyle w:val="AERtabletextright"/>
              <w:cnfStyle w:val="000000000000" w:firstRow="0" w:lastRow="0" w:firstColumn="0" w:lastColumn="0" w:oddVBand="0" w:evenVBand="0" w:oddHBand="0" w:evenHBand="0" w:firstRowFirstColumn="0" w:firstRowLastColumn="0" w:lastRowFirstColumn="0" w:lastRowLastColumn="0"/>
            </w:pPr>
          </w:p>
        </w:tc>
        <w:tc>
          <w:tcPr>
            <w:tcW w:w="1118" w:type="dxa"/>
          </w:tcPr>
          <w:p w:rsidR="00826FF5" w:rsidRPr="00D15362" w:rsidRDefault="00826FF5" w:rsidP="00826FF5">
            <w:pPr>
              <w:pStyle w:val="AERtabletextright"/>
              <w:cnfStyle w:val="000000000000" w:firstRow="0" w:lastRow="0" w:firstColumn="0" w:lastColumn="0" w:oddVBand="0" w:evenVBand="0" w:oddHBand="0" w:evenHBand="0" w:firstRowFirstColumn="0" w:firstRowLastColumn="0" w:lastRowFirstColumn="0" w:lastRowLastColumn="0"/>
            </w:pPr>
          </w:p>
        </w:tc>
        <w:tc>
          <w:tcPr>
            <w:tcW w:w="1118" w:type="dxa"/>
          </w:tcPr>
          <w:p w:rsidR="00826FF5" w:rsidRPr="00D15362" w:rsidRDefault="00826FF5" w:rsidP="00826FF5">
            <w:pPr>
              <w:pStyle w:val="AERtabletextright"/>
              <w:cnfStyle w:val="000000000000" w:firstRow="0" w:lastRow="0" w:firstColumn="0" w:lastColumn="0" w:oddVBand="0" w:evenVBand="0" w:oddHBand="0" w:evenHBand="0" w:firstRowFirstColumn="0" w:firstRowLastColumn="0" w:lastRowFirstColumn="0" w:lastRowLastColumn="0"/>
            </w:pPr>
          </w:p>
        </w:tc>
        <w:tc>
          <w:tcPr>
            <w:tcW w:w="1118" w:type="dxa"/>
          </w:tcPr>
          <w:p w:rsidR="00826FF5" w:rsidRPr="00D15362" w:rsidRDefault="00826FF5" w:rsidP="00826FF5">
            <w:pPr>
              <w:pStyle w:val="AERtabletextright"/>
              <w:cnfStyle w:val="000000000000" w:firstRow="0" w:lastRow="0" w:firstColumn="0" w:lastColumn="0" w:oddVBand="0" w:evenVBand="0" w:oddHBand="0" w:evenHBand="0" w:firstRowFirstColumn="0" w:firstRowLastColumn="0" w:lastRowFirstColumn="0" w:lastRowLastColumn="0"/>
            </w:pPr>
          </w:p>
        </w:tc>
        <w:tc>
          <w:tcPr>
            <w:tcW w:w="1118" w:type="dxa"/>
          </w:tcPr>
          <w:p w:rsidR="00826FF5" w:rsidRPr="00D15362" w:rsidRDefault="00826FF5" w:rsidP="00826FF5">
            <w:pPr>
              <w:pStyle w:val="AERtabletextright"/>
              <w:cnfStyle w:val="000000000000" w:firstRow="0" w:lastRow="0" w:firstColumn="0" w:lastColumn="0" w:oddVBand="0" w:evenVBand="0" w:oddHBand="0" w:evenHBand="0" w:firstRowFirstColumn="0" w:firstRowLastColumn="0" w:lastRowFirstColumn="0" w:lastRowLastColumn="0"/>
            </w:pPr>
          </w:p>
        </w:tc>
      </w:tr>
      <w:tr w:rsidR="00A43B26" w:rsidRPr="002B4341" w:rsidTr="00A43B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Del="00B65644" w:rsidRDefault="00A43B26" w:rsidP="00A43B26">
            <w:pPr>
              <w:pStyle w:val="AERtabletextleft"/>
            </w:pPr>
            <w:r w:rsidRPr="00A43B26">
              <w:t>NSW small business annual bill</w:t>
            </w:r>
            <w:r w:rsidRPr="00A43B26">
              <w:rPr>
                <w:rStyle w:val="AERsuperscript"/>
              </w:rPr>
              <w:t>a</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3584</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3605</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3611</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3617</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3624</w:t>
            </w:r>
          </w:p>
        </w:tc>
      </w:tr>
      <w:tr w:rsidR="00A43B26" w:rsidRPr="002B4341" w:rsidTr="00A43B26">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Del="00B65644" w:rsidRDefault="00A43B26" w:rsidP="00A43B26">
            <w:pPr>
              <w:pStyle w:val="AERtabletextleft"/>
            </w:pPr>
            <w:r w:rsidRPr="00A43B26">
              <w:t>Annual change</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21 (0.6%)</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6 (0.2%)</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6 (0.2%)</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6 (0.2%)</w:t>
            </w:r>
          </w:p>
        </w:tc>
      </w:tr>
      <w:tr w:rsidR="00A43B26" w:rsidRPr="002B4341" w:rsidTr="00A43B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Del="00B65644" w:rsidRDefault="00A43B26" w:rsidP="00A43B26">
            <w:pPr>
              <w:pStyle w:val="AERtabletextleft"/>
            </w:pPr>
            <w:r w:rsidRPr="00A43B26">
              <w:t>ACT small business annual bill</w:t>
            </w:r>
            <w:r w:rsidRPr="00A43B26">
              <w:rPr>
                <w:rStyle w:val="AERsuperscript"/>
              </w:rPr>
              <w:t>b</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2939</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2956</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2962</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2966</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2972</w:t>
            </w:r>
          </w:p>
        </w:tc>
      </w:tr>
      <w:tr w:rsidR="00A43B26" w:rsidRPr="002B4341" w:rsidTr="00A43B26">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Del="00B65644" w:rsidRDefault="00A43B26" w:rsidP="00A43B26">
            <w:pPr>
              <w:pStyle w:val="AERtabletextleft"/>
            </w:pPr>
            <w:r w:rsidRPr="00A43B26">
              <w:t>Annual change</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17 (0.6%)</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5 (0.2%)</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5 (0.2%)</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5 (0.2%)</w:t>
            </w:r>
          </w:p>
        </w:tc>
      </w:tr>
      <w:tr w:rsidR="00A43B26" w:rsidRPr="002B4341" w:rsidTr="00A43B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Del="00B65644" w:rsidRDefault="00A43B26" w:rsidP="00A43B26">
            <w:pPr>
              <w:pStyle w:val="AERtabletextleft"/>
            </w:pPr>
            <w:r w:rsidRPr="00A43B26">
              <w:rPr>
                <w:rStyle w:val="AERtextbold"/>
              </w:rPr>
              <w:t>AER draft decision</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r>
      <w:tr w:rsidR="00A43B26" w:rsidRPr="002B4341" w:rsidTr="00A43B26">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Del="00B65644" w:rsidRDefault="00A43B26" w:rsidP="00A43B26">
            <w:pPr>
              <w:pStyle w:val="AERtabletextleft"/>
            </w:pPr>
            <w:r w:rsidRPr="00A43B26">
              <w:t>NSW small business annual bill</w:t>
            </w:r>
            <w:r w:rsidRPr="00A43B26">
              <w:rPr>
                <w:rStyle w:val="AERsuperscript"/>
              </w:rPr>
              <w:t>a</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3584</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3580</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3542</w:t>
            </w:r>
          </w:p>
        </w:tc>
        <w:tc>
          <w:tcPr>
            <w:tcW w:w="1118" w:type="dxa"/>
          </w:tcPr>
          <w:p w:rsidR="00A43B26" w:rsidRPr="00A43B26" w:rsidRDefault="00A43B26" w:rsidP="00710C49">
            <w:pPr>
              <w:pStyle w:val="AERtabletextright"/>
              <w:cnfStyle w:val="000000000000" w:firstRow="0" w:lastRow="0" w:firstColumn="0" w:lastColumn="0" w:oddVBand="0" w:evenVBand="0" w:oddHBand="0" w:evenHBand="0" w:firstRowFirstColumn="0" w:firstRowLastColumn="0" w:lastRowFirstColumn="0" w:lastRowLastColumn="0"/>
            </w:pPr>
            <w:r w:rsidRPr="00A43B26">
              <w:t>354</w:t>
            </w:r>
            <w:r w:rsidR="00710C49">
              <w:t>8</w:t>
            </w:r>
          </w:p>
        </w:tc>
        <w:tc>
          <w:tcPr>
            <w:tcW w:w="1118" w:type="dxa"/>
          </w:tcPr>
          <w:p w:rsidR="00A43B26" w:rsidRPr="00A43B26" w:rsidRDefault="00A43B26" w:rsidP="00AC23B4">
            <w:pPr>
              <w:pStyle w:val="AERtabletextright"/>
              <w:cnfStyle w:val="000000000000" w:firstRow="0" w:lastRow="0" w:firstColumn="0" w:lastColumn="0" w:oddVBand="0" w:evenVBand="0" w:oddHBand="0" w:evenHBand="0" w:firstRowFirstColumn="0" w:firstRowLastColumn="0" w:lastRowFirstColumn="0" w:lastRowLastColumn="0"/>
            </w:pPr>
            <w:r w:rsidRPr="00A43B26">
              <w:t>355</w:t>
            </w:r>
            <w:r w:rsidR="00AC23B4">
              <w:t>3</w:t>
            </w:r>
          </w:p>
        </w:tc>
      </w:tr>
      <w:tr w:rsidR="00A43B26" w:rsidRPr="002B4341" w:rsidTr="00A43B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Del="00B65644" w:rsidRDefault="00A43B26" w:rsidP="00A43B26">
            <w:pPr>
              <w:pStyle w:val="AERtabletextleft"/>
            </w:pPr>
            <w:r w:rsidRPr="00A43B26">
              <w:t>Annual change</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t>–</w:t>
            </w:r>
            <w:r w:rsidRPr="00A43B26">
              <w:t>4 (</w:t>
            </w:r>
            <w:r>
              <w:t>–</w:t>
            </w:r>
            <w:r w:rsidRPr="00A43B26">
              <w:t>0.1%)</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t>–</w:t>
            </w:r>
            <w:r w:rsidRPr="00A43B26">
              <w:t>38 (</w:t>
            </w:r>
            <w:r>
              <w:t>–</w:t>
            </w:r>
            <w:r w:rsidRPr="00A43B26">
              <w:t>1.1%)</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6 (0.2%)</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6 (0.2%)</w:t>
            </w:r>
          </w:p>
        </w:tc>
      </w:tr>
      <w:tr w:rsidR="00A43B26" w:rsidRPr="002B4341" w:rsidTr="00A43B26">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RDefault="00A43B26" w:rsidP="00A43B26">
            <w:pPr>
              <w:pStyle w:val="AERtabletextleft"/>
            </w:pPr>
            <w:r w:rsidRPr="00A43B26">
              <w:t>ACT small business annual bill</w:t>
            </w:r>
            <w:r w:rsidRPr="00A43B26">
              <w:rPr>
                <w:rStyle w:val="AERsuperscript"/>
              </w:rPr>
              <w:t>b</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2939</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2936</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2905</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2909</w:t>
            </w:r>
          </w:p>
        </w:tc>
        <w:tc>
          <w:tcPr>
            <w:tcW w:w="1118" w:type="dxa"/>
          </w:tcPr>
          <w:p w:rsidR="00A43B26" w:rsidRPr="00A43B26" w:rsidRDefault="00A43B26" w:rsidP="00A43B26">
            <w:pPr>
              <w:pStyle w:val="AERtabletextright"/>
              <w:cnfStyle w:val="000000000000" w:firstRow="0" w:lastRow="0" w:firstColumn="0" w:lastColumn="0" w:oddVBand="0" w:evenVBand="0" w:oddHBand="0" w:evenHBand="0" w:firstRowFirstColumn="0" w:firstRowLastColumn="0" w:lastRowFirstColumn="0" w:lastRowLastColumn="0"/>
            </w:pPr>
            <w:r w:rsidRPr="00A43B26">
              <w:t>2914</w:t>
            </w:r>
          </w:p>
        </w:tc>
      </w:tr>
      <w:tr w:rsidR="00A43B26" w:rsidRPr="002B4341" w:rsidTr="00A43B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43B26" w:rsidRPr="00A43B26" w:rsidRDefault="00A43B26" w:rsidP="00A43B26">
            <w:pPr>
              <w:pStyle w:val="AERtabletextleft"/>
            </w:pPr>
            <w:r w:rsidRPr="00A43B26">
              <w:t>Annual change</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t>–</w:t>
            </w:r>
            <w:r w:rsidRPr="00A43B26">
              <w:t>3 (</w:t>
            </w:r>
            <w:r>
              <w:t>–</w:t>
            </w:r>
            <w:r w:rsidRPr="00A43B26">
              <w:t>0.1%)</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t>–</w:t>
            </w:r>
            <w:r w:rsidRPr="00A43B26">
              <w:t>31 (</w:t>
            </w:r>
            <w:r>
              <w:t>–</w:t>
            </w:r>
            <w:r w:rsidRPr="00A43B26">
              <w:t>1.1%)</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5 (0.2%)</w:t>
            </w:r>
          </w:p>
        </w:tc>
        <w:tc>
          <w:tcPr>
            <w:tcW w:w="1118" w:type="dxa"/>
          </w:tcPr>
          <w:p w:rsidR="00A43B26" w:rsidRPr="00A43B26" w:rsidRDefault="00A43B26" w:rsidP="00A43B26">
            <w:pPr>
              <w:pStyle w:val="AERtabletextright"/>
              <w:cnfStyle w:val="000000010000" w:firstRow="0" w:lastRow="0" w:firstColumn="0" w:lastColumn="0" w:oddVBand="0" w:evenVBand="0" w:oddHBand="0" w:evenHBand="1" w:firstRowFirstColumn="0" w:firstRowLastColumn="0" w:lastRowFirstColumn="0" w:lastRowLastColumn="0"/>
            </w:pPr>
            <w:r w:rsidRPr="00A43B26">
              <w:t>5 (0.2%)</w:t>
            </w:r>
          </w:p>
        </w:tc>
      </w:tr>
    </w:tbl>
    <w:p w:rsidR="00B65644" w:rsidRPr="0036551F" w:rsidRDefault="00B65644" w:rsidP="00B65644">
      <w:pPr>
        <w:pStyle w:val="AERtablesource"/>
      </w:pPr>
      <w:r w:rsidRPr="00B14A3A">
        <w:t>Source:</w:t>
      </w:r>
      <w:r w:rsidRPr="00B14A3A">
        <w:tab/>
      </w:r>
      <w:r w:rsidRPr="0036551F">
        <w:t xml:space="preserve">AER analysis; AER, </w:t>
      </w:r>
      <w:hyperlink r:id="rId17" w:history="1">
        <w:r w:rsidRPr="003C6491">
          <w:rPr>
            <w:rStyle w:val="Hyperlink"/>
            <w:color w:val="auto"/>
            <w:u w:val="none"/>
          </w:rPr>
          <w:t>Energy Made Easy</w:t>
        </w:r>
      </w:hyperlink>
      <w:r w:rsidRPr="003C6491">
        <w:rPr>
          <w:rStyle w:val="Hyperlink"/>
          <w:color w:val="auto"/>
          <w:u w:val="none"/>
        </w:rPr>
        <w:t>;</w:t>
      </w:r>
      <w:r w:rsidRPr="003C6491">
        <w:t xml:space="preserve"> I</w:t>
      </w:r>
      <w:r w:rsidRPr="0036551F">
        <w:t xml:space="preserve">PART, </w:t>
      </w:r>
      <w:r w:rsidRPr="00BC4AE9">
        <w:rPr>
          <w:rStyle w:val="AERtextitalic"/>
        </w:rPr>
        <w:t>Final report: Review of regulated retail prices for electricity - from 1</w:t>
      </w:r>
      <w:r w:rsidR="004554DD">
        <w:rPr>
          <w:rStyle w:val="AERtextitalic"/>
        </w:rPr>
        <w:t> </w:t>
      </w:r>
      <w:r w:rsidRPr="00BC4AE9">
        <w:rPr>
          <w:rStyle w:val="AERtextitalic"/>
        </w:rPr>
        <w:t>July 2013 to 30 June 2016</w:t>
      </w:r>
      <w:r w:rsidRPr="0036551F">
        <w:t xml:space="preserve">, June 2013, p. 5; ICRC, </w:t>
      </w:r>
      <w:r w:rsidRPr="00BC4AE9">
        <w:rPr>
          <w:rStyle w:val="AERtextitalic"/>
        </w:rPr>
        <w:t>Draft report-Standing offer electricity prices from 1 July 2014</w:t>
      </w:r>
      <w:r w:rsidRPr="0036551F">
        <w:t>, p.</w:t>
      </w:r>
      <w:r w:rsidR="004554DD">
        <w:t> </w:t>
      </w:r>
      <w:r w:rsidRPr="0036551F">
        <w:t>160.</w:t>
      </w:r>
    </w:p>
    <w:p w:rsidR="00B65644" w:rsidRDefault="00B65644" w:rsidP="00B65644">
      <w:pPr>
        <w:pStyle w:val="AERtablesource"/>
      </w:pPr>
      <w:r>
        <w:t>(a)</w:t>
      </w:r>
      <w:r w:rsidRPr="00B14A3A">
        <w:tab/>
      </w:r>
      <w:r w:rsidRPr="00964FA5">
        <w:t xml:space="preserve">Based on the annual </w:t>
      </w:r>
      <w:r w:rsidR="0085122C">
        <w:t>electricity bill</w:t>
      </w:r>
      <w:r w:rsidRPr="00964FA5">
        <w:t xml:space="preserve"> sourced from Energy Made Easy for a typical consumption of 1</w:t>
      </w:r>
      <w:r>
        <w:t>0</w:t>
      </w:r>
      <w:r w:rsidRPr="00964FA5">
        <w:t>000</w:t>
      </w:r>
      <w:r>
        <w:t xml:space="preserve"> k</w:t>
      </w:r>
      <w:r w:rsidRPr="00964FA5">
        <w:t xml:space="preserve">Wh per year during the period 1 July 2013 to 30 June 2014. The </w:t>
      </w:r>
      <w:r w:rsidR="0085122C">
        <w:t>bill</w:t>
      </w:r>
      <w:r w:rsidRPr="00964FA5">
        <w:t xml:space="preserve"> reflect</w:t>
      </w:r>
      <w:r w:rsidR="0085122C">
        <w:t>s</w:t>
      </w:r>
      <w:r w:rsidRPr="00964FA5">
        <w:t xml:space="preserve"> regulated </w:t>
      </w:r>
      <w:r w:rsidR="0085122C">
        <w:t>charges</w:t>
      </w:r>
      <w:r w:rsidRPr="00964FA5">
        <w:t xml:space="preserve"> in each distribution </w:t>
      </w:r>
      <w:r w:rsidR="003C6491">
        <w:t>zone only. Sample postcode: Ausg</w:t>
      </w:r>
      <w:r w:rsidRPr="00964FA5">
        <w:t>rid (2112), Endeavour (2500), Essential (2650).</w:t>
      </w:r>
    </w:p>
    <w:p w:rsidR="00B65644" w:rsidRPr="00964FA5" w:rsidRDefault="00B65644" w:rsidP="00B65644">
      <w:pPr>
        <w:pStyle w:val="AERtablesource"/>
      </w:pPr>
      <w:r>
        <w:t>(b)</w:t>
      </w:r>
      <w:r>
        <w:tab/>
        <w:t>Based on</w:t>
      </w:r>
      <w:r w:rsidRPr="00964FA5">
        <w:t xml:space="preserve"> a</w:t>
      </w:r>
      <w:r>
        <w:t>n average</w:t>
      </w:r>
      <w:r w:rsidRPr="00964FA5">
        <w:t xml:space="preserve"> small non-residential customer </w:t>
      </w:r>
      <w:r>
        <w:t xml:space="preserve">in </w:t>
      </w:r>
      <w:r w:rsidR="0085122C">
        <w:t xml:space="preserve">the </w:t>
      </w:r>
      <w:r>
        <w:t xml:space="preserve">ACT </w:t>
      </w:r>
      <w:r w:rsidRPr="00964FA5">
        <w:t>consuming 10000</w:t>
      </w:r>
      <w:r>
        <w:t xml:space="preserve"> k</w:t>
      </w:r>
      <w:r w:rsidRPr="00964FA5">
        <w:t>Wh of electricity per year.</w:t>
      </w:r>
    </w:p>
    <w:p w:rsidR="003B0D45" w:rsidRDefault="003B0D45" w:rsidP="00E14922">
      <w:pPr>
        <w:pStyle w:val="Heading1"/>
      </w:pPr>
      <w:bookmarkStart w:id="36" w:name="_Toc402975796"/>
      <w:bookmarkStart w:id="37" w:name="_Toc402975797"/>
      <w:bookmarkStart w:id="38" w:name="_Toc402975798"/>
      <w:bookmarkStart w:id="39" w:name="_Toc404437614"/>
      <w:bookmarkEnd w:id="36"/>
      <w:bookmarkEnd w:id="37"/>
      <w:bookmarkEnd w:id="38"/>
      <w:r>
        <w:lastRenderedPageBreak/>
        <w:t>Key elements of the building blocks</w:t>
      </w:r>
      <w:bookmarkEnd w:id="39"/>
    </w:p>
    <w:p w:rsidR="006842D0" w:rsidRDefault="006842D0" w:rsidP="006842D0">
      <w:r>
        <w:t xml:space="preserve">There is no one tool that </w:t>
      </w:r>
      <w:r w:rsidR="00A86A7D">
        <w:t xml:space="preserve">by itself can determine </w:t>
      </w:r>
      <w:r>
        <w:t xml:space="preserve">an overall revenue allowance. Therefore </w:t>
      </w:r>
      <w:r w:rsidR="00202087">
        <w:t>in</w:t>
      </w:r>
      <w:r>
        <w:t xml:space="preserve"> set</w:t>
      </w:r>
      <w:r w:rsidR="00202087">
        <w:t>ting</w:t>
      </w:r>
      <w:r>
        <w:t xml:space="preserve"> our alternative overall revenue allowance for </w:t>
      </w:r>
      <w:r w:rsidR="009340F2">
        <w:t>TransGrid</w:t>
      </w:r>
      <w:r>
        <w:t xml:space="preserve"> of $</w:t>
      </w:r>
      <w:r w:rsidR="00B75C12">
        <w:t>2</w:t>
      </w:r>
      <w:r w:rsidR="0085122C">
        <w:t>310</w:t>
      </w:r>
      <w:r w:rsidR="00B75C12">
        <w:t>.</w:t>
      </w:r>
      <w:r w:rsidR="0085122C">
        <w:t>5</w:t>
      </w:r>
      <w:r w:rsidR="00B75C12">
        <w:t xml:space="preserve"> </w:t>
      </w:r>
      <w:r w:rsidR="00E65945">
        <w:t>million</w:t>
      </w:r>
      <w:r>
        <w:t xml:space="preserve"> </w:t>
      </w:r>
      <w:r w:rsidR="00B75C12">
        <w:t xml:space="preserve">($nominal) for the </w:t>
      </w:r>
      <w:r w:rsidR="00485D72">
        <w:br/>
      </w:r>
      <w:r w:rsidR="00B75C12">
        <w:t xml:space="preserve">2015–18 regulatory control period </w:t>
      </w:r>
      <w:r w:rsidR="00BA2BE8">
        <w:t>we</w:t>
      </w:r>
      <w:r>
        <w:t>:</w:t>
      </w:r>
    </w:p>
    <w:p w:rsidR="006842D0" w:rsidRPr="00EE5F0C" w:rsidRDefault="006842D0" w:rsidP="006842D0">
      <w:pPr>
        <w:pStyle w:val="AERbulletlistfirststyle"/>
        <w:rPr>
          <w:rStyle w:val="AERbody"/>
        </w:rPr>
      </w:pPr>
      <w:r w:rsidRPr="00EE5F0C">
        <w:rPr>
          <w:rStyle w:val="AERbody"/>
        </w:rPr>
        <w:t xml:space="preserve">apply relevant tests under the NER, the assessment methods and tools developed as part of our Better Regulation guidelines and </w:t>
      </w:r>
      <w:r w:rsidR="00202087">
        <w:rPr>
          <w:rStyle w:val="AERbody"/>
        </w:rPr>
        <w:t xml:space="preserve">consider </w:t>
      </w:r>
      <w:r w:rsidRPr="00EE5F0C">
        <w:rPr>
          <w:rStyle w:val="AERbody"/>
        </w:rPr>
        <w:t xml:space="preserve">information provided by </w:t>
      </w:r>
      <w:r w:rsidR="009340F2">
        <w:rPr>
          <w:rStyle w:val="AERbody"/>
        </w:rPr>
        <w:t>TransGrid</w:t>
      </w:r>
      <w:r w:rsidRPr="00EE5F0C">
        <w:rPr>
          <w:rStyle w:val="AERbody"/>
        </w:rPr>
        <w:t xml:space="preserve">, </w:t>
      </w:r>
      <w:r w:rsidR="00202087">
        <w:rPr>
          <w:rStyle w:val="AERbody"/>
        </w:rPr>
        <w:t xml:space="preserve">the CCP, </w:t>
      </w:r>
      <w:r w:rsidRPr="00EE5F0C">
        <w:rPr>
          <w:rStyle w:val="AERbody"/>
        </w:rPr>
        <w:t xml:space="preserve">consultants and </w:t>
      </w:r>
      <w:r w:rsidR="00202087">
        <w:rPr>
          <w:rStyle w:val="AERbody"/>
        </w:rPr>
        <w:t>stakeholder submissions</w:t>
      </w:r>
    </w:p>
    <w:p w:rsidR="006842D0" w:rsidRPr="00EE5F0C" w:rsidRDefault="006842D0" w:rsidP="006842D0">
      <w:pPr>
        <w:pStyle w:val="AERbulletlistfirststyle"/>
        <w:rPr>
          <w:rStyle w:val="AERbody"/>
        </w:rPr>
      </w:pPr>
      <w:r w:rsidRPr="00EE5F0C">
        <w:rPr>
          <w:rStyle w:val="AERbody"/>
        </w:rPr>
        <w:t xml:space="preserve">consider our total revenue allowance against section 16 of the NEL, including the constituent </w:t>
      </w:r>
      <w:r>
        <w:rPr>
          <w:rStyle w:val="AERbody"/>
        </w:rPr>
        <w:t>decision</w:t>
      </w:r>
      <w:r w:rsidR="00BA2BE8">
        <w:rPr>
          <w:rStyle w:val="AERbody"/>
        </w:rPr>
        <w:t>s</w:t>
      </w:r>
      <w:r w:rsidRPr="00EE5F0C">
        <w:rPr>
          <w:rStyle w:val="AERbody"/>
        </w:rPr>
        <w:t xml:space="preserve"> and the interrelationships we discussed in section 5</w:t>
      </w:r>
      <w:r w:rsidR="00202087">
        <w:rPr>
          <w:rStyle w:val="AERbody"/>
        </w:rPr>
        <w:t>.</w:t>
      </w:r>
    </w:p>
    <w:p w:rsidR="003B0D45" w:rsidRPr="00EE5F0C" w:rsidRDefault="003B0D45" w:rsidP="00E14922">
      <w:pPr>
        <w:pStyle w:val="Heading2"/>
      </w:pPr>
      <w:bookmarkStart w:id="40" w:name="_Toc404437615"/>
      <w:r>
        <w:t xml:space="preserve">The building </w:t>
      </w:r>
      <w:r w:rsidRPr="00E14922">
        <w:t>block</w:t>
      </w:r>
      <w:r>
        <w:t xml:space="preserve"> </w:t>
      </w:r>
      <w:r w:rsidRPr="008E217A">
        <w:t>approach</w:t>
      </w:r>
      <w:bookmarkEnd w:id="40"/>
    </w:p>
    <w:p w:rsidR="006842D0" w:rsidRPr="00EE5F0C" w:rsidRDefault="006842D0" w:rsidP="006842D0">
      <w:pPr>
        <w:pStyle w:val="AERbodytext"/>
      </w:pPr>
      <w:r w:rsidRPr="00EE5F0C">
        <w:t xml:space="preserve">We have employed the building block approach to determine </w:t>
      </w:r>
      <w:r w:rsidR="009340F2">
        <w:t>TransGrid</w:t>
      </w:r>
      <w:r w:rsidRPr="00EE5F0C">
        <w:t>'s annual revenue requirement—that is, we based the annual revenue requirements on our estimate</w:t>
      </w:r>
      <w:r w:rsidR="007D28DD">
        <w:t xml:space="preserve"> of the </w:t>
      </w:r>
      <w:r w:rsidRPr="00EE5F0C">
        <w:t xml:space="preserve">efficient costs that </w:t>
      </w:r>
      <w:r w:rsidR="009340F2">
        <w:t>TransGrid</w:t>
      </w:r>
      <w:r w:rsidRPr="00EE5F0C">
        <w:t xml:space="preserve"> is likely to incur in providing </w:t>
      </w:r>
      <w:r>
        <w:t>transmission</w:t>
      </w:r>
      <w:r w:rsidRPr="00EE5F0C">
        <w:t xml:space="preserve"> network services. The building block costs</w:t>
      </w:r>
      <w:r w:rsidR="00A50416">
        <w:t xml:space="preserve">, illustrated in </w:t>
      </w:r>
      <w:r w:rsidR="004B4F91">
        <w:fldChar w:fldCharType="begin"/>
      </w:r>
      <w:r w:rsidR="004B4F91">
        <w:instrText xml:space="preserve"> REF _Ref402942621 \h </w:instrText>
      </w:r>
      <w:r w:rsidR="004B4F91">
        <w:fldChar w:fldCharType="separate"/>
      </w:r>
      <w:r w:rsidR="00C71301" w:rsidRPr="001110F1">
        <w:t xml:space="preserve">Figure </w:t>
      </w:r>
      <w:r w:rsidR="00C71301">
        <w:rPr>
          <w:noProof/>
        </w:rPr>
        <w:t>8</w:t>
      </w:r>
      <w:r w:rsidR="00C71301">
        <w:noBreakHyphen/>
      </w:r>
      <w:r w:rsidR="00C71301">
        <w:rPr>
          <w:noProof/>
        </w:rPr>
        <w:t>1</w:t>
      </w:r>
      <w:r w:rsidR="004B4F91">
        <w:fldChar w:fldCharType="end"/>
      </w:r>
      <w:r w:rsidR="004B4F91">
        <w:t>,</w:t>
      </w:r>
      <w:r w:rsidRPr="00EE5F0C">
        <w:t xml:space="preserve"> include:</w:t>
      </w:r>
      <w:r w:rsidRPr="00EE5F0C">
        <w:rPr>
          <w:rStyle w:val="FootnoteReference"/>
        </w:rPr>
        <w:footnoteReference w:id="65"/>
      </w:r>
    </w:p>
    <w:p w:rsidR="006842D0" w:rsidRDefault="006842D0" w:rsidP="006842D0">
      <w:pPr>
        <w:pStyle w:val="AERbulletlistfirststyle"/>
      </w:pPr>
      <w:r>
        <w:t>indexation of the RAB</w:t>
      </w:r>
    </w:p>
    <w:p w:rsidR="006842D0" w:rsidRPr="00EE5F0C" w:rsidRDefault="006842D0" w:rsidP="006842D0">
      <w:pPr>
        <w:pStyle w:val="AERbulletlistfirststyle"/>
      </w:pPr>
      <w:r w:rsidRPr="00EE5F0C">
        <w:t>a return on the RAB (return on capital)</w:t>
      </w:r>
    </w:p>
    <w:p w:rsidR="006842D0" w:rsidRPr="00EE5F0C" w:rsidRDefault="006842D0" w:rsidP="006842D0">
      <w:pPr>
        <w:pStyle w:val="AERbulletlistfirststyle"/>
      </w:pPr>
      <w:r w:rsidRPr="00EE5F0C">
        <w:t>depreciation of the RAB (return of capital)</w:t>
      </w:r>
    </w:p>
    <w:p w:rsidR="006842D0" w:rsidRPr="00EE5F0C" w:rsidRDefault="006842D0" w:rsidP="006842D0">
      <w:pPr>
        <w:pStyle w:val="AERbulletlistfirststyle"/>
      </w:pPr>
      <w:r w:rsidRPr="00EE5F0C">
        <w:t>forecast opex</w:t>
      </w:r>
    </w:p>
    <w:p w:rsidR="006842D0" w:rsidRPr="00EE5F0C" w:rsidRDefault="006842D0" w:rsidP="006842D0">
      <w:pPr>
        <w:pStyle w:val="AERbulletlistfirststyle"/>
      </w:pPr>
      <w:r w:rsidRPr="00EE5F0C">
        <w:t>increments or decrements resulting from incentive schemes such as the efficiency benefit sharing scheme (EBSS)</w:t>
      </w:r>
    </w:p>
    <w:p w:rsidR="006842D0" w:rsidRPr="00EE5F0C" w:rsidRDefault="006842D0" w:rsidP="006842D0">
      <w:pPr>
        <w:pStyle w:val="AERbulletlistfirststyle"/>
      </w:pPr>
      <w:r w:rsidRPr="00EE5F0C">
        <w:t xml:space="preserve">the estimated cost of corporate income tax. </w:t>
      </w:r>
    </w:p>
    <w:p w:rsidR="006842D0" w:rsidRPr="00EE5F0C" w:rsidRDefault="006842D0" w:rsidP="006842D0">
      <w:pPr>
        <w:pStyle w:val="AERbodytext"/>
      </w:pPr>
      <w:r w:rsidRPr="00EE5F0C">
        <w:t xml:space="preserve">Our assessment of capex directly affects the size of the RAB and therefore the revenue generated from the return on capital and return of capital building blocks. </w:t>
      </w:r>
    </w:p>
    <w:p w:rsidR="006842D0" w:rsidRPr="001110F1" w:rsidRDefault="001110F1" w:rsidP="001110F1">
      <w:pPr>
        <w:pStyle w:val="Caption"/>
        <w:rPr>
          <w:rStyle w:val="AERtextbold"/>
          <w:b/>
        </w:rPr>
      </w:pPr>
      <w:bookmarkStart w:id="41" w:name="_Ref402942621"/>
      <w:r w:rsidRPr="001110F1">
        <w:lastRenderedPageBreak/>
        <w:t xml:space="preserve">Figure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75C12">
        <w:noBreakHyphen/>
      </w:r>
      <w:r w:rsidR="00864D56">
        <w:fldChar w:fldCharType="begin"/>
      </w:r>
      <w:r w:rsidR="00864D56">
        <w:instrText xml:space="preserve"> SEQ Figure \* ARABIC \s 1 </w:instrText>
      </w:r>
      <w:r w:rsidR="00864D56">
        <w:fldChar w:fldCharType="separate"/>
      </w:r>
      <w:r w:rsidR="00C71301">
        <w:rPr>
          <w:noProof/>
        </w:rPr>
        <w:t>1</w:t>
      </w:r>
      <w:r w:rsidR="00864D56">
        <w:rPr>
          <w:noProof/>
        </w:rPr>
        <w:fldChar w:fldCharType="end"/>
      </w:r>
      <w:bookmarkEnd w:id="41"/>
      <w:r w:rsidRPr="001110F1">
        <w:tab/>
      </w:r>
      <w:r w:rsidR="006842D0" w:rsidRPr="001110F1">
        <w:rPr>
          <w:rStyle w:val="AERtextbold"/>
          <w:b/>
        </w:rPr>
        <w:t>The building block approach for determining total revenue</w:t>
      </w:r>
    </w:p>
    <w:p w:rsidR="006842D0" w:rsidRPr="00EE5F0C" w:rsidRDefault="00864D56" w:rsidP="006842D0">
      <w:r>
        <w:pict>
          <v:group id="_x0000_s1074" editas="canvas" alt="Image outlining the bulding block model. The table's contents were described in the previous paragraph." style="width:426pt;height:267.05pt;mso-position-horizontal-relative:char;mso-position-vertical-relative:line" coordorigin="1392,2929" coordsize="8520,5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392;top:2929;width:8520;height:53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6"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76">
                <w:txbxContent>
                  <w:p w:rsidR="00CF23CB" w:rsidRPr="001C2CD9" w:rsidRDefault="00CF23CB" w:rsidP="006842D0">
                    <w:pPr>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77"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77">
                <w:txbxContent>
                  <w:p w:rsidR="00CF23CB" w:rsidRPr="00E4098A" w:rsidRDefault="00CF23CB" w:rsidP="006842D0">
                    <w:pPr>
                      <w:rPr>
                        <w:rFonts w:ascii="Calibri" w:hAnsi="Calibri"/>
                        <w:color w:val="FFFFFF"/>
                        <w:sz w:val="22"/>
                        <w:szCs w:val="22"/>
                      </w:rPr>
                    </w:pPr>
                    <w:r w:rsidRPr="00E4098A">
                      <w:rPr>
                        <w:rFonts w:ascii="Calibri" w:hAnsi="Calibri"/>
                        <w:color w:val="FFFFFF"/>
                        <w:sz w:val="22"/>
                        <w:szCs w:val="22"/>
                      </w:rPr>
                      <w:t>Regulatory depreciation (depreciation net of indexation</w:t>
                    </w:r>
                    <w:r>
                      <w:t xml:space="preserve"> </w:t>
                    </w:r>
                    <w:r w:rsidRPr="00E4098A">
                      <w:rPr>
                        <w:rFonts w:ascii="Calibri" w:hAnsi="Calibri"/>
                        <w:color w:val="FFFFFF"/>
                        <w:sz w:val="22"/>
                        <w:szCs w:val="22"/>
                      </w:rPr>
                      <w:t xml:space="preserve">applied </w:t>
                    </w:r>
                    <w:r w:rsidRPr="003C6491">
                      <w:rPr>
                        <w:color w:val="FFFFFF" w:themeColor="background1"/>
                      </w:rPr>
                      <w:t xml:space="preserve">to </w:t>
                    </w:r>
                    <w:r>
                      <w:rPr>
                        <w:rFonts w:ascii="Calibri" w:hAnsi="Calibri"/>
                        <w:color w:val="FFFFFF"/>
                        <w:sz w:val="22"/>
                        <w:szCs w:val="22"/>
                      </w:rPr>
                      <w:t>RAB</w:t>
                    </w:r>
                    <w:r w:rsidRPr="00E4098A">
                      <w:rPr>
                        <w:rFonts w:ascii="Calibri" w:hAnsi="Calibri"/>
                        <w:color w:val="FFFFFF"/>
                        <w:sz w:val="22"/>
                        <w:szCs w:val="22"/>
                      </w:rPr>
                      <w:t>)</w:t>
                    </w:r>
                  </w:p>
                </w:txbxContent>
              </v:textbox>
            </v:shape>
            <v:shape id="_x0000_s1078"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78">
                <w:txbxContent>
                  <w:p w:rsidR="00CF23CB" w:rsidRDefault="00CF23CB" w:rsidP="006842D0">
                    <w:pPr>
                      <w:spacing w:after="200" w:line="276" w:lineRule="auto"/>
                      <w:rPr>
                        <w:rStyle w:val="AERbody"/>
                      </w:rPr>
                    </w:pPr>
                    <w:r w:rsidRPr="007F7192">
                      <w:rPr>
                        <w:rStyle w:val="AERbody"/>
                        <w:color w:val="FFFFFF"/>
                      </w:rPr>
                      <w:t>Corporate income tax (net of value of imputation credits)</w:t>
                    </w:r>
                  </w:p>
                  <w:p w:rsidR="00CF23CB" w:rsidRPr="007F7192" w:rsidRDefault="00CF23CB" w:rsidP="006842D0">
                    <w:pPr>
                      <w:spacing w:after="200" w:line="276" w:lineRule="auto"/>
                      <w:rPr>
                        <w:rStyle w:val="AERbody"/>
                        <w:color w:val="FFFFFF"/>
                      </w:rPr>
                    </w:pPr>
                    <w:r w:rsidRPr="007F7192">
                      <w:rPr>
                        <w:rStyle w:val="AERbody"/>
                        <w:color w:val="FFFFFF"/>
                      </w:rPr>
                      <w:br/>
                    </w:r>
                  </w:p>
                </w:txbxContent>
              </v:textbox>
            </v:shape>
            <v:line id="_x0000_s1079" style="position:absolute" from="7773,2929" to="8316,2929"/>
            <v:line id="_x0000_s1080" style="position:absolute" from="7773,8177" to="8316,8178"/>
            <v:line id="_x0000_s1081" style="position:absolute" from="8316,2929" to="8316,8178"/>
            <v:line id="_x0000_s1082" style="position:absolute;flip:x" from="3067,2929" to="3610,2929"/>
            <v:line id="_x0000_s1083" style="position:absolute;flip:x" from="3067,5101" to="3610,5102"/>
            <v:line id="_x0000_s1084" style="position:absolute" from="3067,2929" to="3067,5101"/>
            <v:shape id="_x0000_s1085" type="#_x0000_t202" style="position:absolute;left:1392;top:3570;width:1617;height:444" strokecolor="white">
              <v:textbox style="mso-next-textbox:#_x0000_s1085">
                <w:txbxContent>
                  <w:p w:rsidR="00CF23CB" w:rsidRPr="002569F7" w:rsidRDefault="00CF23CB" w:rsidP="006842D0">
                    <w:pPr>
                      <w:rPr>
                        <w:rFonts w:ascii="Calibri" w:hAnsi="Calibri"/>
                      </w:rPr>
                    </w:pPr>
                    <w:r w:rsidRPr="002569F7">
                      <w:rPr>
                        <w:rFonts w:ascii="Calibri" w:hAnsi="Calibri"/>
                      </w:rPr>
                      <w:t>Capital costs</w:t>
                    </w:r>
                  </w:p>
                </w:txbxContent>
              </v:textbox>
            </v:shape>
            <v:shape id="_x0000_s1086"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086">
                <w:txbxContent>
                  <w:p w:rsidR="00CF23CB" w:rsidRPr="008D2606" w:rsidRDefault="00CF23CB" w:rsidP="006842D0">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(opex)</w:t>
                    </w:r>
                    <w:r>
                      <w:t xml:space="preserve"> </w:t>
                    </w:r>
                  </w:p>
                  <w:p w:rsidR="00CF23CB" w:rsidRPr="004414F4" w:rsidRDefault="00CF23CB" w:rsidP="006842D0">
                    <w:pPr>
                      <w:rPr>
                        <w:color w:val="FFFFFF"/>
                      </w:rPr>
                    </w:pPr>
                  </w:p>
                </w:txbxContent>
              </v:textbox>
            </v:shape>
            <v:shape id="_x0000_s1087"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087">
                <w:txbxContent>
                  <w:p w:rsidR="00CF23CB" w:rsidRPr="008D2606" w:rsidRDefault="00CF23CB" w:rsidP="006842D0">
                    <w:pPr>
                      <w:spacing w:after="200" w:line="276" w:lineRule="auto"/>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CF23CB" w:rsidRPr="00F51767" w:rsidRDefault="00CF23CB" w:rsidP="006842D0"/>
                </w:txbxContent>
              </v:textbox>
            </v:shape>
            <v:shape id="_x0000_s1088" type="#_x0000_t202" style="position:absolute;left:8502;top:5417;width:1410;height:495" strokecolor="white [3212]">
              <v:textbox style="mso-next-textbox:#_x0000_s1088">
                <w:txbxContent>
                  <w:p w:rsidR="00CF23CB" w:rsidRPr="00E91FF0" w:rsidRDefault="00CF23CB" w:rsidP="006842D0">
                    <w:pPr>
                      <w:pStyle w:val="AERtabletextleft"/>
                    </w:pPr>
                    <w:r w:rsidRPr="00E91FF0">
                      <w:t xml:space="preserve">Total </w:t>
                    </w:r>
                    <w:r>
                      <w:t>r</w:t>
                    </w:r>
                    <w:r w:rsidRPr="00E91FF0">
                      <w:t>evenue</w:t>
                    </w:r>
                  </w:p>
                  <w:p w:rsidR="00CF23CB" w:rsidRDefault="00CF23CB" w:rsidP="006842D0"/>
                </w:txbxContent>
              </v:textbox>
            </v:shape>
            <w10:wrap type="none"/>
            <w10:anchorlock/>
          </v:group>
        </w:pict>
      </w:r>
    </w:p>
    <w:p w:rsidR="006842D0" w:rsidRPr="00EE5F0C" w:rsidRDefault="006842D0" w:rsidP="006842D0">
      <w:r>
        <w:t xml:space="preserve">The following section summarises our decision by building block and provides our high level reasons and analysis. </w:t>
      </w:r>
    </w:p>
    <w:p w:rsidR="003B0D45" w:rsidRPr="00FE296E" w:rsidRDefault="003B0D45" w:rsidP="00E14922">
      <w:pPr>
        <w:pStyle w:val="Heading2"/>
      </w:pPr>
      <w:bookmarkStart w:id="42" w:name="_Toc404437616"/>
      <w:r>
        <w:t>Regulatory asset base</w:t>
      </w:r>
      <w:bookmarkEnd w:id="42"/>
    </w:p>
    <w:p w:rsidR="00C862D1" w:rsidRPr="009F4C42" w:rsidRDefault="00C862D1" w:rsidP="00C862D1">
      <w:pPr>
        <w:pStyle w:val="AERbodytext"/>
      </w:pPr>
      <w:r w:rsidRPr="009F4C42">
        <w:t xml:space="preserve">The RAB is the value of </w:t>
      </w:r>
      <w:r w:rsidR="00DB3032">
        <w:t>T</w:t>
      </w:r>
      <w:r w:rsidR="00AD4728">
        <w:t>ransG</w:t>
      </w:r>
      <w:r w:rsidRPr="009F4C42">
        <w:t xml:space="preserve">rid's assets that are used to provide </w:t>
      </w:r>
      <w:r w:rsidR="00DB3032">
        <w:t>transmission</w:t>
      </w:r>
      <w:r w:rsidRPr="009F4C42">
        <w:t xml:space="preserve"> network services. These include </w:t>
      </w:r>
      <w:r w:rsidR="00DB3032">
        <w:t>transmission</w:t>
      </w:r>
      <w:r w:rsidRPr="009F4C42">
        <w:t xml:space="preserve"> poles and wires,</w:t>
      </w:r>
      <w:r w:rsidRPr="009F4C42">
        <w:rPr>
          <w:rStyle w:val="AERbody"/>
        </w:rPr>
        <w:t xml:space="preserve"> substations, IT systems, land and easement, motor vehicles and buildings</w:t>
      </w:r>
      <w:r w:rsidRPr="009F4C42">
        <w:t xml:space="preserve">. The RAB is the value on which </w:t>
      </w:r>
      <w:r w:rsidR="00DB3032">
        <w:t>TransGrid</w:t>
      </w:r>
      <w:r w:rsidRPr="009F4C42">
        <w:t xml:space="preserve"> earns a return on capital. Further, </w:t>
      </w:r>
      <w:r w:rsidR="00DB3032">
        <w:t>TransGrid</w:t>
      </w:r>
      <w:r w:rsidRPr="009F4C42">
        <w:t xml:space="preserve"> earns a depreciation allowance (or a return of capital) on assets in its RAB. </w:t>
      </w:r>
      <w:r w:rsidR="007D28DD">
        <w:t>T</w:t>
      </w:r>
      <w:r w:rsidRPr="009F4C42">
        <w:t xml:space="preserve">he RAB is </w:t>
      </w:r>
      <w:r w:rsidR="007D28DD">
        <w:t xml:space="preserve">therefore </w:t>
      </w:r>
      <w:r w:rsidRPr="009F4C42">
        <w:t xml:space="preserve">an important input to the return on capital and depreciation building blocks, and thus to the revenue requirement. </w:t>
      </w:r>
    </w:p>
    <w:p w:rsidR="00C862D1" w:rsidRPr="009F4C42" w:rsidRDefault="00C862D1" w:rsidP="00C862D1">
      <w:pPr>
        <w:pStyle w:val="AERbodytext"/>
      </w:pPr>
      <w:r w:rsidRPr="009F4C42">
        <w:t xml:space="preserve">As part of this draft decision, we are required to assess </w:t>
      </w:r>
      <w:r w:rsidR="00DB3032">
        <w:t>TransG</w:t>
      </w:r>
      <w:r w:rsidRPr="009F4C42">
        <w:t>rid's proposed opening value for the RAB for each year of the 2014–1</w:t>
      </w:r>
      <w:r w:rsidR="00DB3032">
        <w:t>8</w:t>
      </w:r>
      <w:r w:rsidRPr="009F4C42">
        <w:t xml:space="preserve"> regulatory control period.</w:t>
      </w:r>
      <w:r w:rsidRPr="009F4C42">
        <w:rPr>
          <w:rStyle w:val="FootnoteReference"/>
        </w:rPr>
        <w:footnoteReference w:id="66"/>
      </w:r>
      <w:r w:rsidRPr="009F4C42">
        <w:t xml:space="preserve"> Our assessment  involved:</w:t>
      </w:r>
    </w:p>
    <w:p w:rsidR="00C862D1" w:rsidRPr="00F42F1E" w:rsidRDefault="00C862D1" w:rsidP="00F42F1E">
      <w:pPr>
        <w:pStyle w:val="AERbulletlistfirststyle"/>
      </w:pPr>
      <w:r w:rsidRPr="00F42F1E">
        <w:t xml:space="preserve">rolling forward the opening RAB at </w:t>
      </w:r>
      <w:r w:rsidRPr="00F42F1E">
        <w:rPr>
          <w:rStyle w:val="AERtexthighlight"/>
          <w:shd w:val="clear" w:color="auto" w:fill="auto"/>
        </w:rPr>
        <w:t>1 July 2009</w:t>
      </w:r>
      <w:r w:rsidRPr="00F42F1E">
        <w:t xml:space="preserve"> to determine the closing RAB at </w:t>
      </w:r>
      <w:r w:rsidRPr="00F42F1E">
        <w:rPr>
          <w:rStyle w:val="AERtexthighlight"/>
          <w:shd w:val="clear" w:color="auto" w:fill="auto"/>
        </w:rPr>
        <w:t>30 June 2014</w:t>
      </w:r>
    </w:p>
    <w:p w:rsidR="00C862D1" w:rsidRPr="00F42F1E" w:rsidRDefault="00C862D1" w:rsidP="00F42F1E">
      <w:pPr>
        <w:pStyle w:val="AERbulletlistfirststyle"/>
      </w:pPr>
      <w:r w:rsidRPr="00F42F1E">
        <w:t>using our draft decision on forecast</w:t>
      </w:r>
      <w:r w:rsidR="000D4609">
        <w:t>s of</w:t>
      </w:r>
      <w:r w:rsidRPr="00F42F1E">
        <w:t xml:space="preserve"> depreciation, capex, disposals and inflation for the </w:t>
      </w:r>
      <w:r w:rsidR="00B75C12">
        <w:br/>
      </w:r>
      <w:r w:rsidRPr="00F42F1E">
        <w:rPr>
          <w:rStyle w:val="AERtexthighlight"/>
          <w:shd w:val="clear" w:color="auto" w:fill="auto"/>
        </w:rPr>
        <w:t>2014–1</w:t>
      </w:r>
      <w:r w:rsidR="00DB3032" w:rsidRPr="00F42F1E">
        <w:rPr>
          <w:rStyle w:val="AERtexthighlight"/>
          <w:shd w:val="clear" w:color="auto" w:fill="auto"/>
        </w:rPr>
        <w:t>8</w:t>
      </w:r>
      <w:r w:rsidRPr="00F42F1E">
        <w:rPr>
          <w:rStyle w:val="AERtexthighlight"/>
          <w:shd w:val="clear" w:color="auto" w:fill="auto"/>
        </w:rPr>
        <w:t xml:space="preserve"> regulatory control period to roll forward </w:t>
      </w:r>
      <w:r w:rsidR="00DB3032" w:rsidRPr="00F42F1E">
        <w:rPr>
          <w:rStyle w:val="AERtexthighlight"/>
          <w:shd w:val="clear" w:color="auto" w:fill="auto"/>
        </w:rPr>
        <w:t>TransG</w:t>
      </w:r>
      <w:r w:rsidRPr="00F42F1E">
        <w:rPr>
          <w:rStyle w:val="AERtexthighlight"/>
          <w:shd w:val="clear" w:color="auto" w:fill="auto"/>
        </w:rPr>
        <w:t>rid's forecast RAB for each year of that period</w:t>
      </w:r>
      <w:r w:rsidRPr="00F42F1E">
        <w:t xml:space="preserve">. </w:t>
      </w:r>
    </w:p>
    <w:p w:rsidR="003B0D45" w:rsidRPr="009F4C42" w:rsidRDefault="003B0D45" w:rsidP="00E14922">
      <w:pPr>
        <w:pStyle w:val="Heading3"/>
      </w:pPr>
      <w:bookmarkStart w:id="43" w:name="_Toc403836296"/>
      <w:bookmarkStart w:id="44" w:name="_Toc404437617"/>
      <w:bookmarkEnd w:id="43"/>
      <w:r w:rsidRPr="009F4C42">
        <w:t xml:space="preserve">Draft </w:t>
      </w:r>
      <w:r w:rsidRPr="00E14922">
        <w:t>decision</w:t>
      </w:r>
      <w:bookmarkEnd w:id="44"/>
    </w:p>
    <w:p w:rsidR="0039350B" w:rsidRDefault="00C862D1" w:rsidP="00F42F1E">
      <w:pPr>
        <w:pStyle w:val="AERbodytext"/>
        <w:rPr>
          <w:rStyle w:val="AERbody"/>
        </w:rPr>
      </w:pPr>
      <w:r w:rsidRPr="009F4C42">
        <w:rPr>
          <w:rStyle w:val="AERbody"/>
        </w:rPr>
        <w:t xml:space="preserve">Our draft decision is to </w:t>
      </w:r>
      <w:r w:rsidR="00BA2BE8">
        <w:rPr>
          <w:rStyle w:val="AERbody"/>
        </w:rPr>
        <w:t>accept</w:t>
      </w:r>
      <w:r w:rsidR="00BA2BE8" w:rsidRPr="009F4C42">
        <w:rPr>
          <w:rStyle w:val="AERbody"/>
        </w:rPr>
        <w:t xml:space="preserve"> </w:t>
      </w:r>
      <w:r w:rsidR="00D526BA">
        <w:rPr>
          <w:rStyle w:val="AERbody"/>
        </w:rPr>
        <w:t>TransGrid</w:t>
      </w:r>
      <w:r w:rsidRPr="009F4C42">
        <w:rPr>
          <w:rStyle w:val="AERbody"/>
        </w:rPr>
        <w:t xml:space="preserve">'s opening RAB </w:t>
      </w:r>
      <w:r w:rsidR="00BA2BE8">
        <w:rPr>
          <w:rStyle w:val="AERbody"/>
        </w:rPr>
        <w:t>of</w:t>
      </w:r>
      <w:r w:rsidR="00BA2BE8" w:rsidRPr="009F4C42">
        <w:rPr>
          <w:rStyle w:val="AERbody"/>
        </w:rPr>
        <w:t xml:space="preserve"> </w:t>
      </w:r>
      <w:r w:rsidRPr="009F4C42">
        <w:rPr>
          <w:rStyle w:val="AERbody"/>
        </w:rPr>
        <w:t>$</w:t>
      </w:r>
      <w:r w:rsidR="00BA2BE8">
        <w:rPr>
          <w:rStyle w:val="AERbody"/>
        </w:rPr>
        <w:t>614</w:t>
      </w:r>
      <w:r w:rsidR="002556AD">
        <w:rPr>
          <w:rStyle w:val="AERbody"/>
        </w:rPr>
        <w:t>6.7</w:t>
      </w:r>
      <w:r w:rsidR="00BA2BE8">
        <w:rPr>
          <w:rStyle w:val="AERbody"/>
        </w:rPr>
        <w:t> </w:t>
      </w:r>
      <w:r w:rsidRPr="009F4C42">
        <w:rPr>
          <w:rStyle w:val="AERbody"/>
        </w:rPr>
        <w:t xml:space="preserve">million at 1 </w:t>
      </w:r>
      <w:r w:rsidR="00BA2BE8">
        <w:rPr>
          <w:rStyle w:val="AERbody"/>
        </w:rPr>
        <w:t xml:space="preserve">July </w:t>
      </w:r>
      <w:r w:rsidRPr="009F4C42">
        <w:rPr>
          <w:rStyle w:val="AERbody"/>
        </w:rPr>
        <w:t>20</w:t>
      </w:r>
      <w:r w:rsidR="00BA2BE8">
        <w:rPr>
          <w:rStyle w:val="AERbody"/>
        </w:rPr>
        <w:t>14</w:t>
      </w:r>
      <w:r w:rsidRPr="009F4C42">
        <w:rPr>
          <w:rStyle w:val="AERbody"/>
        </w:rPr>
        <w:t>.</w:t>
      </w:r>
      <w:r w:rsidR="00114245" w:rsidRPr="00114245">
        <w:rPr>
          <w:rStyle w:val="FootnoteReference"/>
        </w:rPr>
        <w:t xml:space="preserve"> </w:t>
      </w:r>
      <w:r w:rsidR="00114245">
        <w:rPr>
          <w:rStyle w:val="FootnoteReference"/>
        </w:rPr>
        <w:footnoteReference w:id="67"/>
      </w:r>
      <w:r w:rsidRPr="009F4C42">
        <w:rPr>
          <w:rStyle w:val="AERbody"/>
        </w:rPr>
        <w:t xml:space="preserve"> </w:t>
      </w:r>
      <w:r w:rsidR="00BA2BE8">
        <w:rPr>
          <w:rStyle w:val="AERbody"/>
        </w:rPr>
        <w:t>We forecast a closing RAB at 30 June 2018 of $</w:t>
      </w:r>
      <w:r w:rsidR="00B37FC5">
        <w:rPr>
          <w:rStyle w:val="AERbody"/>
        </w:rPr>
        <w:t>6696.8</w:t>
      </w:r>
      <w:r w:rsidR="00BA2BE8">
        <w:rPr>
          <w:rStyle w:val="AERbody"/>
        </w:rPr>
        <w:t> million.</w:t>
      </w:r>
    </w:p>
    <w:p w:rsidR="00BA2BE8" w:rsidRDefault="0039350B" w:rsidP="00603659">
      <w:pPr>
        <w:pStyle w:val="AERbodytext"/>
      </w:pPr>
      <w:r w:rsidRPr="001E4152">
        <w:lastRenderedPageBreak/>
        <w:t xml:space="preserve">We </w:t>
      </w:r>
      <w:r>
        <w:t xml:space="preserve">determine that the forecast depreciation approach is to be used </w:t>
      </w:r>
      <w:r w:rsidRPr="001E4152">
        <w:t xml:space="preserve">to </w:t>
      </w:r>
      <w:r>
        <w:t xml:space="preserve">establish the RAB at the commencement of the regulatory control period </w:t>
      </w:r>
      <w:r w:rsidRPr="001F0B76">
        <w:t xml:space="preserve">from </w:t>
      </w:r>
      <w:r w:rsidRPr="0001634F">
        <w:rPr>
          <w:rStyle w:val="AERtexthighlight"/>
          <w:shd w:val="clear" w:color="auto" w:fill="auto"/>
        </w:rPr>
        <w:t>1 July 2018</w:t>
      </w:r>
      <w:r>
        <w:t xml:space="preserve"> for TransGrid. </w:t>
      </w:r>
    </w:p>
    <w:p w:rsidR="00C862D1" w:rsidRPr="009F4C42" w:rsidRDefault="00F42F1E" w:rsidP="00F42F1E">
      <w:pPr>
        <w:pStyle w:val="AERbodytext"/>
      </w:pPr>
      <w:r>
        <w:fldChar w:fldCharType="begin"/>
      </w:r>
      <w:r>
        <w:instrText xml:space="preserve"> REF _Ref402184633 \h </w:instrText>
      </w:r>
      <w:r>
        <w:fldChar w:fldCharType="separate"/>
      </w:r>
      <w:r w:rsidR="00C71301">
        <w:t xml:space="preserve">Table </w:t>
      </w:r>
      <w:r w:rsidR="00C71301">
        <w:rPr>
          <w:noProof/>
        </w:rPr>
        <w:t>8</w:t>
      </w:r>
      <w:r w:rsidR="00C71301">
        <w:noBreakHyphen/>
      </w:r>
      <w:r w:rsidR="00C71301">
        <w:rPr>
          <w:noProof/>
        </w:rPr>
        <w:t>1</w:t>
      </w:r>
      <w:r>
        <w:fldChar w:fldCharType="end"/>
      </w:r>
      <w:r w:rsidRPr="00F42F1E">
        <w:t xml:space="preserve"> and </w:t>
      </w:r>
      <w:r>
        <w:fldChar w:fldCharType="begin"/>
      </w:r>
      <w:r>
        <w:instrText xml:space="preserve"> REF _Ref402184638 \h </w:instrText>
      </w:r>
      <w:r>
        <w:fldChar w:fldCharType="separate"/>
      </w:r>
      <w:r w:rsidR="00C71301">
        <w:t xml:space="preserve">Table </w:t>
      </w:r>
      <w:r w:rsidR="00C71301">
        <w:rPr>
          <w:noProof/>
        </w:rPr>
        <w:t>8</w:t>
      </w:r>
      <w:r w:rsidR="00C71301">
        <w:noBreakHyphen/>
      </w:r>
      <w:r w:rsidR="00C71301">
        <w:rPr>
          <w:noProof/>
        </w:rPr>
        <w:t>2</w:t>
      </w:r>
      <w:r>
        <w:fldChar w:fldCharType="end"/>
      </w:r>
      <w:r w:rsidRPr="00F42F1E">
        <w:t xml:space="preserve"> set out our draft decision on the roll forward of the RAB values</w:t>
      </w:r>
      <w:r w:rsidRPr="001F0AB0">
        <w:t xml:space="preserve"> </w:t>
      </w:r>
      <w:r w:rsidRPr="00F42F1E">
        <w:t xml:space="preserve">for TransGrid's </w:t>
      </w:r>
      <w:r w:rsidRPr="00BA2BE8">
        <w:rPr>
          <w:rStyle w:val="AERtexthighlight"/>
          <w:shd w:val="clear" w:color="auto" w:fill="auto"/>
        </w:rPr>
        <w:t>2009</w:t>
      </w:r>
      <w:r w:rsidRPr="00BA2BE8">
        <w:rPr>
          <w:rStyle w:val="AERtexthighlight"/>
          <w:rFonts w:hint="eastAsia"/>
          <w:shd w:val="clear" w:color="auto" w:fill="auto"/>
        </w:rPr>
        <w:t>–</w:t>
      </w:r>
      <w:r w:rsidRPr="00BA2BE8">
        <w:rPr>
          <w:rStyle w:val="AERtexthighlight"/>
          <w:shd w:val="clear" w:color="auto" w:fill="auto"/>
        </w:rPr>
        <w:t>14</w:t>
      </w:r>
      <w:r w:rsidRPr="00F42F1E">
        <w:t xml:space="preserve"> regulatory control period and the forecast RAB values for </w:t>
      </w:r>
      <w:r w:rsidR="007D28DD">
        <w:t>the</w:t>
      </w:r>
      <w:r w:rsidR="007D28DD" w:rsidRPr="00F42F1E">
        <w:t xml:space="preserve"> </w:t>
      </w:r>
      <w:r w:rsidRPr="00BA2BE8">
        <w:rPr>
          <w:rStyle w:val="AERtexthighlight"/>
          <w:shd w:val="clear" w:color="auto" w:fill="auto"/>
        </w:rPr>
        <w:t>2014</w:t>
      </w:r>
      <w:r w:rsidRPr="00BA2BE8">
        <w:rPr>
          <w:rStyle w:val="AERtexthighlight"/>
          <w:rFonts w:hint="eastAsia"/>
          <w:shd w:val="clear" w:color="auto" w:fill="auto"/>
        </w:rPr>
        <w:t>–</w:t>
      </w:r>
      <w:r w:rsidRPr="00BA2BE8">
        <w:rPr>
          <w:rStyle w:val="AERtexthighlight"/>
          <w:shd w:val="clear" w:color="auto" w:fill="auto"/>
        </w:rPr>
        <w:t>18</w:t>
      </w:r>
      <w:r w:rsidRPr="001F0B76">
        <w:t xml:space="preserve"> </w:t>
      </w:r>
      <w:r w:rsidRPr="00D528E6">
        <w:t>period</w:t>
      </w:r>
      <w:r>
        <w:t xml:space="preserve"> respectively</w:t>
      </w:r>
      <w:r w:rsidRPr="005F16CE">
        <w:t>.</w:t>
      </w:r>
    </w:p>
    <w:p w:rsidR="00C862D1" w:rsidRPr="009F4C42" w:rsidRDefault="00D45A20" w:rsidP="00D45A20">
      <w:pPr>
        <w:pStyle w:val="Caption"/>
      </w:pPr>
      <w:bookmarkStart w:id="45" w:name="_Ref402184633"/>
      <w:r>
        <w:t xml:space="preserve">Table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1</w:t>
      </w:r>
      <w:r w:rsidR="00864D56">
        <w:rPr>
          <w:noProof/>
        </w:rPr>
        <w:fldChar w:fldCharType="end"/>
      </w:r>
      <w:bookmarkEnd w:id="45"/>
      <w:r>
        <w:tab/>
      </w:r>
      <w:r w:rsidRPr="00D45A20">
        <w:t>AER's draft decision on TransGrid's RAB for the 2009–14 regulatory control period ($ million, nominal)</w:t>
      </w:r>
    </w:p>
    <w:tbl>
      <w:tblPr>
        <w:tblStyle w:val="AERtable-numbers"/>
        <w:tblW w:w="5000" w:type="pct"/>
        <w:tblLook w:val="01E0" w:firstRow="1" w:lastRow="1" w:firstColumn="1" w:lastColumn="1" w:noHBand="0" w:noVBand="0"/>
      </w:tblPr>
      <w:tblGrid>
        <w:gridCol w:w="3651"/>
        <w:gridCol w:w="1115"/>
        <w:gridCol w:w="1115"/>
        <w:gridCol w:w="1115"/>
        <w:gridCol w:w="1113"/>
        <w:gridCol w:w="1133"/>
      </w:tblGrid>
      <w:tr w:rsidR="00D45A20" w:rsidRPr="00200EA2" w:rsidTr="00D45A20">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F44F47" w:rsidRDefault="00D45A20" w:rsidP="00D45A20"/>
        </w:tc>
        <w:tc>
          <w:tcPr>
            <w:tcW w:w="603"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pPr>
            <w:r w:rsidRPr="00FE6DD0">
              <w:t>2009–10</w:t>
            </w:r>
          </w:p>
        </w:tc>
        <w:tc>
          <w:tcPr>
            <w:tcW w:w="603"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pPr>
            <w:r w:rsidRPr="00FE6DD0">
              <w:t>2010–11</w:t>
            </w:r>
          </w:p>
        </w:tc>
        <w:tc>
          <w:tcPr>
            <w:tcW w:w="603"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rPr>
                <w:rStyle w:val="AERsuperscript"/>
              </w:rPr>
            </w:pPr>
            <w:r w:rsidRPr="00FE6DD0">
              <w:t>2011–12</w:t>
            </w:r>
          </w:p>
        </w:tc>
        <w:tc>
          <w:tcPr>
            <w:tcW w:w="602"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pPr>
            <w:r w:rsidRPr="00FE6DD0">
              <w:t>2012–13</w:t>
            </w:r>
          </w:p>
        </w:tc>
        <w:tc>
          <w:tcPr>
            <w:tcW w:w="613"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pPr>
            <w:r w:rsidRPr="00FE6DD0">
              <w:t>2013–14</w:t>
            </w:r>
            <w:r w:rsidRPr="00D45A20">
              <w:rPr>
                <w:rStyle w:val="AERsuperscript"/>
              </w:rPr>
              <w:t>a</w:t>
            </w:r>
          </w:p>
        </w:tc>
      </w:tr>
      <w:tr w:rsidR="00D45A20" w:rsidRPr="00200EA2" w:rsidTr="00D45A20">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D45A20" w:rsidRDefault="00D45A20" w:rsidP="00D45A20">
            <w:pPr>
              <w:pStyle w:val="AERtabletextleft"/>
            </w:pPr>
            <w:r w:rsidRPr="00D36EEF">
              <w:t>Opening RAB</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4217.5</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4578.8</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4926.0</w:t>
            </w:r>
          </w:p>
        </w:tc>
        <w:tc>
          <w:tcPr>
            <w:tcW w:w="602"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5174.6</w:t>
            </w:r>
          </w:p>
        </w:tc>
        <w:tc>
          <w:tcPr>
            <w:tcW w:w="61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5607.2</w:t>
            </w:r>
          </w:p>
        </w:tc>
      </w:tr>
      <w:tr w:rsidR="00D45A20" w:rsidRPr="00200EA2" w:rsidTr="00D45A20">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D45A20" w:rsidRDefault="00D45A20" w:rsidP="00D45A20">
            <w:pPr>
              <w:pStyle w:val="AERtabletextleft"/>
            </w:pPr>
            <w:r w:rsidRPr="00D36EEF">
              <w:t>Cap</w:t>
            </w:r>
            <w:r w:rsidRPr="00D45A20">
              <w:t>ital expenditure</w:t>
            </w:r>
            <w:r w:rsidRPr="00D45A20">
              <w:rPr>
                <w:rStyle w:val="AERsuperscript"/>
              </w:rPr>
              <w:t>b</w:t>
            </w:r>
            <w:r w:rsidRPr="00D45A20">
              <w:t xml:space="preserve"> </w:t>
            </w:r>
          </w:p>
        </w:tc>
        <w:tc>
          <w:tcPr>
            <w:tcW w:w="60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418.5</w:t>
            </w:r>
          </w:p>
        </w:tc>
        <w:tc>
          <w:tcPr>
            <w:tcW w:w="60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376.2</w:t>
            </w:r>
          </w:p>
        </w:tc>
        <w:tc>
          <w:tcPr>
            <w:tcW w:w="60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354.8</w:t>
            </w:r>
          </w:p>
        </w:tc>
        <w:tc>
          <w:tcPr>
            <w:tcW w:w="602"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502.2</w:t>
            </w:r>
          </w:p>
        </w:tc>
        <w:tc>
          <w:tcPr>
            <w:tcW w:w="61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565.5</w:t>
            </w:r>
          </w:p>
        </w:tc>
      </w:tr>
      <w:tr w:rsidR="00D45A20" w:rsidRPr="00200EA2" w:rsidTr="00D45A20">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D45A20" w:rsidRDefault="00D45A20" w:rsidP="00D45A20">
            <w:pPr>
              <w:pStyle w:val="AERtabletextleft"/>
            </w:pPr>
            <w:r w:rsidRPr="00D36EEF">
              <w:t>CPI indexation on opening RAB</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121.8</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152.6</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78.1</w:t>
            </w:r>
          </w:p>
        </w:tc>
        <w:tc>
          <w:tcPr>
            <w:tcW w:w="602"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129.5</w:t>
            </w:r>
          </w:p>
        </w:tc>
        <w:tc>
          <w:tcPr>
            <w:tcW w:w="61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164.3</w:t>
            </w:r>
          </w:p>
        </w:tc>
      </w:tr>
      <w:tr w:rsidR="00D45A20" w:rsidRPr="00200EA2" w:rsidTr="00D45A20">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D45A20" w:rsidRDefault="00D45A20" w:rsidP="00D45A20">
            <w:pPr>
              <w:pStyle w:val="AERtabletextleft"/>
            </w:pPr>
            <w:r w:rsidRPr="00D36EEF">
              <w:t>Straight-line depreciation</w:t>
            </w:r>
            <w:r w:rsidRPr="00D45A20">
              <w:rPr>
                <w:rStyle w:val="AERsuperscript"/>
              </w:rPr>
              <w:t>c</w:t>
            </w:r>
          </w:p>
        </w:tc>
        <w:tc>
          <w:tcPr>
            <w:tcW w:w="60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w:t>
            </w:r>
            <w:r w:rsidRPr="00D45A20">
              <w:t>179.0</w:t>
            </w:r>
          </w:p>
        </w:tc>
        <w:tc>
          <w:tcPr>
            <w:tcW w:w="60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w:t>
            </w:r>
            <w:r w:rsidRPr="00D45A20">
              <w:t>181.7</w:t>
            </w:r>
          </w:p>
        </w:tc>
        <w:tc>
          <w:tcPr>
            <w:tcW w:w="60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w:t>
            </w:r>
            <w:r w:rsidRPr="00D45A20">
              <w:t>184.2</w:t>
            </w:r>
          </w:p>
        </w:tc>
        <w:tc>
          <w:tcPr>
            <w:tcW w:w="602"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w:t>
            </w:r>
            <w:r w:rsidRPr="00D45A20">
              <w:t>199.1</w:t>
            </w:r>
          </w:p>
        </w:tc>
        <w:tc>
          <w:tcPr>
            <w:tcW w:w="61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w:t>
            </w:r>
            <w:r w:rsidRPr="00D45A20">
              <w:t>222.3</w:t>
            </w:r>
          </w:p>
        </w:tc>
      </w:tr>
      <w:tr w:rsidR="00D45A20" w:rsidRPr="00200EA2" w:rsidTr="00D45A20">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D45A20" w:rsidRDefault="00D45A20" w:rsidP="00D45A20">
            <w:pPr>
              <w:pStyle w:val="AERtabletextleft"/>
            </w:pPr>
            <w:r w:rsidRPr="00D36EEF">
              <w:t>Closing RAB</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4578.8</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4926.0</w:t>
            </w:r>
          </w:p>
        </w:tc>
        <w:tc>
          <w:tcPr>
            <w:tcW w:w="60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5174.6</w:t>
            </w:r>
          </w:p>
        </w:tc>
        <w:tc>
          <w:tcPr>
            <w:tcW w:w="602"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5607.2</w:t>
            </w:r>
          </w:p>
        </w:tc>
        <w:tc>
          <w:tcPr>
            <w:tcW w:w="61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6105.7</w:t>
            </w:r>
          </w:p>
        </w:tc>
      </w:tr>
      <w:tr w:rsidR="00D45A20" w:rsidRPr="00200EA2" w:rsidTr="00D45A20">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D45A20" w:rsidRDefault="00D45A20" w:rsidP="00D45A20">
            <w:pPr>
              <w:pStyle w:val="AERtabletextleft"/>
            </w:pPr>
            <w:r w:rsidRPr="00D36EEF">
              <w:t xml:space="preserve">Difference between </w:t>
            </w:r>
            <w:r w:rsidRPr="00D45A20">
              <w:t>estimated and actual capex (1 July  2008 to 30 June 2009)</w:t>
            </w:r>
            <w:r w:rsidR="00A26D7E" w:rsidRPr="00F02D30">
              <w:rPr>
                <w:rStyle w:val="AERsuperscript"/>
              </w:rPr>
              <w:t>d</w:t>
            </w:r>
          </w:p>
        </w:tc>
        <w:tc>
          <w:tcPr>
            <w:tcW w:w="603" w:type="pct"/>
          </w:tcPr>
          <w:p w:rsidR="00D45A20" w:rsidRPr="00AE77F4"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p>
        </w:tc>
        <w:tc>
          <w:tcPr>
            <w:tcW w:w="603" w:type="pct"/>
          </w:tcPr>
          <w:p w:rsidR="00D45A20" w:rsidRPr="00AE77F4"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p>
        </w:tc>
        <w:tc>
          <w:tcPr>
            <w:tcW w:w="603" w:type="pct"/>
          </w:tcPr>
          <w:p w:rsidR="00D45A20" w:rsidRPr="00AE77F4"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tcPr>
          <w:p w:rsidR="00D45A20" w:rsidRPr="009A6FC1"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p>
        </w:tc>
        <w:tc>
          <w:tcPr>
            <w:tcW w:w="61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25.2</w:t>
            </w:r>
          </w:p>
        </w:tc>
      </w:tr>
      <w:tr w:rsidR="00D45A20" w:rsidRPr="00200EA2" w:rsidTr="00D45A20">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D45A20" w:rsidRDefault="00D45A20" w:rsidP="00D45A20">
            <w:pPr>
              <w:pStyle w:val="AERtabletextleft"/>
            </w:pPr>
            <w:r>
              <w:t>Return on difference for 200</w:t>
            </w:r>
            <w:r w:rsidRPr="00D45A20">
              <w:t>8–09 capex</w:t>
            </w:r>
            <w:r w:rsidR="00A26D7E">
              <w:rPr>
                <w:rStyle w:val="AERsuperscript"/>
              </w:rPr>
              <w:t>d</w:t>
            </w:r>
          </w:p>
        </w:tc>
        <w:tc>
          <w:tcPr>
            <w:tcW w:w="603" w:type="pct"/>
          </w:tcPr>
          <w:p w:rsidR="00D45A20" w:rsidRPr="00AE77F4"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p>
        </w:tc>
        <w:tc>
          <w:tcPr>
            <w:tcW w:w="603" w:type="pct"/>
          </w:tcPr>
          <w:p w:rsidR="00D45A20" w:rsidRPr="00AE77F4"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p>
        </w:tc>
        <w:tc>
          <w:tcPr>
            <w:tcW w:w="603" w:type="pct"/>
          </w:tcPr>
          <w:p w:rsidR="00D45A20" w:rsidRPr="00AE77F4"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tcPr>
          <w:p w:rsidR="00D45A20" w:rsidRPr="009A6FC1"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p>
        </w:tc>
        <w:tc>
          <w:tcPr>
            <w:tcW w:w="613" w:type="pct"/>
          </w:tcPr>
          <w:p w:rsidR="00D45A20" w:rsidRPr="00D45A20" w:rsidRDefault="00D45A20" w:rsidP="00D45A20">
            <w:pPr>
              <w:pStyle w:val="AERtabletextright"/>
              <w:cnfStyle w:val="000000000000" w:firstRow="0" w:lastRow="0" w:firstColumn="0" w:lastColumn="0" w:oddVBand="0" w:evenVBand="0" w:oddHBand="0" w:evenHBand="0" w:firstRowFirstColumn="0" w:firstRowLastColumn="0" w:lastRowFirstColumn="0" w:lastRowLastColumn="0"/>
            </w:pPr>
            <w:r>
              <w:t>15.8</w:t>
            </w:r>
          </w:p>
        </w:tc>
      </w:tr>
      <w:tr w:rsidR="00D45A20" w:rsidRPr="00200EA2" w:rsidTr="00D45A20">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D45A20" w:rsidRPr="00D45A20" w:rsidRDefault="00D45A20" w:rsidP="00D45A20">
            <w:pPr>
              <w:pStyle w:val="AERtabletextleft"/>
            </w:pPr>
            <w:r>
              <w:t xml:space="preserve">Opening RAB as at 1 </w:t>
            </w:r>
            <w:r w:rsidRPr="00D45A20">
              <w:t>July 2014</w:t>
            </w:r>
          </w:p>
        </w:tc>
        <w:tc>
          <w:tcPr>
            <w:tcW w:w="603" w:type="pct"/>
          </w:tcPr>
          <w:p w:rsidR="00D45A20" w:rsidRPr="00AE77F4"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p>
        </w:tc>
        <w:tc>
          <w:tcPr>
            <w:tcW w:w="603" w:type="pct"/>
          </w:tcPr>
          <w:p w:rsidR="00D45A20" w:rsidRPr="00AE77F4"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p>
        </w:tc>
        <w:tc>
          <w:tcPr>
            <w:tcW w:w="603" w:type="pct"/>
          </w:tcPr>
          <w:p w:rsidR="00D45A20" w:rsidRPr="00AE77F4"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tcPr>
          <w:p w:rsidR="00D45A20" w:rsidRPr="009A6FC1"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p>
        </w:tc>
        <w:tc>
          <w:tcPr>
            <w:tcW w:w="613"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6146.7</w:t>
            </w:r>
          </w:p>
        </w:tc>
      </w:tr>
    </w:tbl>
    <w:p w:rsidR="00C862D1" w:rsidRPr="009F4C42" w:rsidRDefault="00C862D1" w:rsidP="00C862D1">
      <w:pPr>
        <w:pStyle w:val="AERtablesource"/>
      </w:pPr>
      <w:r w:rsidRPr="009F4C42">
        <w:t>Source:</w:t>
      </w:r>
      <w:r w:rsidRPr="009F4C42">
        <w:tab/>
        <w:t>AER analysis.</w:t>
      </w:r>
    </w:p>
    <w:p w:rsidR="00D45A20" w:rsidRPr="00D45A20" w:rsidRDefault="00D45A20" w:rsidP="00D45A20">
      <w:pPr>
        <w:pStyle w:val="AERtablesource"/>
      </w:pPr>
      <w:r w:rsidRPr="004F3D9B">
        <w:t>(a)</w:t>
      </w:r>
      <w:r w:rsidRPr="004F3D9B">
        <w:tab/>
        <w:t xml:space="preserve">Based on estimated capex. We will update the RAB roll forward for actual capex </w:t>
      </w:r>
      <w:r w:rsidRPr="00D45A20">
        <w:t>in the final decision.</w:t>
      </w:r>
    </w:p>
    <w:p w:rsidR="00D45A20" w:rsidRPr="004F3D9B" w:rsidRDefault="00D45A20" w:rsidP="00D45A20">
      <w:pPr>
        <w:pStyle w:val="AERtablesource"/>
      </w:pPr>
      <w:r>
        <w:t>(b</w:t>
      </w:r>
      <w:r w:rsidRPr="004F3D9B">
        <w:t xml:space="preserve">) </w:t>
      </w:r>
      <w:r w:rsidRPr="004F3D9B">
        <w:tab/>
        <w:t xml:space="preserve">As incurred, net of disposals, and adjusted for actual CPI. </w:t>
      </w:r>
    </w:p>
    <w:p w:rsidR="00A26D7E" w:rsidRDefault="00D45A20" w:rsidP="00D45A20">
      <w:pPr>
        <w:pStyle w:val="AERtablesource"/>
      </w:pPr>
      <w:r w:rsidRPr="004F3D9B">
        <w:t>(</w:t>
      </w:r>
      <w:r>
        <w:t>c</w:t>
      </w:r>
      <w:r w:rsidRPr="004F3D9B">
        <w:t>)</w:t>
      </w:r>
      <w:r w:rsidRPr="004F3D9B">
        <w:tab/>
        <w:t>Adjusted for actual CPI. Based on as-commissioned capex.</w:t>
      </w:r>
      <w:r w:rsidR="00A26D7E">
        <w:t xml:space="preserve"> </w:t>
      </w:r>
    </w:p>
    <w:p w:rsidR="00D45A20" w:rsidRPr="004F3D9B" w:rsidRDefault="00A26D7E" w:rsidP="00D45A20">
      <w:pPr>
        <w:pStyle w:val="AERtablesource"/>
      </w:pPr>
      <w:r>
        <w:t>(d)</w:t>
      </w:r>
      <w:r>
        <w:tab/>
        <w:t xml:space="preserve">This is the true-up adjustment relating to the 2008–09 capex estimate (final year of previous regulatory control period) used in the 2009 determination </w:t>
      </w:r>
      <w:r w:rsidR="005B18D1">
        <w:t>to</w:t>
      </w:r>
      <w:r>
        <w:t xml:space="preserve"> account</w:t>
      </w:r>
      <w:r w:rsidR="005B18D1">
        <w:t xml:space="preserve"> </w:t>
      </w:r>
      <w:r>
        <w:t xml:space="preserve">for the difference </w:t>
      </w:r>
      <w:r w:rsidR="005B18D1">
        <w:t>between that estimate and</w:t>
      </w:r>
      <w:r>
        <w:t xml:space="preserve"> actual capex</w:t>
      </w:r>
      <w:r w:rsidR="005B18D1">
        <w:t xml:space="preserve"> that is</w:t>
      </w:r>
      <w:r>
        <w:t xml:space="preserve"> now available.</w:t>
      </w:r>
    </w:p>
    <w:p w:rsidR="00C862D1" w:rsidRPr="009F4C42" w:rsidRDefault="00D45A20" w:rsidP="00D45A20">
      <w:pPr>
        <w:pStyle w:val="Caption"/>
      </w:pPr>
      <w:bookmarkStart w:id="46" w:name="_Ref402184638"/>
      <w:r>
        <w:t xml:space="preserve">Table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2</w:t>
      </w:r>
      <w:r w:rsidR="00864D56">
        <w:rPr>
          <w:noProof/>
        </w:rPr>
        <w:fldChar w:fldCharType="end"/>
      </w:r>
      <w:bookmarkEnd w:id="46"/>
      <w:r>
        <w:tab/>
      </w:r>
      <w:r w:rsidRPr="00D45A20">
        <w:t>AER's draft decision on TransGrid's RAB for the 2014–18 period ($ million, nominal)</w:t>
      </w:r>
    </w:p>
    <w:tbl>
      <w:tblPr>
        <w:tblStyle w:val="AERtable-numbers"/>
        <w:tblW w:w="4944" w:type="pct"/>
        <w:tblLook w:val="01E0" w:firstRow="1" w:lastRow="1" w:firstColumn="1" w:lastColumn="1" w:noHBand="0" w:noVBand="0"/>
      </w:tblPr>
      <w:tblGrid>
        <w:gridCol w:w="4112"/>
        <w:gridCol w:w="1259"/>
        <w:gridCol w:w="1257"/>
        <w:gridCol w:w="1256"/>
        <w:gridCol w:w="1254"/>
      </w:tblGrid>
      <w:tr w:rsidR="00D45A20" w:rsidRPr="00092AED" w:rsidTr="00D45A2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D45A20" w:rsidRPr="00482996" w:rsidRDefault="00D45A20" w:rsidP="00D45A20"/>
        </w:tc>
        <w:tc>
          <w:tcPr>
            <w:tcW w:w="689"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pPr>
            <w:r w:rsidRPr="00482996">
              <w:t>2014–15</w:t>
            </w:r>
          </w:p>
        </w:tc>
        <w:tc>
          <w:tcPr>
            <w:tcW w:w="688"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pPr>
            <w:r w:rsidRPr="00482996">
              <w:t>2015–16</w:t>
            </w:r>
          </w:p>
        </w:tc>
        <w:tc>
          <w:tcPr>
            <w:tcW w:w="687"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pPr>
            <w:r w:rsidRPr="00482996">
              <w:t>2016–17</w:t>
            </w:r>
          </w:p>
        </w:tc>
        <w:tc>
          <w:tcPr>
            <w:tcW w:w="686" w:type="pct"/>
          </w:tcPr>
          <w:p w:rsidR="00D45A20" w:rsidRPr="00D45A20" w:rsidRDefault="00D45A20" w:rsidP="00D45A20">
            <w:pPr>
              <w:pStyle w:val="AERtabletextright"/>
              <w:cnfStyle w:val="100000000000" w:firstRow="1" w:lastRow="0" w:firstColumn="0" w:lastColumn="0" w:oddVBand="0" w:evenVBand="0" w:oddHBand="0" w:evenHBand="0" w:firstRowFirstColumn="0" w:firstRowLastColumn="0" w:lastRowFirstColumn="0" w:lastRowLastColumn="0"/>
            </w:pPr>
            <w:r w:rsidRPr="00482996">
              <w:t>2017–18</w:t>
            </w:r>
          </w:p>
        </w:tc>
      </w:tr>
      <w:tr w:rsidR="00D45A20" w:rsidRPr="00D36EEF" w:rsidTr="00D45A20">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D45A20" w:rsidRPr="00D45A20" w:rsidRDefault="00D45A20" w:rsidP="00D45A20">
            <w:pPr>
              <w:pStyle w:val="AERtabletextleft"/>
            </w:pPr>
            <w:r>
              <w:t>Opening RAB</w:t>
            </w:r>
          </w:p>
        </w:tc>
        <w:tc>
          <w:tcPr>
            <w:tcW w:w="689" w:type="pct"/>
          </w:tcPr>
          <w:p w:rsidR="00D45A20" w:rsidRPr="008F6FA4" w:rsidRDefault="00B37FC5" w:rsidP="00D45A20">
            <w:pPr>
              <w:pStyle w:val="AERtabletextright"/>
              <w:cnfStyle w:val="000000000000" w:firstRow="0" w:lastRow="0" w:firstColumn="0" w:lastColumn="0" w:oddVBand="0" w:evenVBand="0" w:oddHBand="0" w:evenHBand="0" w:firstRowFirstColumn="0" w:firstRowLastColumn="0" w:lastRowFirstColumn="0" w:lastRowLastColumn="0"/>
            </w:pPr>
            <w:r>
              <w:t>6146.7</w:t>
            </w:r>
          </w:p>
        </w:tc>
        <w:tc>
          <w:tcPr>
            <w:tcW w:w="688" w:type="pct"/>
          </w:tcPr>
          <w:p w:rsidR="00D45A20" w:rsidRPr="008F6FA4" w:rsidRDefault="00B37FC5" w:rsidP="00D45A20">
            <w:pPr>
              <w:pStyle w:val="AERtabletextright"/>
              <w:cnfStyle w:val="000000000000" w:firstRow="0" w:lastRow="0" w:firstColumn="0" w:lastColumn="0" w:oddVBand="0" w:evenVBand="0" w:oddHBand="0" w:evenHBand="0" w:firstRowFirstColumn="0" w:firstRowLastColumn="0" w:lastRowFirstColumn="0" w:lastRowLastColumn="0"/>
            </w:pPr>
            <w:r>
              <w:t>6303.0</w:t>
            </w:r>
          </w:p>
        </w:tc>
        <w:tc>
          <w:tcPr>
            <w:tcW w:w="687" w:type="pct"/>
          </w:tcPr>
          <w:p w:rsidR="00D45A20" w:rsidRPr="008F6FA4" w:rsidRDefault="00B37FC5" w:rsidP="00D45A20">
            <w:pPr>
              <w:pStyle w:val="AERtabletextright"/>
              <w:cnfStyle w:val="000000000000" w:firstRow="0" w:lastRow="0" w:firstColumn="0" w:lastColumn="0" w:oddVBand="0" w:evenVBand="0" w:oddHBand="0" w:evenHBand="0" w:firstRowFirstColumn="0" w:firstRowLastColumn="0" w:lastRowFirstColumn="0" w:lastRowLastColumn="0"/>
            </w:pPr>
            <w:r>
              <w:t>6447.5</w:t>
            </w:r>
          </w:p>
        </w:tc>
        <w:tc>
          <w:tcPr>
            <w:tcW w:w="686" w:type="pct"/>
          </w:tcPr>
          <w:p w:rsidR="00D45A20" w:rsidRPr="00482996" w:rsidRDefault="00B37FC5" w:rsidP="00D45A20">
            <w:pPr>
              <w:pStyle w:val="AERtabletextright"/>
              <w:cnfStyle w:val="000000000000" w:firstRow="0" w:lastRow="0" w:firstColumn="0" w:lastColumn="0" w:oddVBand="0" w:evenVBand="0" w:oddHBand="0" w:evenHBand="0" w:firstRowFirstColumn="0" w:firstRowLastColumn="0" w:lastRowFirstColumn="0" w:lastRowLastColumn="0"/>
            </w:pPr>
            <w:r>
              <w:t>6564.1</w:t>
            </w:r>
          </w:p>
        </w:tc>
      </w:tr>
      <w:tr w:rsidR="00D45A20" w:rsidRPr="00D36EEF" w:rsidTr="00D45A20">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D45A20" w:rsidRPr="00D45A20" w:rsidRDefault="00D45A20" w:rsidP="00D45A20">
            <w:pPr>
              <w:pStyle w:val="AERtabletextleft"/>
            </w:pPr>
            <w:r w:rsidRPr="00482996">
              <w:t>Capital expenditure</w:t>
            </w:r>
            <w:r w:rsidRPr="00D45A20">
              <w:rPr>
                <w:rStyle w:val="AERsuperscript"/>
              </w:rPr>
              <w:t>a</w:t>
            </w:r>
            <w:r w:rsidRPr="00D45A20">
              <w:t xml:space="preserve"> </w:t>
            </w:r>
          </w:p>
        </w:tc>
        <w:tc>
          <w:tcPr>
            <w:tcW w:w="689" w:type="pct"/>
          </w:tcPr>
          <w:p w:rsidR="00D45A20" w:rsidRPr="008F6FA4" w:rsidRDefault="00B37FC5" w:rsidP="00D45A20">
            <w:pPr>
              <w:pStyle w:val="AERtabletextright"/>
              <w:cnfStyle w:val="000000010000" w:firstRow="0" w:lastRow="0" w:firstColumn="0" w:lastColumn="0" w:oddVBand="0" w:evenVBand="0" w:oddHBand="0" w:evenHBand="1" w:firstRowFirstColumn="0" w:firstRowLastColumn="0" w:lastRowFirstColumn="0" w:lastRowLastColumn="0"/>
            </w:pPr>
            <w:r>
              <w:t>249.5</w:t>
            </w:r>
          </w:p>
        </w:tc>
        <w:tc>
          <w:tcPr>
            <w:tcW w:w="688" w:type="pct"/>
          </w:tcPr>
          <w:p w:rsidR="00D45A20" w:rsidRPr="008F6FA4" w:rsidRDefault="00B37FC5" w:rsidP="00D45A20">
            <w:pPr>
              <w:pStyle w:val="AERtabletextright"/>
              <w:cnfStyle w:val="000000010000" w:firstRow="0" w:lastRow="0" w:firstColumn="0" w:lastColumn="0" w:oddVBand="0" w:evenVBand="0" w:oddHBand="0" w:evenHBand="1" w:firstRowFirstColumn="0" w:firstRowLastColumn="0" w:lastRowFirstColumn="0" w:lastRowLastColumn="0"/>
            </w:pPr>
            <w:r>
              <w:t>254.4</w:t>
            </w:r>
          </w:p>
        </w:tc>
        <w:tc>
          <w:tcPr>
            <w:tcW w:w="687" w:type="pct"/>
          </w:tcPr>
          <w:p w:rsidR="00D45A20" w:rsidRPr="008F6FA4" w:rsidRDefault="00B37FC5" w:rsidP="00D45A20">
            <w:pPr>
              <w:pStyle w:val="AERtabletextright"/>
              <w:cnfStyle w:val="000000010000" w:firstRow="0" w:lastRow="0" w:firstColumn="0" w:lastColumn="0" w:oddVBand="0" w:evenVBand="0" w:oddHBand="0" w:evenHBand="1" w:firstRowFirstColumn="0" w:firstRowLastColumn="0" w:lastRowFirstColumn="0" w:lastRowLastColumn="0"/>
            </w:pPr>
            <w:r>
              <w:t>242.7</w:t>
            </w:r>
          </w:p>
        </w:tc>
        <w:tc>
          <w:tcPr>
            <w:tcW w:w="686" w:type="pct"/>
          </w:tcPr>
          <w:p w:rsidR="00D45A20" w:rsidRPr="00482996" w:rsidRDefault="00B37FC5" w:rsidP="00D45A20">
            <w:pPr>
              <w:pStyle w:val="AERtabletextright"/>
              <w:cnfStyle w:val="000000010000" w:firstRow="0" w:lastRow="0" w:firstColumn="0" w:lastColumn="0" w:oddVBand="0" w:evenVBand="0" w:oddHBand="0" w:evenHBand="1" w:firstRowFirstColumn="0" w:firstRowLastColumn="0" w:lastRowFirstColumn="0" w:lastRowLastColumn="0"/>
            </w:pPr>
            <w:r>
              <w:t>244.4</w:t>
            </w:r>
          </w:p>
        </w:tc>
      </w:tr>
      <w:tr w:rsidR="00D45A20" w:rsidRPr="00D36EEF" w:rsidTr="00D45A20">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D45A20" w:rsidRPr="00D45A20" w:rsidRDefault="00D45A20" w:rsidP="00D45A20">
            <w:pPr>
              <w:pStyle w:val="AERtabletextleft"/>
            </w:pPr>
            <w:r w:rsidRPr="00482996">
              <w:t>Inflation indexation on opening RAB</w:t>
            </w:r>
          </w:p>
        </w:tc>
        <w:tc>
          <w:tcPr>
            <w:tcW w:w="689" w:type="pct"/>
          </w:tcPr>
          <w:p w:rsidR="00D45A20" w:rsidRPr="008F6FA4" w:rsidRDefault="00B37FC5" w:rsidP="00D45A20">
            <w:pPr>
              <w:pStyle w:val="AERtabletextright"/>
              <w:cnfStyle w:val="000000000000" w:firstRow="0" w:lastRow="0" w:firstColumn="0" w:lastColumn="0" w:oddVBand="0" w:evenVBand="0" w:oddHBand="0" w:evenHBand="0" w:firstRowFirstColumn="0" w:firstRowLastColumn="0" w:lastRowFirstColumn="0" w:lastRowLastColumn="0"/>
            </w:pPr>
            <w:r>
              <w:t>153.7</w:t>
            </w:r>
          </w:p>
        </w:tc>
        <w:tc>
          <w:tcPr>
            <w:tcW w:w="688" w:type="pct"/>
          </w:tcPr>
          <w:p w:rsidR="00D45A20" w:rsidRPr="008F6FA4" w:rsidRDefault="00B37FC5" w:rsidP="00D45A20">
            <w:pPr>
              <w:pStyle w:val="AERtabletextright"/>
              <w:cnfStyle w:val="000000000000" w:firstRow="0" w:lastRow="0" w:firstColumn="0" w:lastColumn="0" w:oddVBand="0" w:evenVBand="0" w:oddHBand="0" w:evenHBand="0" w:firstRowFirstColumn="0" w:firstRowLastColumn="0" w:lastRowFirstColumn="0" w:lastRowLastColumn="0"/>
            </w:pPr>
            <w:r>
              <w:t>157.6</w:t>
            </w:r>
          </w:p>
        </w:tc>
        <w:tc>
          <w:tcPr>
            <w:tcW w:w="687" w:type="pct"/>
          </w:tcPr>
          <w:p w:rsidR="00D45A20" w:rsidRPr="008F6FA4" w:rsidRDefault="00B37FC5" w:rsidP="00D45A20">
            <w:pPr>
              <w:pStyle w:val="AERtabletextright"/>
              <w:cnfStyle w:val="000000000000" w:firstRow="0" w:lastRow="0" w:firstColumn="0" w:lastColumn="0" w:oddVBand="0" w:evenVBand="0" w:oddHBand="0" w:evenHBand="0" w:firstRowFirstColumn="0" w:firstRowLastColumn="0" w:lastRowFirstColumn="0" w:lastRowLastColumn="0"/>
            </w:pPr>
            <w:r>
              <w:t>161.2</w:t>
            </w:r>
          </w:p>
        </w:tc>
        <w:tc>
          <w:tcPr>
            <w:tcW w:w="686" w:type="pct"/>
          </w:tcPr>
          <w:p w:rsidR="00D45A20" w:rsidRPr="00482996" w:rsidRDefault="00B37FC5" w:rsidP="00D45A20">
            <w:pPr>
              <w:pStyle w:val="AERtabletextright"/>
              <w:cnfStyle w:val="000000000000" w:firstRow="0" w:lastRow="0" w:firstColumn="0" w:lastColumn="0" w:oddVBand="0" w:evenVBand="0" w:oddHBand="0" w:evenHBand="0" w:firstRowFirstColumn="0" w:firstRowLastColumn="0" w:lastRowFirstColumn="0" w:lastRowLastColumn="0"/>
            </w:pPr>
            <w:r>
              <w:t>164.1</w:t>
            </w:r>
          </w:p>
        </w:tc>
      </w:tr>
      <w:tr w:rsidR="00D45A20" w:rsidRPr="00D36EEF" w:rsidTr="00D45A20">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D45A20" w:rsidRPr="00D45A20" w:rsidRDefault="00D45A20" w:rsidP="00D45A20">
            <w:pPr>
              <w:pStyle w:val="AERtabletextleft"/>
            </w:pPr>
            <w:r w:rsidRPr="00482996">
              <w:t>Straight-line depreciation</w:t>
            </w:r>
            <w:r w:rsidRPr="00D45A20">
              <w:rPr>
                <w:rStyle w:val="AERsuperscript"/>
              </w:rPr>
              <w:t>b</w:t>
            </w:r>
          </w:p>
        </w:tc>
        <w:tc>
          <w:tcPr>
            <w:tcW w:w="689"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w:t>
            </w:r>
            <w:r w:rsidR="00B37FC5">
              <w:t>246.9</w:t>
            </w:r>
          </w:p>
        </w:tc>
        <w:tc>
          <w:tcPr>
            <w:tcW w:w="688"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rsidRPr="00482996">
              <w:t>–</w:t>
            </w:r>
            <w:r w:rsidR="00B37FC5">
              <w:t>267.4</w:t>
            </w:r>
          </w:p>
        </w:tc>
        <w:tc>
          <w:tcPr>
            <w:tcW w:w="687"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rsidRPr="00482996">
              <w:t>–</w:t>
            </w:r>
            <w:r w:rsidR="00B37FC5">
              <w:t>287.3</w:t>
            </w:r>
          </w:p>
        </w:tc>
        <w:tc>
          <w:tcPr>
            <w:tcW w:w="686" w:type="pct"/>
          </w:tcPr>
          <w:p w:rsidR="00D45A20" w:rsidRPr="00D45A20" w:rsidRDefault="00D45A20" w:rsidP="00D45A20">
            <w:pPr>
              <w:pStyle w:val="AERtabletextright"/>
              <w:cnfStyle w:val="000000010000" w:firstRow="0" w:lastRow="0" w:firstColumn="0" w:lastColumn="0" w:oddVBand="0" w:evenVBand="0" w:oddHBand="0" w:evenHBand="1" w:firstRowFirstColumn="0" w:firstRowLastColumn="0" w:lastRowFirstColumn="0" w:lastRowLastColumn="0"/>
            </w:pPr>
            <w:r>
              <w:t>–</w:t>
            </w:r>
            <w:r w:rsidR="00B37FC5">
              <w:t>275.8</w:t>
            </w:r>
          </w:p>
        </w:tc>
      </w:tr>
      <w:tr w:rsidR="00B37FC5" w:rsidRPr="00D36EEF" w:rsidTr="00D45A20">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B37FC5" w:rsidRPr="00B37FC5" w:rsidRDefault="00B37FC5" w:rsidP="00B37FC5">
            <w:pPr>
              <w:pStyle w:val="AERtabletextleft"/>
            </w:pPr>
            <w:r w:rsidRPr="00482996">
              <w:t xml:space="preserve">Closing RAB </w:t>
            </w:r>
          </w:p>
        </w:tc>
        <w:tc>
          <w:tcPr>
            <w:tcW w:w="689" w:type="pct"/>
          </w:tcPr>
          <w:p w:rsidR="00B37FC5" w:rsidRPr="00B37FC5" w:rsidRDefault="00B37FC5" w:rsidP="00B37FC5">
            <w:pPr>
              <w:pStyle w:val="AERtabletextright"/>
              <w:cnfStyle w:val="000000000000" w:firstRow="0" w:lastRow="0" w:firstColumn="0" w:lastColumn="0" w:oddVBand="0" w:evenVBand="0" w:oddHBand="0" w:evenHBand="0" w:firstRowFirstColumn="0" w:firstRowLastColumn="0" w:lastRowFirstColumn="0" w:lastRowLastColumn="0"/>
            </w:pPr>
            <w:r>
              <w:t>630</w:t>
            </w:r>
            <w:r w:rsidRPr="00B37FC5">
              <w:t>3.0</w:t>
            </w:r>
          </w:p>
        </w:tc>
        <w:tc>
          <w:tcPr>
            <w:tcW w:w="688" w:type="pct"/>
          </w:tcPr>
          <w:p w:rsidR="00B37FC5" w:rsidRPr="00B37FC5" w:rsidRDefault="00B37FC5" w:rsidP="00B37FC5">
            <w:pPr>
              <w:pStyle w:val="AERtabletextright"/>
              <w:cnfStyle w:val="000000000000" w:firstRow="0" w:lastRow="0" w:firstColumn="0" w:lastColumn="0" w:oddVBand="0" w:evenVBand="0" w:oddHBand="0" w:evenHBand="0" w:firstRowFirstColumn="0" w:firstRowLastColumn="0" w:lastRowFirstColumn="0" w:lastRowLastColumn="0"/>
            </w:pPr>
            <w:r>
              <w:t>6447</w:t>
            </w:r>
            <w:r w:rsidRPr="00B37FC5">
              <w:t>.5</w:t>
            </w:r>
          </w:p>
        </w:tc>
        <w:tc>
          <w:tcPr>
            <w:tcW w:w="687" w:type="pct"/>
          </w:tcPr>
          <w:p w:rsidR="00B37FC5" w:rsidRPr="00B37FC5" w:rsidRDefault="00B37FC5" w:rsidP="00B37FC5">
            <w:pPr>
              <w:pStyle w:val="AERtabletextright"/>
              <w:cnfStyle w:val="000000000000" w:firstRow="0" w:lastRow="0" w:firstColumn="0" w:lastColumn="0" w:oddVBand="0" w:evenVBand="0" w:oddHBand="0" w:evenHBand="0" w:firstRowFirstColumn="0" w:firstRowLastColumn="0" w:lastRowFirstColumn="0" w:lastRowLastColumn="0"/>
            </w:pPr>
            <w:r>
              <w:t>6564</w:t>
            </w:r>
            <w:r w:rsidRPr="00B37FC5">
              <w:t>.1</w:t>
            </w:r>
          </w:p>
        </w:tc>
        <w:tc>
          <w:tcPr>
            <w:tcW w:w="686" w:type="pct"/>
          </w:tcPr>
          <w:p w:rsidR="00B37FC5" w:rsidRPr="00482996" w:rsidRDefault="00B37FC5" w:rsidP="00B37FC5">
            <w:pPr>
              <w:pStyle w:val="AERtabletextright"/>
              <w:cnfStyle w:val="000000000000" w:firstRow="0" w:lastRow="0" w:firstColumn="0" w:lastColumn="0" w:oddVBand="0" w:evenVBand="0" w:oddHBand="0" w:evenHBand="0" w:firstRowFirstColumn="0" w:firstRowLastColumn="0" w:lastRowFirstColumn="0" w:lastRowLastColumn="0"/>
            </w:pPr>
            <w:r>
              <w:t>6696.8</w:t>
            </w:r>
          </w:p>
        </w:tc>
      </w:tr>
    </w:tbl>
    <w:p w:rsidR="00C862D1" w:rsidRPr="009F4C42" w:rsidRDefault="00C862D1" w:rsidP="00C862D1">
      <w:pPr>
        <w:pStyle w:val="AERtablesource"/>
      </w:pPr>
      <w:r w:rsidRPr="009F4C42">
        <w:t>Source:</w:t>
      </w:r>
      <w:r w:rsidRPr="009F4C42">
        <w:tab/>
        <w:t>AER analysis.</w:t>
      </w:r>
    </w:p>
    <w:p w:rsidR="00C862D1" w:rsidRPr="009F4C42" w:rsidRDefault="00C862D1" w:rsidP="00C862D1">
      <w:pPr>
        <w:pStyle w:val="AERtablesource"/>
      </w:pPr>
      <w:r w:rsidRPr="009F4C42">
        <w:lastRenderedPageBreak/>
        <w:t xml:space="preserve">(a) </w:t>
      </w:r>
      <w:r w:rsidRPr="009F4C42">
        <w:tab/>
        <w:t>As incurred, and net of disposals. In accordance with the timing assumptions of the post-tax revenue model (PTRM), the forecast capex includes a half-WACC allowance to compensate for the six month period before capex is added to the RAB for revenue modelling.</w:t>
      </w:r>
    </w:p>
    <w:p w:rsidR="00C862D1" w:rsidRPr="009F4C42" w:rsidRDefault="00C862D1" w:rsidP="00C862D1">
      <w:pPr>
        <w:pStyle w:val="AERtablesource"/>
      </w:pPr>
      <w:r w:rsidRPr="009F4C42">
        <w:t>(b)</w:t>
      </w:r>
      <w:r w:rsidRPr="009F4C42">
        <w:tab/>
        <w:t>Based on as-commissioned capex.</w:t>
      </w:r>
    </w:p>
    <w:p w:rsidR="003B0D45" w:rsidRPr="009F4C42" w:rsidRDefault="003B0D45" w:rsidP="00E14922">
      <w:pPr>
        <w:pStyle w:val="Heading3"/>
      </w:pPr>
      <w:bookmarkStart w:id="47" w:name="_Toc404437618"/>
      <w:r w:rsidRPr="009F4C42">
        <w:t xml:space="preserve">Summary of analysis and </w:t>
      </w:r>
      <w:r w:rsidRPr="00E14922">
        <w:t>reasons</w:t>
      </w:r>
      <w:bookmarkEnd w:id="47"/>
    </w:p>
    <w:p w:rsidR="00F42F1E" w:rsidRDefault="0039350B" w:rsidP="001F0AB0">
      <w:pPr>
        <w:pStyle w:val="AERbodytext"/>
      </w:pPr>
      <w:bookmarkStart w:id="48" w:name="_Toc390936279"/>
      <w:r>
        <w:t>We have reviewed the key inputs to TransGrid's proposed roll forward model (RFM) and found that these reconciled with relevant data sources such as ABS data, regulatory accounts and the 2009 decision models.</w:t>
      </w:r>
    </w:p>
    <w:p w:rsidR="00C862D1" w:rsidRPr="009F4C42" w:rsidRDefault="00C862D1" w:rsidP="001F0AB0">
      <w:pPr>
        <w:pStyle w:val="AERbodytext"/>
      </w:pPr>
      <w:r w:rsidRPr="009F4C42">
        <w:t xml:space="preserve">We forecast </w:t>
      </w:r>
      <w:r w:rsidR="00D5585B">
        <w:t>TransG</w:t>
      </w:r>
      <w:r w:rsidRPr="009F4C42">
        <w:t xml:space="preserve">rid's closing RAB </w:t>
      </w:r>
      <w:r w:rsidR="000D4609">
        <w:t>to</w:t>
      </w:r>
      <w:r w:rsidRPr="009F4C42">
        <w:t xml:space="preserve"> be $</w:t>
      </w:r>
      <w:r w:rsidR="00B37FC5">
        <w:t>6696.8</w:t>
      </w:r>
      <w:r w:rsidRPr="009F4C42">
        <w:t xml:space="preserve"> million </w:t>
      </w:r>
      <w:r w:rsidRPr="001F0AB0">
        <w:t xml:space="preserve">at </w:t>
      </w:r>
      <w:r w:rsidRPr="00BA2BE8">
        <w:rPr>
          <w:rStyle w:val="AERtexthighlight"/>
          <w:shd w:val="clear" w:color="auto" w:fill="auto"/>
        </w:rPr>
        <w:t>30 June 201</w:t>
      </w:r>
      <w:r w:rsidR="00D5585B" w:rsidRPr="00BA2BE8">
        <w:rPr>
          <w:rStyle w:val="AERtexthighlight"/>
          <w:shd w:val="clear" w:color="auto" w:fill="auto"/>
        </w:rPr>
        <w:t>8</w:t>
      </w:r>
      <w:r w:rsidRPr="001F0AB0">
        <w:t>,</w:t>
      </w:r>
      <w:r w:rsidRPr="009F4C42">
        <w:t xml:space="preserve"> which represents </w:t>
      </w:r>
      <w:r w:rsidR="004C3DDF">
        <w:t xml:space="preserve">a reduction of </w:t>
      </w:r>
      <w:r w:rsidRPr="009F4C42">
        <w:t>a</w:t>
      </w:r>
      <w:r w:rsidR="004C3DDF">
        <w:t xml:space="preserve">round </w:t>
      </w:r>
      <w:r w:rsidR="00B37FC5">
        <w:t>7.3</w:t>
      </w:r>
      <w:r w:rsidRPr="009F4C42">
        <w:t xml:space="preserve"> per cent </w:t>
      </w:r>
      <w:r w:rsidR="004C3DDF">
        <w:t>from</w:t>
      </w:r>
      <w:r w:rsidRPr="009F4C42">
        <w:t xml:space="preserve"> </w:t>
      </w:r>
      <w:r w:rsidR="00D5585B">
        <w:t>TransG</w:t>
      </w:r>
      <w:r w:rsidRPr="009F4C42">
        <w:t>rid's proposed amount. The main reasons for this reduction are our adjustments to:</w:t>
      </w:r>
    </w:p>
    <w:p w:rsidR="00C862D1" w:rsidRPr="00BA2BE8" w:rsidRDefault="00C862D1" w:rsidP="00B37FC5">
      <w:pPr>
        <w:pStyle w:val="AERbulletlistfirststyle"/>
        <w:rPr>
          <w:rStyle w:val="AERtexthighlight"/>
          <w:shd w:val="clear" w:color="auto" w:fill="auto"/>
        </w:rPr>
      </w:pPr>
      <w:r w:rsidRPr="00BA2BE8">
        <w:rPr>
          <w:rStyle w:val="AERtexthighlight"/>
          <w:shd w:val="clear" w:color="auto" w:fill="auto"/>
        </w:rPr>
        <w:t>forecast capex (</w:t>
      </w:r>
      <w:r w:rsidRPr="00B37FC5">
        <w:rPr>
          <w:rStyle w:val="AERtexthighlight"/>
          <w:shd w:val="clear" w:color="auto" w:fill="auto"/>
        </w:rPr>
        <w:t xml:space="preserve">attachment </w:t>
      </w:r>
      <w:r w:rsidR="002556AD" w:rsidRPr="00B37FC5">
        <w:rPr>
          <w:rStyle w:val="AERtexthighlight"/>
          <w:shd w:val="clear" w:color="auto" w:fill="auto"/>
        </w:rPr>
        <w:t>6</w:t>
      </w:r>
      <w:r w:rsidRPr="00B37FC5">
        <w:rPr>
          <w:rStyle w:val="AERtexthighlight"/>
          <w:shd w:val="clear" w:color="auto" w:fill="auto"/>
        </w:rPr>
        <w:t>)</w:t>
      </w:r>
    </w:p>
    <w:p w:rsidR="00C862D1" w:rsidRPr="00B37FC5" w:rsidRDefault="00C862D1" w:rsidP="00B37FC5">
      <w:pPr>
        <w:pStyle w:val="AERbulletlistfirststyle"/>
        <w:rPr>
          <w:rStyle w:val="AERtexthighlight"/>
          <w:shd w:val="clear" w:color="auto" w:fill="auto"/>
        </w:rPr>
      </w:pPr>
      <w:r w:rsidRPr="00B37FC5">
        <w:rPr>
          <w:rStyle w:val="AERtexthighlight"/>
          <w:shd w:val="clear" w:color="auto" w:fill="auto"/>
        </w:rPr>
        <w:t xml:space="preserve">forecast depreciation (attachment </w:t>
      </w:r>
      <w:r w:rsidR="002556AD" w:rsidRPr="00B37FC5">
        <w:rPr>
          <w:rStyle w:val="AERtexthighlight"/>
          <w:shd w:val="clear" w:color="auto" w:fill="auto"/>
        </w:rPr>
        <w:t>5</w:t>
      </w:r>
      <w:r w:rsidRPr="00B37FC5">
        <w:rPr>
          <w:rStyle w:val="AERtexthighlight"/>
          <w:shd w:val="clear" w:color="auto" w:fill="auto"/>
        </w:rPr>
        <w:t xml:space="preserve">). </w:t>
      </w:r>
    </w:p>
    <w:p w:rsidR="00C862D1" w:rsidRPr="00B37FC5" w:rsidRDefault="00C862D1" w:rsidP="00B37FC5">
      <w:pPr>
        <w:pStyle w:val="AERbodytext"/>
      </w:pPr>
      <w:r w:rsidRPr="00B37FC5">
        <w:t xml:space="preserve">Details of our approach in deriving the value of the RAB and relevant interrelationships are set out </w:t>
      </w:r>
      <w:r w:rsidR="001F0AB0" w:rsidRPr="00B37FC5">
        <w:t xml:space="preserve">in attachment </w:t>
      </w:r>
      <w:r w:rsidR="002556AD" w:rsidRPr="00B37FC5">
        <w:rPr>
          <w:rStyle w:val="AERtexthighlight"/>
          <w:shd w:val="clear" w:color="auto" w:fill="auto"/>
        </w:rPr>
        <w:t>2</w:t>
      </w:r>
      <w:r w:rsidRPr="00B37FC5">
        <w:t xml:space="preserve">. </w:t>
      </w:r>
      <w:bookmarkStart w:id="49" w:name="_Toc386792532"/>
      <w:bookmarkStart w:id="50" w:name="_Toc386793073"/>
      <w:bookmarkStart w:id="51" w:name="_Toc387065805"/>
      <w:bookmarkStart w:id="52" w:name="_Toc390936278"/>
    </w:p>
    <w:p w:rsidR="003B0D45" w:rsidRPr="009F4C42" w:rsidRDefault="003B0D45" w:rsidP="00E14922">
      <w:pPr>
        <w:pStyle w:val="Heading2"/>
      </w:pPr>
      <w:bookmarkStart w:id="53" w:name="_Toc404437619"/>
      <w:bookmarkEnd w:id="49"/>
      <w:bookmarkEnd w:id="50"/>
      <w:bookmarkEnd w:id="51"/>
      <w:bookmarkEnd w:id="52"/>
      <w:r w:rsidRPr="009F4C42">
        <w:t>Rate of return</w:t>
      </w:r>
      <w:bookmarkEnd w:id="48"/>
      <w:r w:rsidR="00D7126E">
        <w:t xml:space="preserve"> (return on capital)</w:t>
      </w:r>
      <w:bookmarkEnd w:id="53"/>
    </w:p>
    <w:p w:rsidR="00C45EFC" w:rsidRPr="00C45EFC" w:rsidRDefault="00C45EFC" w:rsidP="00C45EFC">
      <w:pPr>
        <w:pStyle w:val="AERbodytext"/>
      </w:pPr>
      <w:bookmarkStart w:id="54" w:name="_Toc390936280"/>
      <w:r w:rsidRPr="00C45EFC">
        <w:t>The allowed rate of return provides a network service provider (NSP) a return on capital to service the interest on its loans and give a return on equity to investors. The return on capital building block is calculated as a product of the rate of return and the value of the regulatory asset base (RAB).</w:t>
      </w:r>
      <w:r w:rsidRPr="00C45EFC">
        <w:rPr>
          <w:rStyle w:val="FootnoteReference"/>
        </w:rPr>
        <w:footnoteReference w:id="68"/>
      </w:r>
    </w:p>
    <w:p w:rsidR="00702D8E" w:rsidRPr="006D4FA2" w:rsidRDefault="00702D8E" w:rsidP="006D4FA2">
      <w:pPr>
        <w:pStyle w:val="Heading3"/>
      </w:pPr>
      <w:bookmarkStart w:id="55" w:name="_Toc404437620"/>
      <w:bookmarkEnd w:id="54"/>
      <w:r w:rsidRPr="006D4FA2">
        <w:t>Draft decision</w:t>
      </w:r>
      <w:bookmarkEnd w:id="55"/>
      <w:r w:rsidRPr="006D4FA2">
        <w:t xml:space="preserve"> </w:t>
      </w:r>
    </w:p>
    <w:p w:rsidR="00C45EFC" w:rsidRDefault="007D28DD" w:rsidP="00C45EFC">
      <w:pPr>
        <w:pStyle w:val="AERbodytext"/>
      </w:pPr>
      <w:r w:rsidRPr="007D28DD">
        <w:t>We are not satisfied that TransGrid’s proposed</w:t>
      </w:r>
      <w:r w:rsidR="00E4786A">
        <w:t xml:space="preserve"> (indicative)</w:t>
      </w:r>
      <w:r w:rsidRPr="007D28DD">
        <w:t xml:space="preserve"> 8.83 per cent return is such that it achieves the allowed rate of return objective. </w:t>
      </w:r>
      <w:r w:rsidR="00C45EFC">
        <w:t xml:space="preserve">We are satisfied that </w:t>
      </w:r>
      <w:r w:rsidR="00E4786A">
        <w:t>the</w:t>
      </w:r>
      <w:r>
        <w:t xml:space="preserve"> </w:t>
      </w:r>
      <w:r w:rsidR="00C45EFC">
        <w:t>allowed rate of return of 7.</w:t>
      </w:r>
      <w:r w:rsidR="00106233">
        <w:t xml:space="preserve">24 </w:t>
      </w:r>
      <w:r w:rsidR="00C45EFC">
        <w:t>per cent (nominal vanilla</w:t>
      </w:r>
      <w:r w:rsidR="00981223">
        <w:rPr>
          <w:rStyle w:val="FootnoteReference"/>
        </w:rPr>
        <w:footnoteReference w:id="69"/>
      </w:r>
      <w:r w:rsidR="00C45EFC">
        <w:t>)</w:t>
      </w:r>
      <w:r w:rsidR="00E4786A">
        <w:t xml:space="preserve"> we determine, subject to updating,</w:t>
      </w:r>
      <w:r w:rsidR="00C45EFC">
        <w:t xml:space="preserve"> achieves the </w:t>
      </w:r>
      <w:r w:rsidR="00C45EFC" w:rsidRPr="00E75E61">
        <w:t xml:space="preserve">allowed </w:t>
      </w:r>
      <w:r w:rsidR="00C45EFC">
        <w:t>rate of return objective.</w:t>
      </w:r>
      <w:r w:rsidR="00C45EFC">
        <w:rPr>
          <w:rStyle w:val="FootnoteReference"/>
        </w:rPr>
        <w:footnoteReference w:id="70"/>
      </w:r>
      <w:r w:rsidR="00C45EFC">
        <w:t xml:space="preserve"> The allowed rate of return of 7.</w:t>
      </w:r>
      <w:r w:rsidR="00106233">
        <w:t xml:space="preserve">24 </w:t>
      </w:r>
      <w:r w:rsidR="00C45EFC">
        <w:t xml:space="preserve">per cent </w:t>
      </w:r>
      <w:r w:rsidR="00FB62D6">
        <w:t>will be updated annually.</w:t>
      </w:r>
      <w:r w:rsidR="00FB62D6" w:rsidRPr="00FB62D6">
        <w:rPr>
          <w:rFonts w:eastAsia="Calibri"/>
        </w:rPr>
        <w:t xml:space="preserve"> </w:t>
      </w:r>
      <w:r w:rsidR="00FB62D6" w:rsidRPr="00FB62D6">
        <w:t>This is because our draft decision is to apply a trailing average portfolio approach to estimating debt which incorporates annual updating of the allowed return on debt</w:t>
      </w:r>
      <w:r w:rsidR="00C45EFC">
        <w:t>.</w:t>
      </w:r>
      <w:r w:rsidR="00C45EFC">
        <w:rPr>
          <w:rStyle w:val="FootnoteReference"/>
        </w:rPr>
        <w:footnoteReference w:id="71"/>
      </w:r>
      <w:r w:rsidR="00C45EFC">
        <w:t xml:space="preserve"> Our draft decision is set out in</w:t>
      </w:r>
      <w:r w:rsidR="00B75C12">
        <w:t xml:space="preserve"> </w:t>
      </w:r>
      <w:r w:rsidR="00B75C12">
        <w:fldChar w:fldCharType="begin"/>
      </w:r>
      <w:r w:rsidR="00B75C12">
        <w:instrText xml:space="preserve"> REF _Ref402864542 \h </w:instrText>
      </w:r>
      <w:r w:rsidR="00B75C12">
        <w:fldChar w:fldCharType="separate"/>
      </w:r>
      <w:r w:rsidR="00C71301">
        <w:t xml:space="preserve">Table </w:t>
      </w:r>
      <w:r w:rsidR="00C71301">
        <w:rPr>
          <w:noProof/>
        </w:rPr>
        <w:t>8</w:t>
      </w:r>
      <w:r w:rsidR="00C71301">
        <w:noBreakHyphen/>
      </w:r>
      <w:r w:rsidR="00C71301">
        <w:rPr>
          <w:noProof/>
        </w:rPr>
        <w:t>3</w:t>
      </w:r>
      <w:r w:rsidR="00B75C12">
        <w:fldChar w:fldCharType="end"/>
      </w:r>
      <w:r w:rsidR="00C45EFC">
        <w:t>.</w:t>
      </w:r>
    </w:p>
    <w:p w:rsidR="00B37FC5" w:rsidRDefault="00B37FC5" w:rsidP="00B37FC5">
      <w:pPr>
        <w:pStyle w:val="Caption"/>
      </w:pPr>
      <w:bookmarkStart w:id="56" w:name="_Ref402864542"/>
      <w:bookmarkStart w:id="57" w:name="_Ref402284581"/>
      <w:r>
        <w:t xml:space="preserve">Table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3</w:t>
      </w:r>
      <w:r w:rsidR="00864D56">
        <w:rPr>
          <w:noProof/>
        </w:rPr>
        <w:fldChar w:fldCharType="end"/>
      </w:r>
      <w:bookmarkEnd w:id="56"/>
      <w:r w:rsidRPr="00B37FC5">
        <w:tab/>
        <w:t>AER's draft decision on TransGrid's rate of return (nominal)</w:t>
      </w:r>
    </w:p>
    <w:bookmarkEnd w:id="57"/>
    <w:tbl>
      <w:tblPr>
        <w:tblStyle w:val="AERtable-numbers"/>
        <w:tblW w:w="0" w:type="auto"/>
        <w:tblLook w:val="04A0" w:firstRow="1" w:lastRow="0" w:firstColumn="1" w:lastColumn="0" w:noHBand="0" w:noVBand="1"/>
      </w:tblPr>
      <w:tblGrid>
        <w:gridCol w:w="3227"/>
        <w:gridCol w:w="1485"/>
        <w:gridCol w:w="2265"/>
        <w:gridCol w:w="2265"/>
      </w:tblGrid>
      <w:tr w:rsidR="00C45EFC" w:rsidTr="00A279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rsidR="00C45EFC" w:rsidRPr="003C7205" w:rsidRDefault="00C45EFC" w:rsidP="00C45EFC">
            <w:pPr>
              <w:pStyle w:val="AERbodytext"/>
            </w:pPr>
          </w:p>
        </w:tc>
        <w:tc>
          <w:tcPr>
            <w:tcW w:w="1485" w:type="dxa"/>
          </w:tcPr>
          <w:p w:rsidR="00C45EFC" w:rsidRPr="00C45EFC" w:rsidRDefault="00C45EFC" w:rsidP="00C45EFC">
            <w:pPr>
              <w:pStyle w:val="AERtabletextright"/>
              <w:cnfStyle w:val="100000000000" w:firstRow="1" w:lastRow="0" w:firstColumn="0" w:lastColumn="0" w:oddVBand="0" w:evenVBand="0" w:oddHBand="0" w:evenHBand="0" w:firstRowFirstColumn="0" w:firstRowLastColumn="0" w:lastRowFirstColumn="0" w:lastRowLastColumn="0"/>
            </w:pPr>
            <w:r w:rsidRPr="00F51DC5">
              <w:t>2009</w:t>
            </w:r>
            <w:r w:rsidRPr="00F51DC5">
              <w:br w:type="column"/>
              <w:t>–14</w:t>
            </w:r>
            <w:r w:rsidR="00A27950">
              <w:br/>
            </w:r>
            <w:r w:rsidRPr="00F51DC5">
              <w:t>AER decision</w:t>
            </w:r>
          </w:p>
        </w:tc>
        <w:tc>
          <w:tcPr>
            <w:tcW w:w="2265" w:type="dxa"/>
          </w:tcPr>
          <w:p w:rsidR="00C45EFC" w:rsidRPr="00C45EFC" w:rsidRDefault="00C45EFC" w:rsidP="00C45EFC">
            <w:pPr>
              <w:pStyle w:val="AERtabletextright"/>
              <w:cnfStyle w:val="100000000000" w:firstRow="1" w:lastRow="0" w:firstColumn="0" w:lastColumn="0" w:oddVBand="0" w:evenVBand="0" w:oddHBand="0" w:evenHBand="0" w:firstRowFirstColumn="0" w:firstRowLastColumn="0" w:lastRowFirstColumn="0" w:lastRowLastColumn="0"/>
            </w:pPr>
            <w:r w:rsidRPr="00F51DC5">
              <w:t>2015–1</w:t>
            </w:r>
            <w:r w:rsidR="00CA1A96">
              <w:t>8</w:t>
            </w:r>
            <w:r w:rsidR="00A27950">
              <w:br/>
            </w:r>
            <w:r w:rsidRPr="00F51DC5">
              <w:t>TransGrid’s proposal</w:t>
            </w:r>
          </w:p>
        </w:tc>
        <w:tc>
          <w:tcPr>
            <w:tcW w:w="2265" w:type="dxa"/>
          </w:tcPr>
          <w:p w:rsidR="00C45EFC" w:rsidRPr="00C45EFC" w:rsidRDefault="00C45EFC" w:rsidP="00C45EFC">
            <w:pPr>
              <w:pStyle w:val="AERtabletextright"/>
              <w:cnfStyle w:val="100000000000" w:firstRow="1" w:lastRow="0" w:firstColumn="0" w:lastColumn="0" w:oddVBand="0" w:evenVBand="0" w:oddHBand="0" w:evenHBand="0" w:firstRowFirstColumn="0" w:firstRowLastColumn="0" w:lastRowFirstColumn="0" w:lastRowLastColumn="0"/>
            </w:pPr>
            <w:r w:rsidRPr="00F51DC5">
              <w:t>2015–18</w:t>
            </w:r>
            <w:r w:rsidR="00A27950">
              <w:br/>
            </w:r>
            <w:r w:rsidRPr="00F51DC5">
              <w:t>AER draft decision</w:t>
            </w:r>
          </w:p>
        </w:tc>
      </w:tr>
      <w:tr w:rsidR="00C45EFC" w:rsidTr="00A27950">
        <w:tc>
          <w:tcPr>
            <w:cnfStyle w:val="001000000000" w:firstRow="0" w:lastRow="0" w:firstColumn="1" w:lastColumn="0" w:oddVBand="0" w:evenVBand="0" w:oddHBand="0" w:evenHBand="0" w:firstRowFirstColumn="0" w:firstRowLastColumn="0" w:lastRowFirstColumn="0" w:lastRowLastColumn="0"/>
            <w:tcW w:w="3227" w:type="dxa"/>
          </w:tcPr>
          <w:p w:rsidR="00C45EFC" w:rsidRDefault="00C45EFC" w:rsidP="00A27950">
            <w:pPr>
              <w:pStyle w:val="AERtabletextleft"/>
            </w:pPr>
            <w:r>
              <w:t>Nominal risk free rate  (cost of equity)</w:t>
            </w:r>
          </w:p>
        </w:tc>
        <w:tc>
          <w:tcPr>
            <w:tcW w:w="148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5.86%</w:t>
            </w:r>
          </w:p>
        </w:tc>
        <w:tc>
          <w:tcPr>
            <w:tcW w:w="226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N/A</w:t>
            </w:r>
            <w:r w:rsidRPr="00C708A4">
              <w:rPr>
                <w:rStyle w:val="AERsuperscript"/>
              </w:rPr>
              <w:t>(a)</w:t>
            </w:r>
          </w:p>
        </w:tc>
        <w:tc>
          <w:tcPr>
            <w:tcW w:w="226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3.55%</w:t>
            </w:r>
            <w:r w:rsidRPr="00C708A4">
              <w:rPr>
                <w:rStyle w:val="AERsuperscript"/>
              </w:rPr>
              <w:t>(b)</w:t>
            </w:r>
          </w:p>
        </w:tc>
      </w:tr>
      <w:tr w:rsidR="00C45EFC" w:rsidTr="00A2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45EFC" w:rsidRDefault="00C45EFC" w:rsidP="00A27950">
            <w:pPr>
              <w:pStyle w:val="AERtabletextleft"/>
            </w:pPr>
            <w:r>
              <w:t xml:space="preserve">Equity risk premium </w:t>
            </w:r>
          </w:p>
        </w:tc>
        <w:tc>
          <w:tcPr>
            <w:tcW w:w="148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6.0%</w:t>
            </w:r>
          </w:p>
        </w:tc>
        <w:tc>
          <w:tcPr>
            <w:tcW w:w="226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6.</w:t>
            </w:r>
            <w:r w:rsidR="00106233">
              <w:t>35</w:t>
            </w:r>
            <w:r>
              <w:t>%</w:t>
            </w:r>
            <w:r w:rsidRPr="00C708A4">
              <w:rPr>
                <w:rStyle w:val="AERsuperscript"/>
              </w:rPr>
              <w:t>(c)</w:t>
            </w:r>
          </w:p>
        </w:tc>
        <w:tc>
          <w:tcPr>
            <w:tcW w:w="226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4.55%</w:t>
            </w:r>
          </w:p>
        </w:tc>
      </w:tr>
      <w:tr w:rsidR="00C45EFC" w:rsidTr="00A27950">
        <w:tc>
          <w:tcPr>
            <w:cnfStyle w:val="001000000000" w:firstRow="0" w:lastRow="0" w:firstColumn="1" w:lastColumn="0" w:oddVBand="0" w:evenVBand="0" w:oddHBand="0" w:evenHBand="0" w:firstRowFirstColumn="0" w:firstRowLastColumn="0" w:lastRowFirstColumn="0" w:lastRowLastColumn="0"/>
            <w:tcW w:w="3227" w:type="dxa"/>
          </w:tcPr>
          <w:p w:rsidR="00C45EFC" w:rsidRPr="00524A9F" w:rsidRDefault="00C45EFC" w:rsidP="00A27950">
            <w:pPr>
              <w:pStyle w:val="AERtabletextleft"/>
            </w:pPr>
            <w:r>
              <w:t>MRP</w:t>
            </w:r>
          </w:p>
        </w:tc>
        <w:tc>
          <w:tcPr>
            <w:tcW w:w="148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226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N/A</w:t>
            </w:r>
            <w:r w:rsidRPr="00C708A4">
              <w:rPr>
                <w:rStyle w:val="AERsuperscript"/>
              </w:rPr>
              <w:t>(d)</w:t>
            </w:r>
          </w:p>
        </w:tc>
        <w:tc>
          <w:tcPr>
            <w:tcW w:w="226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6.5%</w:t>
            </w:r>
          </w:p>
        </w:tc>
      </w:tr>
      <w:tr w:rsidR="00C45EFC" w:rsidTr="00A2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45EFC" w:rsidRPr="00524A9F" w:rsidRDefault="00C45EFC" w:rsidP="00A27950">
            <w:pPr>
              <w:pStyle w:val="AERtabletextleft"/>
            </w:pPr>
            <w:r>
              <w:t>Equity beta</w:t>
            </w:r>
          </w:p>
        </w:tc>
        <w:tc>
          <w:tcPr>
            <w:tcW w:w="148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1.0</w:t>
            </w:r>
          </w:p>
        </w:tc>
        <w:tc>
          <w:tcPr>
            <w:tcW w:w="226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N/A</w:t>
            </w:r>
            <w:r w:rsidRPr="00C708A4">
              <w:rPr>
                <w:rStyle w:val="AERsuperscript"/>
              </w:rPr>
              <w:t>(d)</w:t>
            </w:r>
          </w:p>
        </w:tc>
        <w:tc>
          <w:tcPr>
            <w:tcW w:w="226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C45EFC" w:rsidTr="00A27950">
        <w:tc>
          <w:tcPr>
            <w:cnfStyle w:val="001000000000" w:firstRow="0" w:lastRow="0" w:firstColumn="1" w:lastColumn="0" w:oddVBand="0" w:evenVBand="0" w:oddHBand="0" w:evenHBand="0" w:firstRowFirstColumn="0" w:firstRowLastColumn="0" w:lastRowFirstColumn="0" w:lastRowLastColumn="0"/>
            <w:tcW w:w="3227" w:type="dxa"/>
          </w:tcPr>
          <w:p w:rsidR="00C45EFC" w:rsidRDefault="00C45EFC" w:rsidP="00A27950">
            <w:pPr>
              <w:pStyle w:val="AERtabletextleft"/>
            </w:pPr>
            <w:r>
              <w:t>Gearing ratio</w:t>
            </w:r>
          </w:p>
        </w:tc>
        <w:tc>
          <w:tcPr>
            <w:tcW w:w="148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226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226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60.0%</w:t>
            </w:r>
          </w:p>
        </w:tc>
      </w:tr>
      <w:tr w:rsidR="00C45EFC" w:rsidTr="00A2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45EFC" w:rsidRDefault="00C45EFC" w:rsidP="00A27950">
            <w:pPr>
              <w:pStyle w:val="AERtabletextleft"/>
            </w:pPr>
            <w:r>
              <w:lastRenderedPageBreak/>
              <w:t>Inflation forecast</w:t>
            </w:r>
          </w:p>
        </w:tc>
        <w:tc>
          <w:tcPr>
            <w:tcW w:w="148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2.47%</w:t>
            </w:r>
          </w:p>
        </w:tc>
        <w:tc>
          <w:tcPr>
            <w:tcW w:w="226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2.52%</w:t>
            </w:r>
          </w:p>
        </w:tc>
        <w:tc>
          <w:tcPr>
            <w:tcW w:w="226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2.50%</w:t>
            </w:r>
          </w:p>
        </w:tc>
      </w:tr>
      <w:tr w:rsidR="00C45EFC" w:rsidTr="00A27950">
        <w:tc>
          <w:tcPr>
            <w:cnfStyle w:val="001000000000" w:firstRow="0" w:lastRow="0" w:firstColumn="1" w:lastColumn="0" w:oddVBand="0" w:evenVBand="0" w:oddHBand="0" w:evenHBand="0" w:firstRowFirstColumn="0" w:firstRowLastColumn="0" w:lastRowFirstColumn="0" w:lastRowLastColumn="0"/>
            <w:tcW w:w="3227" w:type="dxa"/>
          </w:tcPr>
          <w:p w:rsidR="00C45EFC" w:rsidRDefault="00C45EFC" w:rsidP="00A27950">
            <w:pPr>
              <w:pStyle w:val="AERtabletextleft"/>
            </w:pPr>
            <w:r>
              <w:t xml:space="preserve">Nominal post–tax return on equity </w:t>
            </w:r>
          </w:p>
        </w:tc>
        <w:tc>
          <w:tcPr>
            <w:tcW w:w="1485" w:type="dxa"/>
          </w:tcPr>
          <w:p w:rsidR="00C45EFC" w:rsidRPr="000A3A51"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11.86%</w:t>
            </w:r>
          </w:p>
        </w:tc>
        <w:tc>
          <w:tcPr>
            <w:tcW w:w="2265" w:type="dxa"/>
          </w:tcPr>
          <w:p w:rsidR="00C45EFC" w:rsidRPr="000A3A51"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10.5%</w:t>
            </w:r>
          </w:p>
        </w:tc>
        <w:tc>
          <w:tcPr>
            <w:tcW w:w="2265" w:type="dxa"/>
          </w:tcPr>
          <w:p w:rsidR="00C45EFC" w:rsidRPr="000A3A51"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8.1%</w:t>
            </w:r>
          </w:p>
        </w:tc>
      </w:tr>
      <w:tr w:rsidR="00C45EFC" w:rsidTr="00A2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45EFC" w:rsidRDefault="00C45EFC" w:rsidP="00A27950">
            <w:pPr>
              <w:pStyle w:val="AERtabletextleft"/>
            </w:pPr>
            <w:r>
              <w:t>Nominal pre–tax return on debt</w:t>
            </w:r>
          </w:p>
        </w:tc>
        <w:tc>
          <w:tcPr>
            <w:tcW w:w="1485" w:type="dxa"/>
          </w:tcPr>
          <w:p w:rsidR="00C45EFC" w:rsidRPr="00524A9F"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8.85%</w:t>
            </w:r>
          </w:p>
        </w:tc>
        <w:tc>
          <w:tcPr>
            <w:tcW w:w="2265" w:type="dxa"/>
          </w:tcPr>
          <w:p w:rsidR="00C45EFC" w:rsidRPr="000A3A51"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7.72</w:t>
            </w:r>
            <w:r w:rsidRPr="000A3A51">
              <w:t>%</w:t>
            </w:r>
          </w:p>
        </w:tc>
        <w:tc>
          <w:tcPr>
            <w:tcW w:w="2265" w:type="dxa"/>
          </w:tcPr>
          <w:p w:rsidR="00C45EFC" w:rsidRPr="000A3A51" w:rsidRDefault="00C45EFC" w:rsidP="00C45EFC">
            <w:pPr>
              <w:pStyle w:val="AERtabletextright"/>
              <w:cnfStyle w:val="000000010000" w:firstRow="0" w:lastRow="0" w:firstColumn="0" w:lastColumn="0" w:oddVBand="0" w:evenVBand="0" w:oddHBand="0" w:evenHBand="1" w:firstRowFirstColumn="0" w:firstRowLastColumn="0" w:lastRowFirstColumn="0" w:lastRowLastColumn="0"/>
            </w:pPr>
            <w:r>
              <w:t>6.</w:t>
            </w:r>
            <w:r w:rsidR="00106233">
              <w:t>6</w:t>
            </w:r>
            <w:r>
              <w:t>7</w:t>
            </w:r>
            <w:r w:rsidRPr="000A3A51">
              <w:t>%</w:t>
            </w:r>
            <w:r w:rsidR="00C708A4" w:rsidRPr="00C708A4">
              <w:rPr>
                <w:rStyle w:val="AERsuperscript"/>
              </w:rPr>
              <w:t>(e)</w:t>
            </w:r>
          </w:p>
        </w:tc>
      </w:tr>
      <w:tr w:rsidR="00C45EFC" w:rsidTr="00A27950">
        <w:tc>
          <w:tcPr>
            <w:cnfStyle w:val="001000000000" w:firstRow="0" w:lastRow="0" w:firstColumn="1" w:lastColumn="0" w:oddVBand="0" w:evenVBand="0" w:oddHBand="0" w:evenHBand="0" w:firstRowFirstColumn="0" w:firstRowLastColumn="0" w:lastRowFirstColumn="0" w:lastRowLastColumn="0"/>
            <w:tcW w:w="3227" w:type="dxa"/>
          </w:tcPr>
          <w:p w:rsidR="00C45EFC" w:rsidRDefault="00C45EFC" w:rsidP="00A27950">
            <w:pPr>
              <w:pStyle w:val="AERtabletextleft"/>
            </w:pPr>
            <w:r>
              <w:t>Nominal vanilla WACC</w:t>
            </w:r>
          </w:p>
        </w:tc>
        <w:tc>
          <w:tcPr>
            <w:tcW w:w="1485" w:type="dxa"/>
          </w:tcPr>
          <w:p w:rsidR="00C45EFC" w:rsidRPr="00524A9F"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10.05%</w:t>
            </w:r>
          </w:p>
        </w:tc>
        <w:tc>
          <w:tcPr>
            <w:tcW w:w="2265" w:type="dxa"/>
          </w:tcPr>
          <w:p w:rsidR="00C45EFC" w:rsidRDefault="00C45EFC" w:rsidP="00C45EFC">
            <w:pPr>
              <w:pStyle w:val="AERtabletextright"/>
              <w:cnfStyle w:val="000000000000" w:firstRow="0" w:lastRow="0" w:firstColumn="0" w:lastColumn="0" w:oddVBand="0" w:evenVBand="0" w:oddHBand="0" w:evenHBand="0" w:firstRowFirstColumn="0" w:firstRowLastColumn="0" w:lastRowFirstColumn="0" w:lastRowLastColumn="0"/>
            </w:pPr>
            <w:r>
              <w:t>8.83%</w:t>
            </w:r>
          </w:p>
        </w:tc>
        <w:tc>
          <w:tcPr>
            <w:tcW w:w="2265" w:type="dxa"/>
          </w:tcPr>
          <w:p w:rsidR="00C45EFC" w:rsidRDefault="00C45EFC" w:rsidP="00106233">
            <w:pPr>
              <w:pStyle w:val="AERtabletextright"/>
              <w:cnfStyle w:val="000000000000" w:firstRow="0" w:lastRow="0" w:firstColumn="0" w:lastColumn="0" w:oddVBand="0" w:evenVBand="0" w:oddHBand="0" w:evenHBand="0" w:firstRowFirstColumn="0" w:firstRowLastColumn="0" w:lastRowFirstColumn="0" w:lastRowLastColumn="0"/>
            </w:pPr>
            <w:r>
              <w:t>7.</w:t>
            </w:r>
            <w:r w:rsidR="00106233">
              <w:t>24</w:t>
            </w:r>
            <w:r>
              <w:t>%</w:t>
            </w:r>
          </w:p>
        </w:tc>
      </w:tr>
    </w:tbl>
    <w:p w:rsidR="00914A64" w:rsidRDefault="00914A64" w:rsidP="00C45EFC">
      <w:pPr>
        <w:pStyle w:val="AERtablesource"/>
      </w:pPr>
      <w:r>
        <w:t>Source:</w:t>
      </w:r>
      <w:r>
        <w:tab/>
        <w:t xml:space="preserve">AER analysis; TransGrid, </w:t>
      </w:r>
      <w:r w:rsidRPr="006531F1">
        <w:rPr>
          <w:rStyle w:val="AERtextitalic"/>
        </w:rPr>
        <w:t>Revenue proposal</w:t>
      </w:r>
      <w:r>
        <w:t>, May 2014</w:t>
      </w:r>
      <w:r w:rsidR="00847565">
        <w:t xml:space="preserve">; AER, </w:t>
      </w:r>
      <w:r w:rsidR="00847565" w:rsidRPr="006531F1">
        <w:rPr>
          <w:rStyle w:val="AERtextitalic"/>
        </w:rPr>
        <w:t>Statement of updates for TransGrid's transmission determination</w:t>
      </w:r>
      <w:r w:rsidR="00847565">
        <w:t>, March 2010.</w:t>
      </w:r>
    </w:p>
    <w:p w:rsidR="00C45EFC" w:rsidRPr="00F51DC5" w:rsidRDefault="00C45EFC" w:rsidP="00C45EFC">
      <w:pPr>
        <w:pStyle w:val="AERtablesource"/>
      </w:pPr>
      <w:r w:rsidRPr="00F51DC5">
        <w:t>(a)</w:t>
      </w:r>
      <w:r w:rsidRPr="00F51DC5">
        <w:tab/>
        <w:t xml:space="preserve">TransGrid proposed a multiple model approach, and did not propose a specific value for the risk free rate. However, its consultant, NERA applied a prevailing risk free rate of 4.14 per cent in most of its model specifications. This risk free rate estimate is based on an averaging period of 20 business days ending 31 March 2014. The prevailing risk free rate is to be updated for the final decision. See: NERA, </w:t>
      </w:r>
      <w:r w:rsidRPr="006531F1">
        <w:rPr>
          <w:rStyle w:val="AERtextitalic"/>
        </w:rPr>
        <w:t>Return on capital of a regulated electricity network</w:t>
      </w:r>
      <w:r w:rsidRPr="00F51DC5">
        <w:t>, May 2014, pp. 87, 94, 96, 104.</w:t>
      </w:r>
    </w:p>
    <w:p w:rsidR="00C45EFC" w:rsidRPr="00F51DC5" w:rsidRDefault="00C45EFC" w:rsidP="00C45EFC">
      <w:pPr>
        <w:pStyle w:val="AERtablesource"/>
      </w:pPr>
      <w:r w:rsidRPr="00F51DC5">
        <w:t>(b)</w:t>
      </w:r>
      <w:r w:rsidRPr="00F51DC5">
        <w:tab/>
        <w:t xml:space="preserve">This is a prevailing indicative risk free rate based on a 20 business day averaging period from 17 September to 15 October 2014. The risk free rate is to be updated for the final decision. </w:t>
      </w:r>
    </w:p>
    <w:p w:rsidR="00C45EFC" w:rsidRPr="00F51DC5" w:rsidRDefault="00C45EFC" w:rsidP="00C45EFC">
      <w:pPr>
        <w:pStyle w:val="AERtablesource"/>
      </w:pPr>
      <w:r w:rsidRPr="00F51DC5">
        <w:t>(c)</w:t>
      </w:r>
      <w:r w:rsidRPr="00F51DC5">
        <w:tab/>
        <w:t>NERA indicated that the AER’s ERP of 455 basis points is 180 basis points lower than the ERP that is implied by the 10.5 per cent return on equity it proposed (4.55 +</w:t>
      </w:r>
      <w:r w:rsidR="00914A64">
        <w:t xml:space="preserve"> </w:t>
      </w:r>
      <w:r w:rsidRPr="00F51DC5">
        <w:t xml:space="preserve">1.80 = 6.35). See: NERA, </w:t>
      </w:r>
      <w:r w:rsidRPr="006531F1">
        <w:rPr>
          <w:rStyle w:val="AERtextitalic"/>
        </w:rPr>
        <w:t>Return on capital of a regulated electricity network</w:t>
      </w:r>
      <w:r w:rsidRPr="00F51DC5">
        <w:t xml:space="preserve">, May 2014, p. 73, footnote 202. </w:t>
      </w:r>
    </w:p>
    <w:p w:rsidR="00C45EFC" w:rsidRDefault="00C45EFC" w:rsidP="00C45EFC">
      <w:pPr>
        <w:pStyle w:val="AERtablesource"/>
      </w:pPr>
      <w:r w:rsidRPr="00F51DC5">
        <w:t>(d)</w:t>
      </w:r>
      <w:r w:rsidRPr="00F51DC5">
        <w:tab/>
        <w:t xml:space="preserve">TransGrid did not propose specific values for equity beta and MRP because it proposed a multiple model approach. However, its consultant, NERA, applied a MRP of 7.26 per cent and equity beta of 0.58 in its preferred SLCAPM specification. See: NERA, </w:t>
      </w:r>
      <w:r w:rsidRPr="006531F1">
        <w:rPr>
          <w:rStyle w:val="AERtextitalic"/>
        </w:rPr>
        <w:t>Return on capital of a regulated electricity network</w:t>
      </w:r>
      <w:r w:rsidRPr="00F51DC5">
        <w:t>, May 2014, pp. 45, 87.</w:t>
      </w:r>
    </w:p>
    <w:p w:rsidR="00C708A4" w:rsidRPr="00C708A4" w:rsidRDefault="00C708A4" w:rsidP="00C708A4">
      <w:pPr>
        <w:pStyle w:val="AERtablesource"/>
      </w:pPr>
      <w:r>
        <w:t>(e)</w:t>
      </w:r>
      <w:r>
        <w:tab/>
      </w:r>
      <w:r w:rsidR="00FB62D6" w:rsidRPr="00FB62D6">
        <w:t>This return on debt estimate, subject to our final decision, will be used to update the revenues we previously determined for the 2014–15 (transitional) regulatory year.</w:t>
      </w:r>
    </w:p>
    <w:p w:rsidR="00702D8E" w:rsidRPr="006D4FA2" w:rsidRDefault="00702D8E" w:rsidP="006D4FA2">
      <w:pPr>
        <w:pStyle w:val="Heading3"/>
      </w:pPr>
      <w:bookmarkStart w:id="58" w:name="_Toc404437621"/>
      <w:r w:rsidRPr="006D4FA2">
        <w:t>Summary of analysis and reasons</w:t>
      </w:r>
      <w:bookmarkEnd w:id="58"/>
    </w:p>
    <w:p w:rsidR="00C45EFC" w:rsidRPr="00C45EFC" w:rsidRDefault="00C45EFC" w:rsidP="00C45EFC">
      <w:pPr>
        <w:pStyle w:val="HeadingBoldBlue"/>
      </w:pPr>
      <w:r w:rsidRPr="00C45EFC">
        <w:t>Our approach</w:t>
      </w:r>
    </w:p>
    <w:p w:rsidR="00C45EFC" w:rsidRPr="00C45EFC" w:rsidRDefault="00C45EFC" w:rsidP="00C45EFC">
      <w:pPr>
        <w:pStyle w:val="AERbodytext"/>
      </w:pPr>
      <w:r w:rsidRPr="00C45EFC">
        <w:t>We consider that our approach, which includes a process that lends itself to capturing a broad range of material from all stakeholders while founded on the rate of return framework, would result in an estimate of the rate of return that contributes to achieving the allowed rate of return objective. Our approach is based on the rate of return framework in the NER. Under this framework, our key task is to determine an overall rate of return that we are satisfied achieves the allowed rate of return objective.</w:t>
      </w:r>
      <w:r w:rsidRPr="006D4FA2">
        <w:rPr>
          <w:rStyle w:val="AERsuperscript"/>
        </w:rPr>
        <w:footnoteReference w:id="72"/>
      </w:r>
      <w:r w:rsidRPr="00C45EFC">
        <w:t xml:space="preserve"> An important feature of the rate of return framework is the recognition that there is no one correct answer that achieves the allowed rate of return objective.</w:t>
      </w:r>
      <w:r w:rsidRPr="00C45EFC">
        <w:rPr>
          <w:rStyle w:val="FootnoteReference"/>
        </w:rPr>
        <w:footnoteReference w:id="73"/>
      </w:r>
      <w:r w:rsidRPr="00C45EFC">
        <w:rPr>
          <w:rStyle w:val="FootnoteReference"/>
        </w:rPr>
        <w:t xml:space="preserve"> </w:t>
      </w:r>
    </w:p>
    <w:p w:rsidR="00C45EFC" w:rsidRPr="00C45EFC" w:rsidRDefault="00C45EFC" w:rsidP="00C45EFC">
      <w:pPr>
        <w:pStyle w:val="AERbodytext"/>
      </w:pPr>
      <w:r w:rsidRPr="00C45EFC">
        <w:t>Prior to the submission of this regulatory proposal, as required by the rate of return framework, in December 2013, we published the Rate of Return Guideline (the Guideline).</w:t>
      </w:r>
      <w:r w:rsidRPr="00C45EFC">
        <w:rPr>
          <w:rStyle w:val="FootnoteReference"/>
        </w:rPr>
        <w:footnoteReference w:id="74"/>
      </w:r>
      <w:r w:rsidRPr="00C45EFC">
        <w:t xml:space="preserve"> The Guideline was designed through extensive consultation and included effective and inclusive consumer participation.</w:t>
      </w:r>
      <w:r w:rsidRPr="00C45EFC">
        <w:rPr>
          <w:rStyle w:val="FootnoteReference"/>
        </w:rPr>
        <w:footnoteReference w:id="75"/>
      </w:r>
      <w:r w:rsidRPr="00C45EFC">
        <w:t xml:space="preserve"> We agree with stakeholders that certainty and predictability of outcomes in rate of return issues could materially benefit the long term interest of consumers.</w:t>
      </w:r>
      <w:r w:rsidRPr="00C45EFC">
        <w:rPr>
          <w:rStyle w:val="FootnoteReference"/>
        </w:rPr>
        <w:footnoteReference w:id="76"/>
      </w:r>
      <w:r w:rsidRPr="00C45EFC">
        <w:t xml:space="preserve"> </w:t>
      </w:r>
    </w:p>
    <w:p w:rsidR="00C45EFC" w:rsidRPr="00C45EFC" w:rsidRDefault="00C45EFC" w:rsidP="00C45EFC">
      <w:pPr>
        <w:pStyle w:val="HeadingBoldBlue"/>
      </w:pPr>
      <w:r w:rsidRPr="00C45EFC">
        <w:lastRenderedPageBreak/>
        <w:t>Return on equity</w:t>
      </w:r>
    </w:p>
    <w:p w:rsidR="00C45EFC" w:rsidRPr="00C45EFC" w:rsidRDefault="00C45EFC" w:rsidP="00C45EFC">
      <w:pPr>
        <w:pStyle w:val="AERbodytext"/>
      </w:pPr>
      <w:r w:rsidRPr="00C45EFC">
        <w:t xml:space="preserve">Our return on equity estimate is determined by applying </w:t>
      </w:r>
      <w:r w:rsidR="007D28DD">
        <w:t>the</w:t>
      </w:r>
      <w:r w:rsidR="007D28DD" w:rsidRPr="00C45EFC">
        <w:t xml:space="preserve"> </w:t>
      </w:r>
      <w:r w:rsidRPr="00C45EFC">
        <w:t xml:space="preserve">iterative six step process set out in the Guideline (foundation model approach). We have had regard to a large amount of relevant information, including various equity models. At different stages of </w:t>
      </w:r>
      <w:r w:rsidR="007D28DD">
        <w:t>the</w:t>
      </w:r>
      <w:r w:rsidRPr="00C45EFC">
        <w:t xml:space="preserve"> process we have used this material to inform </w:t>
      </w:r>
      <w:r w:rsidR="007D28DD">
        <w:t>a</w:t>
      </w:r>
      <w:r w:rsidR="007D28DD" w:rsidRPr="00C45EFC">
        <w:t xml:space="preserve"> </w:t>
      </w:r>
      <w:r w:rsidRPr="00C45EFC">
        <w:t>return on equity estimate that contribute</w:t>
      </w:r>
      <w:r w:rsidR="00CC5C12">
        <w:t>s</w:t>
      </w:r>
      <w:r w:rsidRPr="00C45EFC">
        <w:t xml:space="preserve"> to the allowed rate of return objective.</w:t>
      </w:r>
    </w:p>
    <w:p w:rsidR="00C45EFC" w:rsidRPr="00C45EFC" w:rsidRDefault="00C45EFC" w:rsidP="00C45EFC">
      <w:pPr>
        <w:pStyle w:val="AERbodytext"/>
      </w:pPr>
      <w:r w:rsidRPr="00C45EFC">
        <w:t xml:space="preserve">The evidence indicates that the </w:t>
      </w:r>
      <w:r w:rsidR="00CC5C12">
        <w:t>Sharpe</w:t>
      </w:r>
      <w:r w:rsidR="002C4886">
        <w:t>–</w:t>
      </w:r>
      <w:r w:rsidR="00CC5C12">
        <w:t>Lintner capital asset pricing model (</w:t>
      </w:r>
      <w:r w:rsidRPr="00C45EFC">
        <w:t>SLCAPM</w:t>
      </w:r>
      <w:r w:rsidR="00CC5C12">
        <w:t>)</w:t>
      </w:r>
      <w:r w:rsidRPr="00C45EFC">
        <w:t xml:space="preserve"> is the superior model in terms of estimating expected equity returns. We have therefore adopted this model as our foundation model. </w:t>
      </w:r>
      <w:r w:rsidR="002A0C7D" w:rsidRPr="00C45EFC">
        <w:t xml:space="preserve">We commissioned expert reports from Professor Michael McKenzie and Associate </w:t>
      </w:r>
      <w:r w:rsidR="002A0C7D">
        <w:t>p</w:t>
      </w:r>
      <w:r w:rsidR="002A0C7D" w:rsidRPr="00C45EFC">
        <w:t xml:space="preserve">rofessor Graham Partington and Associate </w:t>
      </w:r>
      <w:r w:rsidR="002A0C7D">
        <w:t>p</w:t>
      </w:r>
      <w:r w:rsidR="002A0C7D" w:rsidRPr="00C45EFC">
        <w:t xml:space="preserve">rofessor John Handley. </w:t>
      </w:r>
      <w:r w:rsidRPr="00C45EFC">
        <w:t>Both confirm that employing our foundation model approach and using the SLCAPM as the foundation model, in the context of the vanilla WACC formula is expected to lead to a rate of return that meets the allowed rate of return objective.</w:t>
      </w:r>
      <w:r w:rsidRPr="00C45EFC">
        <w:rPr>
          <w:rStyle w:val="FootnoteReference"/>
        </w:rPr>
        <w:footnoteReference w:id="77"/>
      </w:r>
    </w:p>
    <w:p w:rsidR="00C45EFC" w:rsidRPr="00C45EFC" w:rsidRDefault="00C45EFC" w:rsidP="00C45EFC">
      <w:pPr>
        <w:pStyle w:val="AERbodytext"/>
      </w:pPr>
      <w:r w:rsidRPr="00C45EFC">
        <w:t>Our SLCAPM input parameters (MRP and equity beta) are determined after considering a range of relevant material and determining a point estimate that is most suited for our task. We evaluated our SLCAPM point estimate against other information. The critical allowance for an equity investor in a benchmark efficient entity is the allowed equity risk premium (ERP) over and above the estimated risk free rate at a given time.</w:t>
      </w:r>
      <w:r w:rsidRPr="00C45EFC">
        <w:rPr>
          <w:rStyle w:val="FootnoteReference"/>
        </w:rPr>
        <w:footnoteReference w:id="78"/>
      </w:r>
      <w:r w:rsidRPr="00C45EFC">
        <w:t xml:space="preserve"> Our estimate of the ERP for the benchmark efficient entity is 4.55 per cent. </w:t>
      </w:r>
      <w:r w:rsidR="007D28DD">
        <w:t>Applying</w:t>
      </w:r>
      <w:r w:rsidRPr="00C45EFC">
        <w:t xml:space="preserve"> the standard SLCAPM, this equals the MRP multiplied by the equity beta. Hence, we have compared ERP estimates where relevant</w:t>
      </w:r>
      <w:r w:rsidR="007D28DD">
        <w:t xml:space="preserve"> (</w:t>
      </w:r>
      <w:r w:rsidRPr="00C45EFC">
        <w:t>graphically presented in</w:t>
      </w:r>
      <w:r w:rsidR="00B75C12">
        <w:t xml:space="preserve"> </w:t>
      </w:r>
      <w:r w:rsidR="00B75C12">
        <w:fldChar w:fldCharType="begin"/>
      </w:r>
      <w:r w:rsidR="00B75C12">
        <w:instrText xml:space="preserve"> REF _Ref402864699 \h </w:instrText>
      </w:r>
      <w:r w:rsidR="00B75C12">
        <w:fldChar w:fldCharType="separate"/>
      </w:r>
      <w:r w:rsidR="00C71301">
        <w:t xml:space="preserve">Figure </w:t>
      </w:r>
      <w:r w:rsidR="00C71301">
        <w:rPr>
          <w:noProof/>
        </w:rPr>
        <w:t>8</w:t>
      </w:r>
      <w:r w:rsidR="00C71301">
        <w:noBreakHyphen/>
      </w:r>
      <w:r w:rsidR="00C71301">
        <w:rPr>
          <w:noProof/>
        </w:rPr>
        <w:t>2</w:t>
      </w:r>
      <w:r w:rsidR="00B75C12">
        <w:fldChar w:fldCharType="end"/>
      </w:r>
      <w:r w:rsidR="007D28DD">
        <w:t>)</w:t>
      </w:r>
      <w:r w:rsidRPr="00C45EFC">
        <w:t xml:space="preserve">. We find that our ERP estimate is within the range of other information available to inform the return on equity. Our analysis shows that: </w:t>
      </w:r>
    </w:p>
    <w:p w:rsidR="00C45EFC" w:rsidRPr="00C45EFC" w:rsidRDefault="00C45EFC" w:rsidP="00C45EFC">
      <w:pPr>
        <w:pStyle w:val="AERbulletlistfirststyle"/>
      </w:pPr>
      <w:r w:rsidRPr="00C45EFC">
        <w:t>The Wright approach to specifying the CAPM results in an ERP range of 2.6 to 6.</w:t>
      </w:r>
      <w:r w:rsidR="00E4786A">
        <w:t>5</w:t>
      </w:r>
      <w:r w:rsidRPr="00C45EFC">
        <w:t xml:space="preserve"> per cent. This equates to a return on equity range of 6.</w:t>
      </w:r>
      <w:r w:rsidR="00E4786A">
        <w:t>2</w:t>
      </w:r>
      <w:r w:rsidRPr="00C45EFC">
        <w:t xml:space="preserve"> to 10.</w:t>
      </w:r>
      <w:r w:rsidR="00E4786A">
        <w:t>1</w:t>
      </w:r>
      <w:r w:rsidRPr="00C45EFC">
        <w:t xml:space="preserve"> per cent with a prevailing risk free rate.</w:t>
      </w:r>
    </w:p>
    <w:p w:rsidR="00C45EFC" w:rsidRPr="00C45EFC" w:rsidRDefault="002A0C7D" w:rsidP="00C45EFC">
      <w:pPr>
        <w:pStyle w:val="AERbulletlistfirststyle"/>
      </w:pPr>
      <w:r w:rsidRPr="00C45EFC">
        <w:t xml:space="preserve">ERP estimates from other market participants (independent valuers, brokers and other regulators) for comparable firms range from </w:t>
      </w:r>
      <w:r w:rsidR="006A145D">
        <w:t>3.3</w:t>
      </w:r>
      <w:r w:rsidRPr="00C45EFC">
        <w:t xml:space="preserve"> to 6.</w:t>
      </w:r>
      <w:r>
        <w:t>2</w:t>
      </w:r>
      <w:r w:rsidRPr="00C45EFC">
        <w:t xml:space="preserve"> per cent. </w:t>
      </w:r>
      <w:r w:rsidR="00C45EFC" w:rsidRPr="00C45EFC">
        <w:t>This equates to a return on equity range of 6.</w:t>
      </w:r>
      <w:r w:rsidR="009410E2">
        <w:t>9</w:t>
      </w:r>
      <w:r w:rsidR="00C45EFC" w:rsidRPr="00C45EFC">
        <w:t xml:space="preserve"> to 9.</w:t>
      </w:r>
      <w:r w:rsidR="00E4786A">
        <w:t>8</w:t>
      </w:r>
      <w:r w:rsidR="00C45EFC" w:rsidRPr="00C45EFC">
        <w:t xml:space="preserve"> per cent with the prevailing risk free rate.</w:t>
      </w:r>
    </w:p>
    <w:p w:rsidR="00C45EFC" w:rsidRPr="00C45EFC" w:rsidRDefault="00C45EFC" w:rsidP="00C45EFC">
      <w:pPr>
        <w:pStyle w:val="AERbulletlistfirststyle"/>
      </w:pPr>
      <w:r w:rsidRPr="00C45EFC">
        <w:t xml:space="preserve">Our SLCAPM return on equity estimate is about 2.5 per cent above the prevailing return on debt. This reflects the difference between our ERP of 4.55 per cent and the </w:t>
      </w:r>
      <w:r w:rsidR="007B1DCA">
        <w:t>debt risk premium</w:t>
      </w:r>
      <w:r w:rsidRPr="00C45EFC">
        <w:t xml:space="preserve"> (</w:t>
      </w:r>
      <w:r w:rsidR="007B1DCA">
        <w:t>DRP</w:t>
      </w:r>
      <w:r w:rsidRPr="00C45EFC">
        <w:t>) on 10 year BBB bonds of approximately 2.0</w:t>
      </w:r>
      <w:r w:rsidR="007B1DCA">
        <w:t>8</w:t>
      </w:r>
      <w:r w:rsidRPr="00C45EFC">
        <w:t xml:space="preserve"> per cent.</w:t>
      </w:r>
      <w:r w:rsidRPr="00C45EFC">
        <w:rPr>
          <w:rStyle w:val="FootnoteReference"/>
        </w:rPr>
        <w:footnoteReference w:id="79"/>
      </w:r>
    </w:p>
    <w:p w:rsidR="00C45EFC" w:rsidRPr="00C45EFC" w:rsidRDefault="00B75C12" w:rsidP="00B75C12">
      <w:pPr>
        <w:pStyle w:val="Caption"/>
      </w:pPr>
      <w:bookmarkStart w:id="59" w:name="_Ref402864699"/>
      <w:r>
        <w:lastRenderedPageBreak/>
        <w:t xml:space="preserve">Figure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noBreakHyphen/>
      </w:r>
      <w:r w:rsidR="00864D56">
        <w:fldChar w:fldCharType="begin"/>
      </w:r>
      <w:r w:rsidR="00864D56">
        <w:instrText xml:space="preserve"> SEQ Figure \* ARABIC \s 1 </w:instrText>
      </w:r>
      <w:r w:rsidR="00864D56">
        <w:fldChar w:fldCharType="separate"/>
      </w:r>
      <w:r w:rsidR="00C71301">
        <w:rPr>
          <w:noProof/>
        </w:rPr>
        <w:t>2</w:t>
      </w:r>
      <w:r w:rsidR="00864D56">
        <w:rPr>
          <w:noProof/>
        </w:rPr>
        <w:fldChar w:fldCharType="end"/>
      </w:r>
      <w:bookmarkEnd w:id="59"/>
      <w:r w:rsidRPr="00C45EFC">
        <w:tab/>
        <w:t>Other information comparisons with the AER allowed ERP</w:t>
      </w:r>
    </w:p>
    <w:p w:rsidR="003B0D45" w:rsidRDefault="009410E2" w:rsidP="00702D8E">
      <w:pPr>
        <w:pStyle w:val="AERbodytext"/>
        <w:numPr>
          <w:ilvl w:val="0"/>
          <w:numId w:val="0"/>
        </w:numPr>
      </w:pPr>
      <w:r w:rsidRPr="009410E2">
        <w:rPr>
          <w:noProof/>
          <w:lang w:eastAsia="en-AU"/>
        </w:rPr>
        <w:drawing>
          <wp:inline distT="0" distB="0" distL="0" distR="0" wp14:anchorId="54ED3352" wp14:editId="2AD6C501">
            <wp:extent cx="5724000" cy="33042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000" cy="3304252"/>
                    </a:xfrm>
                    <a:prstGeom prst="rect">
                      <a:avLst/>
                    </a:prstGeom>
                    <a:noFill/>
                    <a:ln>
                      <a:noFill/>
                    </a:ln>
                  </pic:spPr>
                </pic:pic>
              </a:graphicData>
            </a:graphic>
          </wp:inline>
        </w:drawing>
      </w:r>
    </w:p>
    <w:p w:rsidR="00BB5F2D" w:rsidRPr="00BB5F2D" w:rsidRDefault="00BB5F2D" w:rsidP="00BB5F2D">
      <w:pPr>
        <w:pStyle w:val="AERtablesource"/>
      </w:pPr>
      <w:r w:rsidRPr="00BB5F2D">
        <w:t>Source:</w:t>
      </w:r>
      <w:r w:rsidRPr="00BB5F2D">
        <w:tab/>
        <w:t>AER analysis and various submissions and reports</w:t>
      </w:r>
    </w:p>
    <w:p w:rsidR="00C45EFC" w:rsidRDefault="00BB5F2D" w:rsidP="007F783F">
      <w:pPr>
        <w:pStyle w:val="AERtablesource"/>
      </w:pPr>
      <w:r w:rsidRPr="00BB5F2D">
        <w:t xml:space="preserve">Notes: </w:t>
      </w:r>
      <w:r w:rsidRPr="00BB5F2D">
        <w:tab/>
      </w:r>
      <w:r w:rsidR="007F783F">
        <w:t>A detailed explanation of this figure can be found in attachment 3: Rate of return</w:t>
      </w:r>
      <w:r w:rsidRPr="00BB5F2D">
        <w:t xml:space="preserve">.  </w:t>
      </w:r>
    </w:p>
    <w:p w:rsidR="00C45EFC" w:rsidRPr="00C45EFC" w:rsidRDefault="00C45EFC" w:rsidP="00C45EFC">
      <w:pPr>
        <w:pStyle w:val="HeadingBoldBlue"/>
      </w:pPr>
      <w:r w:rsidRPr="00C45EFC">
        <w:t>Return on debt</w:t>
      </w:r>
    </w:p>
    <w:p w:rsidR="00FB62D6" w:rsidRPr="00FB62D6" w:rsidRDefault="00C45EFC" w:rsidP="00FB62D6">
      <w:pPr>
        <w:pStyle w:val="AERbodytext"/>
      </w:pPr>
      <w:r w:rsidRPr="00C45EFC">
        <w:t xml:space="preserve">Our return on debt estimate is derived using the trailing average approach. This is a change from the current period which </w:t>
      </w:r>
      <w:r w:rsidR="006834B6">
        <w:t>applied</w:t>
      </w:r>
      <w:r w:rsidRPr="00C45EFC">
        <w:t xml:space="preserve"> an on-the-day approach. </w:t>
      </w:r>
      <w:r w:rsidR="00FB62D6" w:rsidRPr="00FB62D6">
        <w:t>Our return on debt estimate incorporates a transition from the current on-the-day approach to the new trailing average approach.</w:t>
      </w:r>
    </w:p>
    <w:p w:rsidR="00C45EFC" w:rsidRPr="00C45EFC" w:rsidRDefault="00C45EFC" w:rsidP="00C45EFC">
      <w:pPr>
        <w:pStyle w:val="AERbodytext"/>
      </w:pPr>
      <w:r w:rsidRPr="00C45EFC">
        <w:t>We assessed the trailing average approach relative to the other approaches a regulator can apply to estimate the return on debt under the rules.</w:t>
      </w:r>
      <w:r w:rsidRPr="00C45EFC">
        <w:rPr>
          <w:rStyle w:val="FootnoteReference"/>
        </w:rPr>
        <w:footnoteReference w:id="80"/>
      </w:r>
      <w:r w:rsidRPr="00C45EFC">
        <w:rPr>
          <w:rStyle w:val="FootnoteReference"/>
        </w:rPr>
        <w:t xml:space="preserve"> </w:t>
      </w:r>
      <w:r w:rsidRPr="00C45EFC">
        <w:t>We conclude that on balance, the trailing average approach is preferable because it may better contribute to the achievement of the allowed rate of return objective.</w:t>
      </w:r>
      <w:r w:rsidRPr="00C45EFC">
        <w:rPr>
          <w:rStyle w:val="FootnoteReference"/>
        </w:rPr>
        <w:footnoteReference w:id="81"/>
      </w:r>
      <w:r>
        <w:t xml:space="preserve"> </w:t>
      </w:r>
      <w:r w:rsidRPr="00C45EFC">
        <w:t xml:space="preserve">We are satisfied that a benchmark efficient entity would hold a staggered portfolio of long term (10 year) debt. </w:t>
      </w:r>
      <w:r w:rsidR="00D7126E">
        <w:t>By this we</w:t>
      </w:r>
      <w:r w:rsidRPr="00C45EFC">
        <w:t xml:space="preserve"> mean that 10 per cent of the debt is new or refinanced each year. This means that for the 201</w:t>
      </w:r>
      <w:r w:rsidR="00757A57">
        <w:t>4</w:t>
      </w:r>
      <w:r w:rsidRPr="00C45EFC">
        <w:t xml:space="preserve">–2018 period, the benchmark efficient entity will be issuing new debt or refinancing existing debt each year. It also means that at the start of that period, the benchmark efficient entity will have in place a portfolio of debt that is existing debt and was issued in the past. We consider it is reasonable to update 10 per cent of the benchmark efficient entity's return on debt annually going forward. Our application of the trailing average approach is based on a simple average approach that provides for 10 per cent of the benchmark efficient entity's debt portfolio to be refinanced/issued each regulatory year. </w:t>
      </w:r>
    </w:p>
    <w:p w:rsidR="00C45EFC" w:rsidRPr="00C45EFC" w:rsidRDefault="00C45EFC" w:rsidP="00C45EFC">
      <w:pPr>
        <w:pStyle w:val="AERbodytext"/>
      </w:pPr>
      <w:r w:rsidRPr="00C45EFC">
        <w:t xml:space="preserve">There is agreement between service providers (regulatory proposals currently before us) and us on the use of the trailing average approach and that an efficient benchmark entity would hold a staggered portfolio of long term (10 year) debt. However, there is no agreement </w:t>
      </w:r>
      <w:r w:rsidR="00A86A7D">
        <w:t xml:space="preserve">between TransGrid and ourselves </w:t>
      </w:r>
      <w:r w:rsidRPr="00C45EFC">
        <w:t>on how we should move from the current approach to the trailing average.</w:t>
      </w:r>
    </w:p>
    <w:p w:rsidR="00C45EFC" w:rsidRPr="00C45EFC" w:rsidRDefault="00C45EFC" w:rsidP="00C45EFC">
      <w:pPr>
        <w:pStyle w:val="AERbodytext"/>
      </w:pPr>
      <w:r w:rsidRPr="00C45EFC">
        <w:lastRenderedPageBreak/>
        <w:t>We are satisfied that it is reasonable to commence the trailing average with an initial estimation of the return on debt that is then progressively updated over the period of the trailing average. For new debt that is progressively issued in the 201</w:t>
      </w:r>
      <w:r w:rsidR="00757A57">
        <w:t>4</w:t>
      </w:r>
      <w:r w:rsidRPr="00C45EFC">
        <w:t>–18 period and beyond, we apply the trailing average approach immediately. For existing debt that was issued before the commencement of the 201</w:t>
      </w:r>
      <w:r w:rsidR="00757A57">
        <w:t>4</w:t>
      </w:r>
      <w:r w:rsidRPr="00C45EFC">
        <w:t xml:space="preserve">–18 period, we continue to apply the on-the-day approach until that debt is refinanced. We update the debt portfolio by 10 per cent each year, consistent with a staggered debt portfolio with a benchmark debt term of 10 years. After 10 years, the entire debt portfolio </w:t>
      </w:r>
      <w:r w:rsidR="00CC5C12">
        <w:t>will have</w:t>
      </w:r>
      <w:r w:rsidR="00CC5C12" w:rsidRPr="00C45EFC">
        <w:t xml:space="preserve"> </w:t>
      </w:r>
      <w:r w:rsidRPr="00C45EFC">
        <w:t>been updated and incorporated into the trailing average approach, and the transition is complete. This approach is the same as the transitional arrangements we proposed in the rate of return guideline. Our transitional arrangements:</w:t>
      </w:r>
    </w:p>
    <w:p w:rsidR="00C45EFC" w:rsidRPr="00C45EFC" w:rsidRDefault="002B55C0" w:rsidP="00C45EFC">
      <w:pPr>
        <w:pStyle w:val="AERbulletlistfirststyle"/>
      </w:pPr>
      <w:r>
        <w:t>minimises the potential mismatch between the allowed return on debt and the actual return on debt of the benchmark efficient entity as it transitions its financing practices</w:t>
      </w:r>
      <w:r w:rsidR="00C45EFC" w:rsidRPr="00C45EFC">
        <w:t>, and</w:t>
      </w:r>
    </w:p>
    <w:p w:rsidR="00C45EFC" w:rsidRPr="00C45EFC" w:rsidRDefault="00C45EFC" w:rsidP="00C45EFC">
      <w:pPr>
        <w:pStyle w:val="AERbulletlistfirststyle"/>
      </w:pPr>
      <w:r w:rsidRPr="00C45EFC">
        <w:t>avoids potential windfall gains or losses to service providers or consumers from changing the regulatory regime for the return on debt.</w:t>
      </w:r>
    </w:p>
    <w:p w:rsidR="00C45EFC" w:rsidRPr="00C45EFC" w:rsidRDefault="00C45EFC" w:rsidP="00C45EFC">
      <w:pPr>
        <w:pStyle w:val="AERbodytext"/>
      </w:pPr>
      <w:r w:rsidRPr="00C45EFC">
        <w:t>We adopt a 10 year term for the return on debt with a BBB+ credit rating. Whilst all service providers with current regulatory proposals agree with us on the term</w:t>
      </w:r>
      <w:r w:rsidR="0020258B">
        <w:t>,</w:t>
      </w:r>
      <w:r w:rsidRPr="00C45EFC">
        <w:t xml:space="preserve"> Ausgrid, Endeavour Energy, Essential Energy, ActewAGL and JGN proposed a BBB credit rating.</w:t>
      </w:r>
      <w:r w:rsidRPr="00C45EFC">
        <w:rPr>
          <w:rStyle w:val="FootnoteReference"/>
        </w:rPr>
        <w:footnoteReference w:id="82"/>
      </w:r>
      <w:r w:rsidRPr="00C45EFC">
        <w:t xml:space="preserve"> We are satisfied that our benchmark efficient entity operating within Australia in gas, electricity, distribution or transmission networks face similar degrees of risk, including similar credit risks. Accordingly, we are satisfied that one benchmark credit rating should apply in our decisions for each of these sectors. Adopting a single credit rating is consistent with our adoption of a single definition of the benchmark efficient entity</w:t>
      </w:r>
      <w:r w:rsidR="00AA239E">
        <w:t>, and with the NER</w:t>
      </w:r>
      <w:r w:rsidRPr="00C45EFC">
        <w:t>.</w:t>
      </w:r>
    </w:p>
    <w:p w:rsidR="00C45EFC" w:rsidRPr="00C45EFC" w:rsidRDefault="00C45EFC" w:rsidP="00C45EFC">
      <w:pPr>
        <w:pStyle w:val="AERbodytext"/>
      </w:pPr>
      <w:r w:rsidRPr="00C45EFC">
        <w:t>We use the debt yields from a third party data provider for estimating the return on debt. All service providers with current regulatory proposals have proposed to use a third party dataset for estimating the return on debt. We reviewed the data from Bloomberg (BVAL curve) and the RBA to be satisfied on the data that is most likely to reflect the efficient financing costs of a benchmark efficient entity at this time. We find that neither the RBA curve nor the BVAL curve is directly implementable in its published form for our purposes. However, we consider that both curves can be implemented in a way that will be sufficiently robust, fit for purpose and replicable, and through the automatic application of a formula, as required by the NER.</w:t>
      </w:r>
      <w:r w:rsidRPr="00C45EFC">
        <w:rPr>
          <w:rStyle w:val="FootnoteReference"/>
        </w:rPr>
        <w:footnoteReference w:id="83"/>
      </w:r>
      <w:r w:rsidRPr="00C45EFC">
        <w:t xml:space="preserve"> We are satisfied that a</w:t>
      </w:r>
      <w:r w:rsidR="00FB62D6">
        <w:t>n</w:t>
      </w:r>
      <w:r w:rsidRPr="00C45EFC">
        <w:t xml:space="preserve"> average of the two data series will contribute to achieving the allowed rate of return objective.</w:t>
      </w:r>
    </w:p>
    <w:p w:rsidR="00667784" w:rsidRDefault="00667784" w:rsidP="00E14922">
      <w:pPr>
        <w:pStyle w:val="Heading2"/>
      </w:pPr>
      <w:bookmarkStart w:id="60" w:name="_Toc404437622"/>
      <w:bookmarkStart w:id="61" w:name="_Toc390936283"/>
      <w:r>
        <w:t>Value of imputation credits</w:t>
      </w:r>
      <w:r w:rsidR="00D7126E">
        <w:t xml:space="preserve"> (gamma)</w:t>
      </w:r>
      <w:bookmarkEnd w:id="60"/>
    </w:p>
    <w:p w:rsidR="00A054D0" w:rsidRDefault="00A054D0" w:rsidP="00A054D0">
      <w:pPr>
        <w:pStyle w:val="AERbodytext"/>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84"/>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667784" w:rsidRPr="00667784" w:rsidRDefault="00A054D0">
      <w:pPr>
        <w:pStyle w:val="AERbodytext"/>
      </w:pPr>
      <w:r>
        <w:t xml:space="preserve">In determining a service provider's revenue allowance, the rules require that the estimated cost of corporate income tax be estimated in accordance with a formula that reduces the estimated cost by </w:t>
      </w:r>
      <w:r>
        <w:lastRenderedPageBreak/>
        <w:t>the 'value of imputation credits'.</w:t>
      </w:r>
      <w:r>
        <w:rPr>
          <w:rStyle w:val="FootnoteReference"/>
        </w:rPr>
        <w:footnoteReference w:id="85"/>
      </w:r>
      <w:r>
        <w:t xml:space="preserve"> That is, the revenue allowance granted to a service provider to cover its expected tax liability must be reduced in a manner consistent with the value of imputation credits.</w:t>
      </w:r>
    </w:p>
    <w:p w:rsidR="00667784" w:rsidRDefault="00667784" w:rsidP="00702D8E">
      <w:pPr>
        <w:pStyle w:val="Heading3"/>
      </w:pPr>
      <w:bookmarkStart w:id="62" w:name="_Toc404437623"/>
      <w:r w:rsidRPr="001110F1">
        <w:t>Draft decision</w:t>
      </w:r>
      <w:bookmarkEnd w:id="62"/>
      <w:r w:rsidRPr="001110F1">
        <w:t xml:space="preserve"> </w:t>
      </w:r>
    </w:p>
    <w:p w:rsidR="00A054D0" w:rsidRDefault="00A054D0" w:rsidP="00A054D0">
      <w:pPr>
        <w:pStyle w:val="AERbodytext"/>
      </w:pPr>
      <w:r>
        <w:t>We do not accept TransGrid's proposed value of imputation credits of 0.25. Instead, we adopt a value of imputation credits of 0.4.</w:t>
      </w:r>
    </w:p>
    <w:p w:rsidR="00667784" w:rsidRPr="00667784" w:rsidRDefault="00A054D0">
      <w:pPr>
        <w:pStyle w:val="AERbodytext"/>
      </w:pPr>
      <w:r>
        <w:t>The value we adopt is lower than the value of 0.5 proposed in the rate of return guideline. Although we have broadly maintained the approach to determining the value of imputation credits set out in the guideline, we have re-examined the relevant evidence and estimates. This re-examination, and new evidence and advice considered since the guideline, led us to depart from the value in the guideline.</w:t>
      </w:r>
    </w:p>
    <w:p w:rsidR="00667784" w:rsidRPr="009F4C42" w:rsidRDefault="00667784" w:rsidP="00702D8E">
      <w:pPr>
        <w:pStyle w:val="Heading3"/>
      </w:pPr>
      <w:bookmarkStart w:id="63" w:name="_Toc390936281"/>
      <w:bookmarkStart w:id="64" w:name="_Toc404437624"/>
      <w:r w:rsidRPr="009F4C42">
        <w:t xml:space="preserve">Summary of </w:t>
      </w:r>
      <w:r w:rsidRPr="00E14922">
        <w:t>analysis</w:t>
      </w:r>
      <w:r w:rsidRPr="009F4C42">
        <w:t xml:space="preserve"> and reasons</w:t>
      </w:r>
      <w:bookmarkEnd w:id="63"/>
      <w:bookmarkEnd w:id="64"/>
    </w:p>
    <w:p w:rsidR="00A054D0" w:rsidRPr="003C2542" w:rsidRDefault="00A054D0" w:rsidP="00A054D0">
      <w:pPr>
        <w:pStyle w:val="AERbodytext"/>
      </w:pPr>
      <w:r>
        <w:t xml:space="preserve">Estimating the value of imputation credits is a complex and imprecise task. There is no consensus among experts on the appropriate value or estimation techniques to use. </w:t>
      </w:r>
    </w:p>
    <w:p w:rsidR="00A054D0" w:rsidRDefault="00A054D0" w:rsidP="00A054D0">
      <w:pPr>
        <w:pStyle w:val="AERbodytext"/>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A054D0" w:rsidRPr="00222B8F" w:rsidRDefault="00A054D0" w:rsidP="00A054D0">
      <w:pPr>
        <w:pStyle w:val="AERbulletlistfirststyle"/>
      </w:pPr>
      <w:r w:rsidRPr="00222B8F">
        <w:t>The proportion of Australian equity held by domestic investors (the 'equity ownership approach')</w:t>
      </w:r>
      <w:r>
        <w:t>—this approach reflects that domestic investors are typically able to use imputation credits to reduce their tax liability or redeem for cash, whereas foreign investors cannot.</w:t>
      </w:r>
    </w:p>
    <w:p w:rsidR="00A054D0" w:rsidRPr="00222B8F" w:rsidRDefault="00A054D0" w:rsidP="00A054D0">
      <w:pPr>
        <w:pStyle w:val="AERbulletlistfirststyle"/>
      </w:pPr>
      <w:r w:rsidRPr="00222B8F">
        <w:t xml:space="preserve">The reported value of credits </w:t>
      </w:r>
      <w:r w:rsidR="006834B6">
        <w:t>used</w:t>
      </w:r>
      <w:r w:rsidR="006834B6" w:rsidRPr="00222B8F">
        <w:t xml:space="preserve"> </w:t>
      </w:r>
      <w:r w:rsidRPr="00222B8F">
        <w:t xml:space="preserve">by investors in </w:t>
      </w:r>
      <w:r>
        <w:t>Australian Taxation Office (</w:t>
      </w:r>
      <w:r w:rsidRPr="00222B8F">
        <w:t>ATO</w:t>
      </w:r>
      <w:r>
        <w:t>)</w:t>
      </w:r>
      <w:r w:rsidRPr="00222B8F">
        <w:t xml:space="preserve"> statistics ('tax statistics')</w:t>
      </w:r>
      <w:r>
        <w:t>—this approach reflects that the ATO maintains records of the amount of imputation credits claimed by investors in their tax returns.</w:t>
      </w:r>
    </w:p>
    <w:p w:rsidR="00A054D0" w:rsidRPr="00222B8F" w:rsidRDefault="00A054D0" w:rsidP="00A054D0">
      <w:pPr>
        <w:pStyle w:val="AERbulletlistfirststyle"/>
      </w:pPr>
      <w:r>
        <w:t>Implied market value studies—while there is no separate market in which imputation credits are traded, and therefore there is no observable market price for imputation credits, this approach reflects that the value of imputation credits can be inferred from the change in market prices of financial instruments which trade with and without imputation credits attached.</w:t>
      </w:r>
    </w:p>
    <w:p w:rsidR="00A054D0" w:rsidRPr="009229E7" w:rsidRDefault="00A054D0" w:rsidP="00A054D0">
      <w:pPr>
        <w:pStyle w:val="AERbodytext"/>
      </w:pPr>
      <w:r>
        <w:t>In estimating the utilisation rate, we place:</w:t>
      </w:r>
    </w:p>
    <w:p w:rsidR="00A054D0" w:rsidRDefault="00A054D0" w:rsidP="00A054D0">
      <w:pPr>
        <w:pStyle w:val="AERbulletlistfirststyle"/>
      </w:pPr>
      <w:r>
        <w:t>significant reliance upon the equity ownership approach</w:t>
      </w:r>
    </w:p>
    <w:p w:rsidR="00A054D0" w:rsidRDefault="00A054D0" w:rsidP="00A054D0">
      <w:pPr>
        <w:pStyle w:val="AERbulletlistfirststyle"/>
      </w:pPr>
      <w:r>
        <w:t>some reliance upon tax statistics, and</w:t>
      </w:r>
    </w:p>
    <w:p w:rsidR="00A054D0" w:rsidRDefault="00A054D0" w:rsidP="00A054D0">
      <w:pPr>
        <w:pStyle w:val="AERbulletlistfirststyle"/>
      </w:pPr>
      <w:r>
        <w:t>less reliance upon implied market value studies.</w:t>
      </w:r>
    </w:p>
    <w:p w:rsidR="00A054D0" w:rsidRPr="009229E7" w:rsidRDefault="00A054D0" w:rsidP="00A054D0">
      <w:pPr>
        <w:pStyle w:val="AERbodytext"/>
      </w:pPr>
      <w:r>
        <w:t xml:space="preserve">The relative importance that we assign to each approach is supported by advice received from Associate </w:t>
      </w:r>
      <w:r w:rsidR="00FE3BAD">
        <w:t>p</w:t>
      </w:r>
      <w:r>
        <w:t xml:space="preserve">rofessor John Handley </w:t>
      </w:r>
      <w:r w:rsidRPr="009229E7">
        <w:t xml:space="preserve">of the University of Melbourne and Associate </w:t>
      </w:r>
      <w:r w:rsidR="00FE3BAD">
        <w:t>p</w:t>
      </w:r>
      <w:r w:rsidRPr="009229E7">
        <w:t>rofessor Martin Lally of Victoria University Wellington.</w:t>
      </w:r>
      <w:r w:rsidRPr="009229E7">
        <w:rPr>
          <w:rStyle w:val="FootnoteReference"/>
        </w:rPr>
        <w:footnoteReference w:id="86"/>
      </w:r>
    </w:p>
    <w:p w:rsidR="00A054D0" w:rsidRDefault="00A054D0" w:rsidP="00A054D0">
      <w:pPr>
        <w:pStyle w:val="AERbodytext"/>
      </w:pPr>
      <w:r>
        <w:lastRenderedPageBreak/>
        <w:t>Overall, the evidence on the distribution rate and the utilisation rate suggests that a reasonable estimate of the value of imputation credits is within the range 0.3 to 0.5. From within this range, we choose a value of 0.4. This is because:</w:t>
      </w:r>
    </w:p>
    <w:p w:rsidR="00A054D0" w:rsidRDefault="00A054D0" w:rsidP="00A054D0">
      <w:pPr>
        <w:pStyle w:val="AERbulletlistfirststyle"/>
      </w:pPr>
      <w:r>
        <w:t>The balance of evidence from the equity ownership approach, on which we have placed the most reliance, suggests a value between 0.4 and 0.5.</w:t>
      </w:r>
    </w:p>
    <w:p w:rsidR="00A054D0" w:rsidRDefault="00A054D0" w:rsidP="00A054D0">
      <w:pPr>
        <w:pStyle w:val="AERbulletlistfirststyle"/>
      </w:pPr>
      <w:r>
        <w:t>The evidence from tax statistics suggests the value could be lower than 0.4. Therefore we choose a value at the lower end of the range suggested by the balance of evidence from the equity ownership approach (that is, 0.4).</w:t>
      </w:r>
    </w:p>
    <w:p w:rsidR="00A054D0" w:rsidRDefault="00A054D0" w:rsidP="00A054D0">
      <w:pPr>
        <w:pStyle w:val="AERbulletlistfirststyle"/>
      </w:pPr>
      <w:r>
        <w:t xml:space="preserve">A value of 0.4 is </w:t>
      </w:r>
      <w:r w:rsidRPr="000D1E79">
        <w:t>reasonable in light of the evidence from implied market value studies and the lesser degree of reliance we place upon these studies.</w:t>
      </w:r>
    </w:p>
    <w:p w:rsidR="00A054D0" w:rsidRPr="009229E7" w:rsidRDefault="00A054D0" w:rsidP="00A054D0">
      <w:pPr>
        <w:pStyle w:val="AERbodytext"/>
      </w:pPr>
      <w:r>
        <w:t>In determining the value of imputation credits, we considered the wide range of evidence before us with regard to its merits. We consider that a value of imputation credits of 0.4 is reasonable because:</w:t>
      </w:r>
    </w:p>
    <w:p w:rsidR="00A054D0" w:rsidRDefault="00A054D0" w:rsidP="00A054D0">
      <w:pPr>
        <w:pStyle w:val="AERbulletlistfirststyle"/>
      </w:pPr>
      <w:r>
        <w:t>It is within the range of values indicated by the evidence, and the relevance of the evidence is supported by expert opinion.</w:t>
      </w:r>
    </w:p>
    <w:p w:rsidR="00A054D0" w:rsidRDefault="00A054D0" w:rsidP="00A054D0">
      <w:pPr>
        <w:pStyle w:val="AERbulletlistfirststyle"/>
      </w:pPr>
      <w:r>
        <w:t>It primarily reflects an estimate of the utilisation rate from the equity ownership approach. Handley considered this the most important approach to estimating the utilisation rate, relative to the alternatives of tax statistics and implied market value studies.</w:t>
      </w:r>
      <w:r>
        <w:rPr>
          <w:rStyle w:val="FootnoteReference"/>
        </w:rPr>
        <w:footnoteReference w:id="87"/>
      </w:r>
      <w:r>
        <w:t xml:space="preserve"> The equity ownership approach was Lally's second preference after his recommendation for a utilisation rate of 1.</w:t>
      </w:r>
      <w:r>
        <w:rPr>
          <w:rStyle w:val="FootnoteReference"/>
        </w:rPr>
        <w:footnoteReference w:id="88"/>
      </w:r>
    </w:p>
    <w:p w:rsidR="00A054D0" w:rsidRDefault="00A054D0" w:rsidP="00A054D0">
      <w:pPr>
        <w:pStyle w:val="AERbulletlistfirststyle"/>
      </w:pPr>
      <w:r>
        <w:t>It is within the 'preferred' range for the value of imputation credits in Handley's recent advice.</w:t>
      </w:r>
      <w:r>
        <w:rPr>
          <w:rStyle w:val="FootnoteReference"/>
        </w:rPr>
        <w:footnoteReference w:id="89"/>
      </w:r>
    </w:p>
    <w:p w:rsidR="00667784" w:rsidRPr="00667784" w:rsidRDefault="00A054D0" w:rsidP="006D4FA2">
      <w:pPr>
        <w:pStyle w:val="AERbulletlistfirststyle"/>
      </w:pPr>
      <w:r>
        <w:t>Based on the evidence before us at this time, adopting a value of imputation credits that is rounded to one decimal place appropriately reflects the uncertainty and imprecision associated with this parameter. This uncertainty is evident in the range of views and values espoused by experts. The imprecision of determining the value of imputation credits was emphasised by Handley.</w:t>
      </w:r>
      <w:r>
        <w:rPr>
          <w:rStyle w:val="FootnoteReference"/>
        </w:rPr>
        <w:footnoteReference w:id="90"/>
      </w:r>
    </w:p>
    <w:p w:rsidR="003B0D45" w:rsidRPr="009F4C42" w:rsidRDefault="003B0D45" w:rsidP="00E14922">
      <w:pPr>
        <w:pStyle w:val="Heading2"/>
      </w:pPr>
      <w:bookmarkStart w:id="65" w:name="_Toc404437625"/>
      <w:r w:rsidRPr="009F4C42">
        <w:t xml:space="preserve">Regulatory </w:t>
      </w:r>
      <w:r w:rsidRPr="00E14922">
        <w:t>depreciation</w:t>
      </w:r>
      <w:bookmarkEnd w:id="61"/>
      <w:r w:rsidR="00D7126E">
        <w:t xml:space="preserve"> (return of capital)</w:t>
      </w:r>
      <w:bookmarkEnd w:id="65"/>
    </w:p>
    <w:p w:rsidR="00C862D1" w:rsidRPr="009F4C42" w:rsidRDefault="00C862D1" w:rsidP="00C862D1">
      <w:bookmarkStart w:id="66" w:name="_Toc390936284"/>
      <w:r w:rsidRPr="009F4C42">
        <w:t>We use regulatory depreciation to model the nominal asset values over the 2014–1</w:t>
      </w:r>
      <w:r w:rsidR="00FD2267">
        <w:t>8</w:t>
      </w:r>
      <w:r w:rsidRPr="009F4C42">
        <w:t xml:space="preserve"> period and set the depreciation allowance as part of the over</w:t>
      </w:r>
      <w:r w:rsidR="000D4609">
        <w:t>all</w:t>
      </w:r>
      <w:r w:rsidRPr="009F4C42">
        <w:t xml:space="preserve"> revenue allowance for </w:t>
      </w:r>
      <w:r w:rsidR="00FD2267">
        <w:t>TransGrid</w:t>
      </w:r>
      <w:r w:rsidRPr="009F4C42">
        <w:t xml:space="preserve">. The regulatory depreciation allowance is the net total of the straight-line depreciation (negative) amount and the (positive) amount from indexation of the RAB. </w:t>
      </w:r>
    </w:p>
    <w:p w:rsidR="00C862D1" w:rsidRPr="009F4C42" w:rsidRDefault="00C862D1" w:rsidP="00C862D1">
      <w:r w:rsidRPr="009F4C42">
        <w:t xml:space="preserve">We </w:t>
      </w:r>
      <w:r w:rsidR="000D4609">
        <w:t>have to</w:t>
      </w:r>
      <w:r w:rsidRPr="009F4C42">
        <w:t xml:space="preserve"> decide </w:t>
      </w:r>
      <w:r w:rsidR="000D4609">
        <w:t xml:space="preserve">on whether </w:t>
      </w:r>
      <w:r w:rsidRPr="009F4C42">
        <w:t xml:space="preserve">to approve the depreciation schedules submitted by </w:t>
      </w:r>
      <w:r w:rsidR="00FD2267">
        <w:t>TransGrid</w:t>
      </w:r>
      <w:r w:rsidRPr="009F4C42">
        <w:t xml:space="preserve"> setting out its proposed allowance. If we </w:t>
      </w:r>
      <w:r w:rsidR="00FE3BAD">
        <w:t>do not approve</w:t>
      </w:r>
      <w:r w:rsidRPr="009F4C42">
        <w:t xml:space="preserve"> </w:t>
      </w:r>
      <w:r w:rsidR="00FD2267">
        <w:t>TransGrid</w:t>
      </w:r>
      <w:r w:rsidRPr="009F4C42">
        <w:t xml:space="preserve">'s depreciation schedules we must determine </w:t>
      </w:r>
      <w:r w:rsidR="00FE3BAD">
        <w:t xml:space="preserve">alternative </w:t>
      </w:r>
      <w:r w:rsidRPr="009F4C42">
        <w:t xml:space="preserve">depreciation schedules to apply to </w:t>
      </w:r>
      <w:r w:rsidR="00FD2267">
        <w:t>TransGrid</w:t>
      </w:r>
      <w:r w:rsidRPr="009F4C42">
        <w:t xml:space="preserve"> as set out in the </w:t>
      </w:r>
      <w:r w:rsidR="00C12B08">
        <w:t>NER</w:t>
      </w:r>
      <w:r w:rsidRPr="009F4C42">
        <w:t>.</w:t>
      </w:r>
      <w:r w:rsidRPr="009F4C42">
        <w:rPr>
          <w:rStyle w:val="FootnoteReference"/>
        </w:rPr>
        <w:footnoteReference w:id="91"/>
      </w:r>
      <w:r w:rsidRPr="009F4C42">
        <w:t xml:space="preserve"> </w:t>
      </w:r>
    </w:p>
    <w:p w:rsidR="00C862D1" w:rsidRPr="009F4C42" w:rsidRDefault="00C862D1" w:rsidP="00B37FC5">
      <w:pPr>
        <w:pStyle w:val="AERbodytext"/>
      </w:pPr>
      <w:r w:rsidRPr="00B37FC5">
        <w:lastRenderedPageBreak/>
        <w:t xml:space="preserve">Attachment </w:t>
      </w:r>
      <w:r w:rsidR="002556AD" w:rsidRPr="00B37FC5">
        <w:rPr>
          <w:rStyle w:val="AERtexthighlight"/>
          <w:shd w:val="clear" w:color="auto" w:fill="auto"/>
        </w:rPr>
        <w:t>5</w:t>
      </w:r>
      <w:r w:rsidR="002556AD" w:rsidRPr="00B37FC5">
        <w:t xml:space="preserve"> </w:t>
      </w:r>
      <w:r w:rsidRPr="00B37FC5">
        <w:t xml:space="preserve">sets out our detailed reasons for our draft decision on </w:t>
      </w:r>
      <w:r w:rsidR="00FD2267" w:rsidRPr="00B37FC5">
        <w:t>TransGrid</w:t>
      </w:r>
      <w:r w:rsidRPr="00B37FC5">
        <w:t>'s regulatory</w:t>
      </w:r>
      <w:r w:rsidRPr="009F4C42">
        <w:t xml:space="preserve"> depreciation allowance and depreciation schedules.</w:t>
      </w:r>
    </w:p>
    <w:p w:rsidR="003B0D45" w:rsidRPr="009F4C42" w:rsidRDefault="003B0D45" w:rsidP="00E14922">
      <w:pPr>
        <w:pStyle w:val="Heading3"/>
      </w:pPr>
      <w:bookmarkStart w:id="67" w:name="_Toc404437626"/>
      <w:r w:rsidRPr="009F4C42">
        <w:t xml:space="preserve">Draft </w:t>
      </w:r>
      <w:r w:rsidRPr="00E14922">
        <w:t>decision</w:t>
      </w:r>
      <w:bookmarkEnd w:id="66"/>
      <w:bookmarkEnd w:id="67"/>
      <w:r w:rsidRPr="009F4C42">
        <w:t xml:space="preserve"> </w:t>
      </w:r>
    </w:p>
    <w:p w:rsidR="00C862D1" w:rsidRPr="009F4C42" w:rsidRDefault="00C862D1" w:rsidP="00C862D1">
      <w:pPr>
        <w:pStyle w:val="AERbodytext"/>
      </w:pPr>
      <w:r w:rsidRPr="009F4C42">
        <w:t xml:space="preserve">Our draft decision is to determine </w:t>
      </w:r>
      <w:r w:rsidR="009D38FE">
        <w:t xml:space="preserve">alternative </w:t>
      </w:r>
      <w:r w:rsidRPr="009F4C42">
        <w:t xml:space="preserve">depreciation schedules, and hence, the </w:t>
      </w:r>
      <w:r w:rsidR="009D38FE">
        <w:t xml:space="preserve">regulatory </w:t>
      </w:r>
      <w:r w:rsidRPr="009F4C42">
        <w:t xml:space="preserve">depreciation allowance, to apply to </w:t>
      </w:r>
      <w:r w:rsidR="009340F2">
        <w:t>TransGrid</w:t>
      </w:r>
      <w:r w:rsidRPr="009F4C42">
        <w:t>.</w:t>
      </w:r>
      <w:r w:rsidRPr="009F4C42">
        <w:rPr>
          <w:rStyle w:val="FootnoteReference"/>
        </w:rPr>
        <w:footnoteReference w:id="92"/>
      </w:r>
      <w:r w:rsidRPr="009F4C42">
        <w:t xml:space="preserve"> </w:t>
      </w:r>
      <w:r w:rsidR="00B75C12">
        <w:fldChar w:fldCharType="begin"/>
      </w:r>
      <w:r w:rsidR="00B75C12">
        <w:instrText xml:space="preserve"> REF _Ref402864874 \h </w:instrText>
      </w:r>
      <w:r w:rsidR="00B75C12">
        <w:fldChar w:fldCharType="separate"/>
      </w:r>
      <w:r w:rsidR="00C71301" w:rsidRPr="001110F1">
        <w:t xml:space="preserve">Table </w:t>
      </w:r>
      <w:r w:rsidR="00C71301">
        <w:rPr>
          <w:noProof/>
        </w:rPr>
        <w:t>8</w:t>
      </w:r>
      <w:r w:rsidR="00C71301">
        <w:noBreakHyphen/>
      </w:r>
      <w:r w:rsidR="00C71301">
        <w:rPr>
          <w:noProof/>
        </w:rPr>
        <w:t>4</w:t>
      </w:r>
      <w:r w:rsidR="00B75C12">
        <w:fldChar w:fldCharType="end"/>
      </w:r>
      <w:r w:rsidR="00B75C12">
        <w:t xml:space="preserve"> </w:t>
      </w:r>
      <w:r w:rsidRPr="009F4C42">
        <w:t xml:space="preserve">sets out our draft decision on </w:t>
      </w:r>
      <w:r w:rsidR="009340F2">
        <w:t>TransGrid</w:t>
      </w:r>
      <w:r>
        <w:t>'s</w:t>
      </w:r>
      <w:r w:rsidRPr="009F4C42">
        <w:t xml:space="preserve"> depreciation allowance for the 2014–1</w:t>
      </w:r>
      <w:r w:rsidR="00D71650">
        <w:t>8</w:t>
      </w:r>
      <w:r w:rsidRPr="009F4C42">
        <w:t xml:space="preserve"> period. Our draft decision sets the allowance </w:t>
      </w:r>
      <w:r w:rsidR="00B96485">
        <w:t xml:space="preserve">at </w:t>
      </w:r>
      <w:r w:rsidRPr="009F4C42">
        <w:t>$</w:t>
      </w:r>
      <w:r w:rsidR="00B75C12">
        <w:t>440.9</w:t>
      </w:r>
      <w:r w:rsidRPr="009F4C42">
        <w:t xml:space="preserve"> million ($ nominal), </w:t>
      </w:r>
      <w:r w:rsidR="00B75C12">
        <w:t>3.1</w:t>
      </w:r>
      <w:r w:rsidRPr="009F4C42">
        <w:t xml:space="preserve"> per cent, </w:t>
      </w:r>
      <w:r w:rsidR="00B75C12">
        <w:t>more</w:t>
      </w:r>
      <w:r w:rsidRPr="009F4C42">
        <w:t xml:space="preserve"> than </w:t>
      </w:r>
      <w:r w:rsidR="009340F2">
        <w:t>TransGrid</w:t>
      </w:r>
      <w:r w:rsidR="00B96485">
        <w:t>'s</w:t>
      </w:r>
      <w:r w:rsidRPr="009F4C42">
        <w:t xml:space="preserve"> propos</w:t>
      </w:r>
      <w:r w:rsidR="00B96485">
        <w:t>al</w:t>
      </w:r>
      <w:r w:rsidRPr="009F4C42">
        <w:t xml:space="preserve">. </w:t>
      </w:r>
    </w:p>
    <w:p w:rsidR="00C862D1" w:rsidRPr="001110F1" w:rsidRDefault="001110F1" w:rsidP="001110F1">
      <w:pPr>
        <w:pStyle w:val="Caption"/>
        <w:rPr>
          <w:rStyle w:val="AERtextbold"/>
          <w:b/>
        </w:rPr>
      </w:pPr>
      <w:bookmarkStart w:id="68" w:name="_Ref402864874"/>
      <w:bookmarkStart w:id="69" w:name="_Ref402248386"/>
      <w:r w:rsidRPr="001110F1">
        <w:t xml:space="preserve">Table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4</w:t>
      </w:r>
      <w:r w:rsidR="00864D56">
        <w:rPr>
          <w:noProof/>
        </w:rPr>
        <w:fldChar w:fldCharType="end"/>
      </w:r>
      <w:bookmarkEnd w:id="68"/>
      <w:bookmarkEnd w:id="69"/>
      <w:r w:rsidRPr="001110F1">
        <w:tab/>
      </w:r>
      <w:r w:rsidRPr="001110F1">
        <w:rPr>
          <w:rStyle w:val="AERtextbold"/>
          <w:b/>
        </w:rPr>
        <w:t>AER's draft decision on TransGrid's depreciation allowance for the 2014–18 period ($ million, nominal)</w:t>
      </w:r>
    </w:p>
    <w:tbl>
      <w:tblPr>
        <w:tblStyle w:val="AERtable-numbers"/>
        <w:tblW w:w="9262" w:type="dxa"/>
        <w:tblLayout w:type="fixed"/>
        <w:tblLook w:val="01E0" w:firstRow="1" w:lastRow="1" w:firstColumn="1" w:lastColumn="1" w:noHBand="0" w:noVBand="0"/>
      </w:tblPr>
      <w:tblGrid>
        <w:gridCol w:w="3013"/>
        <w:gridCol w:w="1307"/>
        <w:gridCol w:w="1142"/>
        <w:gridCol w:w="1142"/>
        <w:gridCol w:w="1329"/>
        <w:gridCol w:w="1329"/>
      </w:tblGrid>
      <w:tr w:rsidR="001110F1" w:rsidRPr="005E709D" w:rsidTr="00BA2BE8">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013" w:type="dxa"/>
          </w:tcPr>
          <w:p w:rsidR="001110F1" w:rsidRPr="002B5AE6" w:rsidRDefault="001110F1" w:rsidP="001110F1"/>
        </w:tc>
        <w:tc>
          <w:tcPr>
            <w:tcW w:w="1307" w:type="dxa"/>
          </w:tcPr>
          <w:p w:rsidR="001110F1" w:rsidRPr="001110F1" w:rsidRDefault="001110F1" w:rsidP="001110F1">
            <w:pPr>
              <w:pStyle w:val="AERtabletextright"/>
              <w:cnfStyle w:val="100000000000" w:firstRow="1" w:lastRow="0" w:firstColumn="0" w:lastColumn="0" w:oddVBand="0" w:evenVBand="0" w:oddHBand="0" w:evenHBand="0" w:firstRowFirstColumn="0" w:firstRowLastColumn="0" w:lastRowFirstColumn="0" w:lastRowLastColumn="0"/>
            </w:pPr>
            <w:r w:rsidRPr="002B5AE6">
              <w:t>2014–15</w:t>
            </w:r>
          </w:p>
        </w:tc>
        <w:tc>
          <w:tcPr>
            <w:tcW w:w="1142" w:type="dxa"/>
          </w:tcPr>
          <w:p w:rsidR="001110F1" w:rsidRPr="001110F1" w:rsidRDefault="001110F1" w:rsidP="001110F1">
            <w:pPr>
              <w:pStyle w:val="AERtabletextright"/>
              <w:cnfStyle w:val="100000000000" w:firstRow="1" w:lastRow="0" w:firstColumn="0" w:lastColumn="0" w:oddVBand="0" w:evenVBand="0" w:oddHBand="0" w:evenHBand="0" w:firstRowFirstColumn="0" w:firstRowLastColumn="0" w:lastRowFirstColumn="0" w:lastRowLastColumn="0"/>
            </w:pPr>
            <w:r w:rsidRPr="002B5AE6">
              <w:t>2015–16</w:t>
            </w:r>
          </w:p>
        </w:tc>
        <w:tc>
          <w:tcPr>
            <w:tcW w:w="1142" w:type="dxa"/>
          </w:tcPr>
          <w:p w:rsidR="001110F1" w:rsidRPr="001110F1" w:rsidRDefault="001110F1" w:rsidP="001110F1">
            <w:pPr>
              <w:pStyle w:val="AERtabletextright"/>
              <w:cnfStyle w:val="100000000000" w:firstRow="1" w:lastRow="0" w:firstColumn="0" w:lastColumn="0" w:oddVBand="0" w:evenVBand="0" w:oddHBand="0" w:evenHBand="0" w:firstRowFirstColumn="0" w:firstRowLastColumn="0" w:lastRowFirstColumn="0" w:lastRowLastColumn="0"/>
            </w:pPr>
            <w:r w:rsidRPr="002B5AE6">
              <w:t>2016–17</w:t>
            </w:r>
          </w:p>
        </w:tc>
        <w:tc>
          <w:tcPr>
            <w:tcW w:w="1329" w:type="dxa"/>
          </w:tcPr>
          <w:p w:rsidR="001110F1" w:rsidRPr="001110F1" w:rsidRDefault="001110F1" w:rsidP="001110F1">
            <w:pPr>
              <w:pStyle w:val="AERtabletextright"/>
              <w:cnfStyle w:val="100000000000" w:firstRow="1" w:lastRow="0" w:firstColumn="0" w:lastColumn="0" w:oddVBand="0" w:evenVBand="0" w:oddHBand="0" w:evenHBand="0" w:firstRowFirstColumn="0" w:firstRowLastColumn="0" w:lastRowFirstColumn="0" w:lastRowLastColumn="0"/>
            </w:pPr>
            <w:r w:rsidRPr="002B5AE6">
              <w:t>2017–18</w:t>
            </w:r>
          </w:p>
        </w:tc>
        <w:tc>
          <w:tcPr>
            <w:tcW w:w="1329" w:type="dxa"/>
          </w:tcPr>
          <w:p w:rsidR="001110F1" w:rsidRPr="001110F1" w:rsidRDefault="001110F1" w:rsidP="001110F1">
            <w:pPr>
              <w:pStyle w:val="AERtabletextright"/>
              <w:cnfStyle w:val="100000000000" w:firstRow="1" w:lastRow="0" w:firstColumn="0" w:lastColumn="0" w:oddVBand="0" w:evenVBand="0" w:oddHBand="0" w:evenHBand="0" w:firstRowFirstColumn="0" w:firstRowLastColumn="0" w:lastRowFirstColumn="0" w:lastRowLastColumn="0"/>
            </w:pPr>
            <w:r w:rsidRPr="002B5AE6">
              <w:t>Total</w:t>
            </w:r>
          </w:p>
        </w:tc>
      </w:tr>
      <w:tr w:rsidR="001110F1" w:rsidRPr="005E709D" w:rsidTr="00BA2BE8">
        <w:trPr>
          <w:trHeight w:val="365"/>
        </w:trPr>
        <w:tc>
          <w:tcPr>
            <w:cnfStyle w:val="001000000000" w:firstRow="0" w:lastRow="0" w:firstColumn="1" w:lastColumn="0" w:oddVBand="0" w:evenVBand="0" w:oddHBand="0" w:evenHBand="0" w:firstRowFirstColumn="0" w:firstRowLastColumn="0" w:lastRowFirstColumn="0" w:lastRowLastColumn="0"/>
            <w:tcW w:w="3013" w:type="dxa"/>
          </w:tcPr>
          <w:p w:rsidR="001110F1" w:rsidRPr="001110F1" w:rsidRDefault="001110F1" w:rsidP="001110F1">
            <w:pPr>
              <w:pStyle w:val="AERtabletextleft"/>
            </w:pPr>
            <w:r w:rsidRPr="002B5AE6">
              <w:t>Straight-line depreciation</w:t>
            </w:r>
          </w:p>
        </w:tc>
        <w:tc>
          <w:tcPr>
            <w:tcW w:w="1307"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246.9</w:t>
            </w:r>
          </w:p>
        </w:tc>
        <w:tc>
          <w:tcPr>
            <w:tcW w:w="1142"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267.4</w:t>
            </w:r>
          </w:p>
        </w:tc>
        <w:tc>
          <w:tcPr>
            <w:tcW w:w="1142"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287.3</w:t>
            </w:r>
          </w:p>
        </w:tc>
        <w:tc>
          <w:tcPr>
            <w:tcW w:w="1329"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275.8</w:t>
            </w:r>
          </w:p>
        </w:tc>
        <w:tc>
          <w:tcPr>
            <w:tcW w:w="1329"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1077.4</w:t>
            </w:r>
          </w:p>
        </w:tc>
      </w:tr>
      <w:tr w:rsidR="001110F1" w:rsidRPr="005E709D" w:rsidTr="00BA2BE8">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013" w:type="dxa"/>
          </w:tcPr>
          <w:p w:rsidR="001110F1" w:rsidRPr="001110F1" w:rsidRDefault="001110F1" w:rsidP="001110F1">
            <w:pPr>
              <w:pStyle w:val="AERtabletextleft"/>
            </w:pPr>
            <w:r w:rsidRPr="002B5AE6">
              <w:rPr>
                <w:rStyle w:val="AERtextitalic"/>
              </w:rPr>
              <w:t>Less</w:t>
            </w:r>
            <w:r w:rsidRPr="001110F1">
              <w:t>: inflation indexation on opening RAB</w:t>
            </w:r>
          </w:p>
        </w:tc>
        <w:tc>
          <w:tcPr>
            <w:tcW w:w="1307" w:type="dxa"/>
          </w:tcPr>
          <w:p w:rsidR="001110F1" w:rsidRPr="002B5AE6" w:rsidRDefault="00B75C12" w:rsidP="001110F1">
            <w:pPr>
              <w:pStyle w:val="AERtabletextright"/>
              <w:cnfStyle w:val="000000010000" w:firstRow="0" w:lastRow="0" w:firstColumn="0" w:lastColumn="0" w:oddVBand="0" w:evenVBand="0" w:oddHBand="0" w:evenHBand="1" w:firstRowFirstColumn="0" w:firstRowLastColumn="0" w:lastRowFirstColumn="0" w:lastRowLastColumn="0"/>
            </w:pPr>
            <w:r>
              <w:t>153.7</w:t>
            </w:r>
          </w:p>
        </w:tc>
        <w:tc>
          <w:tcPr>
            <w:tcW w:w="1142" w:type="dxa"/>
          </w:tcPr>
          <w:p w:rsidR="001110F1" w:rsidRPr="002B5AE6" w:rsidRDefault="00B75C12" w:rsidP="001110F1">
            <w:pPr>
              <w:pStyle w:val="AERtabletextright"/>
              <w:cnfStyle w:val="000000010000" w:firstRow="0" w:lastRow="0" w:firstColumn="0" w:lastColumn="0" w:oddVBand="0" w:evenVBand="0" w:oddHBand="0" w:evenHBand="1" w:firstRowFirstColumn="0" w:firstRowLastColumn="0" w:lastRowFirstColumn="0" w:lastRowLastColumn="0"/>
            </w:pPr>
            <w:r>
              <w:t>157.6</w:t>
            </w:r>
          </w:p>
        </w:tc>
        <w:tc>
          <w:tcPr>
            <w:tcW w:w="1142" w:type="dxa"/>
          </w:tcPr>
          <w:p w:rsidR="001110F1" w:rsidRPr="002B5AE6" w:rsidRDefault="00B75C12" w:rsidP="001110F1">
            <w:pPr>
              <w:pStyle w:val="AERtabletextright"/>
              <w:cnfStyle w:val="000000010000" w:firstRow="0" w:lastRow="0" w:firstColumn="0" w:lastColumn="0" w:oddVBand="0" w:evenVBand="0" w:oddHBand="0" w:evenHBand="1" w:firstRowFirstColumn="0" w:firstRowLastColumn="0" w:lastRowFirstColumn="0" w:lastRowLastColumn="0"/>
            </w:pPr>
            <w:r>
              <w:t>161.2</w:t>
            </w:r>
          </w:p>
        </w:tc>
        <w:tc>
          <w:tcPr>
            <w:tcW w:w="1329" w:type="dxa"/>
          </w:tcPr>
          <w:p w:rsidR="001110F1" w:rsidRPr="002B5AE6" w:rsidRDefault="00B75C12" w:rsidP="001110F1">
            <w:pPr>
              <w:pStyle w:val="AERtabletextright"/>
              <w:cnfStyle w:val="000000010000" w:firstRow="0" w:lastRow="0" w:firstColumn="0" w:lastColumn="0" w:oddVBand="0" w:evenVBand="0" w:oddHBand="0" w:evenHBand="1" w:firstRowFirstColumn="0" w:firstRowLastColumn="0" w:lastRowFirstColumn="0" w:lastRowLastColumn="0"/>
            </w:pPr>
            <w:r>
              <w:t>164.1</w:t>
            </w:r>
          </w:p>
        </w:tc>
        <w:tc>
          <w:tcPr>
            <w:tcW w:w="1329" w:type="dxa"/>
          </w:tcPr>
          <w:p w:rsidR="001110F1" w:rsidRPr="002B5AE6" w:rsidRDefault="00B75C12" w:rsidP="001110F1">
            <w:pPr>
              <w:pStyle w:val="AERtabletextright"/>
              <w:cnfStyle w:val="000000010000" w:firstRow="0" w:lastRow="0" w:firstColumn="0" w:lastColumn="0" w:oddVBand="0" w:evenVBand="0" w:oddHBand="0" w:evenHBand="1" w:firstRowFirstColumn="0" w:firstRowLastColumn="0" w:lastRowFirstColumn="0" w:lastRowLastColumn="0"/>
            </w:pPr>
            <w:r>
              <w:t>636.5</w:t>
            </w:r>
          </w:p>
        </w:tc>
      </w:tr>
      <w:tr w:rsidR="001110F1" w:rsidRPr="005E709D" w:rsidTr="00BA2BE8">
        <w:trPr>
          <w:trHeight w:val="433"/>
        </w:trPr>
        <w:tc>
          <w:tcPr>
            <w:cnfStyle w:val="001000000000" w:firstRow="0" w:lastRow="0" w:firstColumn="1" w:lastColumn="0" w:oddVBand="0" w:evenVBand="0" w:oddHBand="0" w:evenHBand="0" w:firstRowFirstColumn="0" w:firstRowLastColumn="0" w:lastRowFirstColumn="0" w:lastRowLastColumn="0"/>
            <w:tcW w:w="3013" w:type="dxa"/>
          </w:tcPr>
          <w:p w:rsidR="001110F1" w:rsidRPr="001110F1" w:rsidRDefault="001110F1" w:rsidP="001110F1">
            <w:pPr>
              <w:pStyle w:val="AERtabletextleft"/>
            </w:pPr>
            <w:r w:rsidRPr="002B5AE6">
              <w:t>Regulatory depreciation</w:t>
            </w:r>
          </w:p>
        </w:tc>
        <w:tc>
          <w:tcPr>
            <w:tcW w:w="1307"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93.2</w:t>
            </w:r>
          </w:p>
        </w:tc>
        <w:tc>
          <w:tcPr>
            <w:tcW w:w="1142"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109.9</w:t>
            </w:r>
          </w:p>
        </w:tc>
        <w:tc>
          <w:tcPr>
            <w:tcW w:w="1142"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126.1</w:t>
            </w:r>
          </w:p>
        </w:tc>
        <w:tc>
          <w:tcPr>
            <w:tcW w:w="1329"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111.7</w:t>
            </w:r>
          </w:p>
        </w:tc>
        <w:tc>
          <w:tcPr>
            <w:tcW w:w="1329" w:type="dxa"/>
          </w:tcPr>
          <w:p w:rsidR="001110F1" w:rsidRPr="002B5AE6" w:rsidRDefault="00B75C12" w:rsidP="001110F1">
            <w:pPr>
              <w:pStyle w:val="AERtabletextright"/>
              <w:cnfStyle w:val="000000000000" w:firstRow="0" w:lastRow="0" w:firstColumn="0" w:lastColumn="0" w:oddVBand="0" w:evenVBand="0" w:oddHBand="0" w:evenHBand="0" w:firstRowFirstColumn="0" w:firstRowLastColumn="0" w:lastRowFirstColumn="0" w:lastRowLastColumn="0"/>
            </w:pPr>
            <w:r>
              <w:t>440.9</w:t>
            </w:r>
          </w:p>
        </w:tc>
      </w:tr>
    </w:tbl>
    <w:p w:rsidR="003B0D45" w:rsidRPr="001110F1" w:rsidRDefault="001110F1" w:rsidP="001110F1">
      <w:pPr>
        <w:pStyle w:val="AERtablesource"/>
      </w:pPr>
      <w:r w:rsidRPr="001110F1">
        <w:t>Source:</w:t>
      </w:r>
      <w:r w:rsidRPr="001110F1">
        <w:tab/>
        <w:t>AER analysis.</w:t>
      </w:r>
    </w:p>
    <w:p w:rsidR="003B0D45" w:rsidRPr="009F4C42" w:rsidRDefault="003B0D45" w:rsidP="00E14922">
      <w:pPr>
        <w:pStyle w:val="Heading3"/>
      </w:pPr>
      <w:bookmarkStart w:id="70" w:name="_Toc390936285"/>
      <w:bookmarkStart w:id="71" w:name="_Toc404437627"/>
      <w:r w:rsidRPr="009F4C42">
        <w:t xml:space="preserve">Summary of </w:t>
      </w:r>
      <w:r w:rsidRPr="00E14922">
        <w:t>analysis</w:t>
      </w:r>
      <w:r w:rsidRPr="009F4C42">
        <w:t xml:space="preserve"> and reasons</w:t>
      </w:r>
      <w:bookmarkEnd w:id="70"/>
      <w:bookmarkEnd w:id="71"/>
    </w:p>
    <w:p w:rsidR="00B96485" w:rsidRDefault="00B96485" w:rsidP="00B96485">
      <w:pPr>
        <w:pStyle w:val="AERbodytext"/>
      </w:pPr>
      <w:r w:rsidRPr="00B96485">
        <w:t>We do</w:t>
      </w:r>
      <w:r w:rsidRPr="00DF0F03">
        <w:t xml:space="preserve"> not accept TransGrid's proposed regulatory depreciation allowance </w:t>
      </w:r>
      <w:r w:rsidRPr="00E57171">
        <w:t>of $</w:t>
      </w:r>
      <w:r w:rsidRPr="00B96485">
        <w:t xml:space="preserve">427.6 million ($ nominal) for the </w:t>
      </w:r>
      <w:r w:rsidRPr="00B96485">
        <w:rPr>
          <w:rStyle w:val="AERtexthighlight"/>
          <w:shd w:val="clear" w:color="auto" w:fill="auto"/>
        </w:rPr>
        <w:t>2014–18</w:t>
      </w:r>
      <w:r w:rsidRPr="00B96485">
        <w:t xml:space="preserve"> period</w:t>
      </w:r>
      <w:r w:rsidRPr="00B63AFD">
        <w:t xml:space="preserve">. Instead, </w:t>
      </w:r>
      <w:r w:rsidR="00FE3BAD">
        <w:t xml:space="preserve">for the following reasons, </w:t>
      </w:r>
      <w:r w:rsidRPr="00B63AFD">
        <w:t>we determine a regulatory depreciation allowance of</w:t>
      </w:r>
      <w:r>
        <w:t xml:space="preserve"> </w:t>
      </w:r>
      <w:r w:rsidRPr="00B63AFD">
        <w:t>$</w:t>
      </w:r>
      <w:r w:rsidR="00B75C12">
        <w:t>440.9</w:t>
      </w:r>
      <w:r w:rsidRPr="00B63AFD">
        <w:t> million ($ nominal)</w:t>
      </w:r>
      <w:r>
        <w:t xml:space="preserve"> for TransGrid:</w:t>
      </w:r>
    </w:p>
    <w:p w:rsidR="00B96485" w:rsidRDefault="00B96485" w:rsidP="00B96485">
      <w:pPr>
        <w:pStyle w:val="AERbulletlistfirststyle"/>
      </w:pPr>
      <w:r>
        <w:t>We a</w:t>
      </w:r>
      <w:r w:rsidRPr="00157483">
        <w:t xml:space="preserve">ccept </w:t>
      </w:r>
      <w:r>
        <w:t>TransGrid</w:t>
      </w:r>
      <w:r w:rsidRPr="00157483">
        <w:t>'s proposed straight-line method</w:t>
      </w:r>
      <w:r>
        <w:t xml:space="preserve">, and </w:t>
      </w:r>
      <w:r w:rsidRPr="00157483">
        <w:t xml:space="preserve">standard </w:t>
      </w:r>
      <w:r>
        <w:t xml:space="preserve">asset </w:t>
      </w:r>
      <w:r w:rsidRPr="00157483">
        <w:t xml:space="preserve">lives </w:t>
      </w:r>
      <w:r>
        <w:t xml:space="preserve">used </w:t>
      </w:r>
      <w:r w:rsidRPr="00157483">
        <w:t>to calculate the regulatory depr</w:t>
      </w:r>
      <w:r>
        <w:t>eciation allowance. We consider</w:t>
      </w:r>
      <w:r w:rsidRPr="00157483">
        <w:t xml:space="preserve"> that </w:t>
      </w:r>
      <w:r>
        <w:t>TransGrid'</w:t>
      </w:r>
      <w:r w:rsidRPr="00157483">
        <w:t xml:space="preserve">s proposed standard asset lives are consistent with those approved </w:t>
      </w:r>
      <w:r w:rsidR="001F7B8C">
        <w:t>in</w:t>
      </w:r>
      <w:r w:rsidR="001F7B8C" w:rsidRPr="00157483">
        <w:t xml:space="preserve"> </w:t>
      </w:r>
      <w:r w:rsidRPr="00157483">
        <w:t>the 2009–1</w:t>
      </w:r>
      <w:r>
        <w:t>4 transmission</w:t>
      </w:r>
      <w:r w:rsidRPr="00157483">
        <w:t xml:space="preserve"> determination and reflect the nature and economic lives of the assets.</w:t>
      </w:r>
      <w:r w:rsidRPr="00157483">
        <w:rPr>
          <w:rStyle w:val="FootnoteReference"/>
        </w:rPr>
        <w:footnoteReference w:id="93"/>
      </w:r>
      <w:r w:rsidRPr="00157483">
        <w:t xml:space="preserve"> </w:t>
      </w:r>
    </w:p>
    <w:p w:rsidR="00B96485" w:rsidRDefault="00B96485" w:rsidP="00B96485">
      <w:pPr>
        <w:pStyle w:val="AERbulletlistfirststyle"/>
      </w:pPr>
      <w:r>
        <w:t xml:space="preserve">We accept TransGrid's proposed weighted average method to calculate the remaining asset lives as at 1 July 2014. </w:t>
      </w:r>
      <w:r w:rsidR="00603659">
        <w:t>This because the</w:t>
      </w:r>
      <w:r w:rsidR="002B1956">
        <w:t xml:space="preserve"> proposed method applies</w:t>
      </w:r>
      <w:r w:rsidR="00603659">
        <w:t xml:space="preserve"> the approach as set out in the roll forward model (RFM).</w:t>
      </w:r>
    </w:p>
    <w:p w:rsidR="00B96485" w:rsidRPr="00E96F1D" w:rsidRDefault="00D7126E" w:rsidP="009515E6">
      <w:pPr>
        <w:pStyle w:val="AERbulletlistfirststyle"/>
      </w:pPr>
      <w:r>
        <w:t>We do not accept</w:t>
      </w:r>
      <w:r w:rsidR="00B96485" w:rsidRPr="00E96F1D">
        <w:t xml:space="preserve"> other components of TransGrid's proposal—for example, the forecast cap</w:t>
      </w:r>
      <w:r w:rsidR="00B96485" w:rsidRPr="009515E6">
        <w:t xml:space="preserve">ex (attachment </w:t>
      </w:r>
      <w:r w:rsidR="002556AD" w:rsidRPr="009515E6">
        <w:rPr>
          <w:rStyle w:val="AERtexthighlight"/>
          <w:shd w:val="clear" w:color="auto" w:fill="auto"/>
        </w:rPr>
        <w:t>6</w:t>
      </w:r>
      <w:r w:rsidR="00B96485" w:rsidRPr="009515E6">
        <w:t xml:space="preserve">) and </w:t>
      </w:r>
      <w:r w:rsidR="009515E6">
        <w:t xml:space="preserve">the forecast inflation rate (attachment </w:t>
      </w:r>
      <w:r w:rsidR="0058401D">
        <w:t>3</w:t>
      </w:r>
      <w:r w:rsidR="009515E6">
        <w:t>)</w:t>
      </w:r>
      <w:r w:rsidR="00B96485" w:rsidRPr="00E96F1D">
        <w:t>.</w:t>
      </w:r>
      <w:r w:rsidR="00D107C5">
        <w:t xml:space="preserve"> In particular, the lower forecast inflation rate used in this draft decision means the resulting regulatory depreciation allowance (which nets out the inflation indexation on the opening RAB) is higher than proposed.</w:t>
      </w:r>
    </w:p>
    <w:p w:rsidR="003B0D45" w:rsidRPr="009515E6" w:rsidRDefault="00B96485" w:rsidP="009515E6">
      <w:pPr>
        <w:pStyle w:val="AERbodytext"/>
      </w:pPr>
      <w:r w:rsidRPr="009515E6">
        <w:t>Details of our approach in deriving the value of the regulatory depreciation allowance and relevant interrelationships are set out in attachm</w:t>
      </w:r>
      <w:r w:rsidRPr="00ED736B">
        <w:t>ent</w:t>
      </w:r>
      <w:r w:rsidRPr="009515E6">
        <w:t xml:space="preserve"> </w:t>
      </w:r>
      <w:r w:rsidR="002556AD" w:rsidRPr="009515E6">
        <w:rPr>
          <w:rStyle w:val="AERtexthighlight"/>
          <w:shd w:val="clear" w:color="auto" w:fill="auto"/>
        </w:rPr>
        <w:t>5</w:t>
      </w:r>
      <w:r w:rsidRPr="009515E6">
        <w:t>.</w:t>
      </w:r>
    </w:p>
    <w:p w:rsidR="003B0D45" w:rsidRPr="000E05AF" w:rsidRDefault="003B0D45" w:rsidP="000E05AF">
      <w:pPr>
        <w:pStyle w:val="Heading2"/>
      </w:pPr>
      <w:bookmarkStart w:id="72" w:name="_Toc390936287"/>
      <w:bookmarkStart w:id="73" w:name="_Toc404437628"/>
      <w:r w:rsidRPr="000E05AF">
        <w:lastRenderedPageBreak/>
        <w:t>Capital expenditure</w:t>
      </w:r>
      <w:bookmarkEnd w:id="72"/>
      <w:bookmarkEnd w:id="73"/>
      <w:r w:rsidR="00C83B3B">
        <w:t xml:space="preserve"> </w:t>
      </w:r>
    </w:p>
    <w:p w:rsidR="000E05AF" w:rsidRPr="00B014E6" w:rsidRDefault="00C2312A" w:rsidP="000E05AF">
      <w:pPr>
        <w:rPr>
          <w:rStyle w:val="AERbody"/>
        </w:rPr>
      </w:pPr>
      <w:r>
        <w:rPr>
          <w:rStyle w:val="AERbody"/>
        </w:rPr>
        <w:t>Capital expenditure (c</w:t>
      </w:r>
      <w:r w:rsidR="000E05AF" w:rsidRPr="00B014E6">
        <w:rPr>
          <w:rStyle w:val="AERbody"/>
        </w:rPr>
        <w:t>apex</w:t>
      </w:r>
      <w:r>
        <w:rPr>
          <w:rStyle w:val="AERbody"/>
        </w:rPr>
        <w:t>)</w:t>
      </w:r>
      <w:r w:rsidR="000E05AF" w:rsidRPr="00B014E6">
        <w:rPr>
          <w:rStyle w:val="AERbody"/>
        </w:rPr>
        <w:t xml:space="preserve"> refers to the capital expenses incurred in the provision of network services. The return on and of forecast capex for </w:t>
      </w:r>
      <w:r w:rsidR="00FE3BAD">
        <w:rPr>
          <w:rStyle w:val="AERbody"/>
        </w:rPr>
        <w:t>prescribed transmission services</w:t>
      </w:r>
      <w:r w:rsidR="000E05AF" w:rsidRPr="00B014E6">
        <w:rPr>
          <w:rStyle w:val="AERbody"/>
        </w:rPr>
        <w:t xml:space="preserve"> are two of the building blocks we use to determine </w:t>
      </w:r>
      <w:r w:rsidR="00FE3BAD">
        <w:rPr>
          <w:rStyle w:val="AERbody"/>
        </w:rPr>
        <w:t>TransGrid</w:t>
      </w:r>
      <w:r w:rsidR="000E05AF" w:rsidRPr="00B014E6">
        <w:rPr>
          <w:rStyle w:val="AERbody"/>
        </w:rPr>
        <w:t xml:space="preserve">'s total revenue requirement.  </w:t>
      </w:r>
    </w:p>
    <w:p w:rsidR="000E05AF" w:rsidRPr="009F4C42" w:rsidRDefault="000E05AF" w:rsidP="00AB264B">
      <w:pPr>
        <w:pStyle w:val="Heading3"/>
      </w:pPr>
      <w:bookmarkStart w:id="74" w:name="_Toc402451841"/>
      <w:bookmarkStart w:id="75" w:name="_Toc404437629"/>
      <w:r w:rsidRPr="000E05AF">
        <w:t>Draft</w:t>
      </w:r>
      <w:r w:rsidRPr="009F4C42">
        <w:t xml:space="preserve"> decision</w:t>
      </w:r>
      <w:bookmarkEnd w:id="74"/>
      <w:bookmarkEnd w:id="75"/>
    </w:p>
    <w:p w:rsidR="000E05AF" w:rsidRDefault="000E05AF" w:rsidP="000A1A59">
      <w:pPr>
        <w:pStyle w:val="AERbodytext"/>
      </w:pPr>
      <w:r w:rsidRPr="000A1A59">
        <w:t xml:space="preserve">We are not satisfied that TransGrid's proposed total forecast capex </w:t>
      </w:r>
      <w:r w:rsidRPr="007233AF">
        <w:rPr>
          <w:rStyle w:val="AERtexthighlight"/>
          <w:shd w:val="clear" w:color="auto" w:fill="auto"/>
        </w:rPr>
        <w:t>of $</w:t>
      </w:r>
      <w:r w:rsidRPr="000A1A59">
        <w:t>1,387</w:t>
      </w:r>
      <w:r w:rsidR="006335AE">
        <w:t>.39</w:t>
      </w:r>
      <w:r w:rsidRPr="007233AF">
        <w:rPr>
          <w:rStyle w:val="AERtexthighlight"/>
          <w:shd w:val="clear" w:color="auto" w:fill="auto"/>
        </w:rPr>
        <w:t xml:space="preserve"> million ($</w:t>
      </w:r>
      <w:r w:rsidRPr="000A1A59">
        <w:rPr>
          <w:rStyle w:val="AERbody"/>
        </w:rPr>
        <w:t>2013–14)</w:t>
      </w:r>
      <w:r w:rsidRPr="00B4601C">
        <w:rPr>
          <w:rStyle w:val="AERbody"/>
        </w:rPr>
        <w:t xml:space="preserve"> reasonably</w:t>
      </w:r>
      <w:r>
        <w:t xml:space="preserve"> reflects the capex criteria. Our substitute estimate of TransGrid's total forecast capex for the 2014–2018 period</w:t>
      </w:r>
      <w:r w:rsidR="000A1A59">
        <w:t>, which</w:t>
      </w:r>
      <w:r>
        <w:t xml:space="preserve"> we are satisfied </w:t>
      </w:r>
      <w:r w:rsidR="000A1A59">
        <w:t xml:space="preserve">does </w:t>
      </w:r>
      <w:r>
        <w:t>reasonably reflect the capex criteria</w:t>
      </w:r>
      <w:r w:rsidR="000A1A59">
        <w:t>,</w:t>
      </w:r>
      <w:r>
        <w:t xml:space="preserve"> is $</w:t>
      </w:r>
      <w:r w:rsidR="003A5F5D">
        <w:t>922</w:t>
      </w:r>
      <w:r w:rsidR="00130364">
        <w:t>.</w:t>
      </w:r>
      <w:r w:rsidR="009C6204">
        <w:t>34</w:t>
      </w:r>
      <w:r>
        <w:t xml:space="preserve"> million ($2013–14), as set out in </w:t>
      </w:r>
      <w:r w:rsidR="009515E6">
        <w:fldChar w:fldCharType="begin"/>
      </w:r>
      <w:r w:rsidR="009515E6">
        <w:instrText xml:space="preserve"> REF _Ref402258488 \h </w:instrText>
      </w:r>
      <w:r w:rsidR="009515E6">
        <w:fldChar w:fldCharType="separate"/>
      </w:r>
      <w:r w:rsidR="00C71301">
        <w:t xml:space="preserve">Table </w:t>
      </w:r>
      <w:r w:rsidR="00C71301">
        <w:rPr>
          <w:noProof/>
        </w:rPr>
        <w:t>8</w:t>
      </w:r>
      <w:r w:rsidR="00C71301">
        <w:noBreakHyphen/>
      </w:r>
      <w:r w:rsidR="00C71301">
        <w:rPr>
          <w:noProof/>
        </w:rPr>
        <w:t>5</w:t>
      </w:r>
      <w:r w:rsidR="009515E6">
        <w:fldChar w:fldCharType="end"/>
      </w:r>
      <w:r>
        <w:t>.</w:t>
      </w:r>
    </w:p>
    <w:p w:rsidR="000E05AF" w:rsidRDefault="000E05AF" w:rsidP="000E05AF">
      <w:pPr>
        <w:pStyle w:val="Caption"/>
      </w:pPr>
      <w:bookmarkStart w:id="76" w:name="_Ref402258488"/>
      <w:bookmarkStart w:id="77" w:name="_Ref402258469"/>
      <w:r>
        <w:t xml:space="preserve">Table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5</w:t>
      </w:r>
      <w:r w:rsidR="00864D56">
        <w:rPr>
          <w:noProof/>
        </w:rPr>
        <w:fldChar w:fldCharType="end"/>
      </w:r>
      <w:bookmarkEnd w:id="76"/>
      <w:r w:rsidRPr="004268A1">
        <w:tab/>
        <w:t xml:space="preserve">Our draft decision on </w:t>
      </w:r>
      <w:r>
        <w:t xml:space="preserve">TransGrid's </w:t>
      </w:r>
      <w:r w:rsidRPr="004268A1">
        <w:t xml:space="preserve">total </w:t>
      </w:r>
      <w:r>
        <w:t xml:space="preserve">forecast </w:t>
      </w:r>
      <w:r w:rsidRPr="004268A1">
        <w:t>capex ($</w:t>
      </w:r>
      <w:r>
        <w:t xml:space="preserve"> </w:t>
      </w:r>
      <w:r w:rsidRPr="004268A1">
        <w:t>million 2013–14)</w:t>
      </w:r>
      <w:bookmarkEnd w:id="77"/>
    </w:p>
    <w:tbl>
      <w:tblPr>
        <w:tblStyle w:val="AERtable-numbers"/>
        <w:tblW w:w="0" w:type="auto"/>
        <w:tblLook w:val="04A0" w:firstRow="1" w:lastRow="0" w:firstColumn="1" w:lastColumn="0" w:noHBand="0" w:noVBand="1"/>
      </w:tblPr>
      <w:tblGrid>
        <w:gridCol w:w="2273"/>
        <w:gridCol w:w="1376"/>
        <w:gridCol w:w="1377"/>
        <w:gridCol w:w="1377"/>
        <w:gridCol w:w="1377"/>
        <w:gridCol w:w="1462"/>
      </w:tblGrid>
      <w:tr w:rsidR="00623DFB" w:rsidTr="009C6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rsidR="00623DFB" w:rsidRPr="004268A1" w:rsidRDefault="00623DFB" w:rsidP="00623DFB">
            <w:pPr>
              <w:pStyle w:val="AERtabletextleft"/>
            </w:pPr>
          </w:p>
        </w:tc>
        <w:tc>
          <w:tcPr>
            <w:tcW w:w="1376" w:type="dxa"/>
          </w:tcPr>
          <w:p w:rsidR="00623DFB" w:rsidRPr="00623DFB" w:rsidRDefault="00623DFB" w:rsidP="00623DFB">
            <w:pPr>
              <w:pStyle w:val="AERtabletextright"/>
              <w:cnfStyle w:val="100000000000" w:firstRow="1" w:lastRow="0" w:firstColumn="0" w:lastColumn="0" w:oddVBand="0" w:evenVBand="0" w:oddHBand="0" w:evenHBand="0" w:firstRowFirstColumn="0" w:firstRowLastColumn="0" w:lastRowFirstColumn="0" w:lastRowLastColumn="0"/>
            </w:pPr>
            <w:r w:rsidRPr="004268A1">
              <w:t>2014–15</w:t>
            </w:r>
          </w:p>
        </w:tc>
        <w:tc>
          <w:tcPr>
            <w:tcW w:w="1377" w:type="dxa"/>
          </w:tcPr>
          <w:p w:rsidR="00623DFB" w:rsidRPr="00623DFB" w:rsidRDefault="00623DFB" w:rsidP="00623DFB">
            <w:pPr>
              <w:pStyle w:val="AERtabletextright"/>
              <w:cnfStyle w:val="100000000000" w:firstRow="1" w:lastRow="0" w:firstColumn="0" w:lastColumn="0" w:oddVBand="0" w:evenVBand="0" w:oddHBand="0" w:evenHBand="0" w:firstRowFirstColumn="0" w:firstRowLastColumn="0" w:lastRowFirstColumn="0" w:lastRowLastColumn="0"/>
            </w:pPr>
            <w:r w:rsidRPr="004268A1">
              <w:t>2015–16</w:t>
            </w:r>
          </w:p>
        </w:tc>
        <w:tc>
          <w:tcPr>
            <w:tcW w:w="1377" w:type="dxa"/>
          </w:tcPr>
          <w:p w:rsidR="00623DFB" w:rsidRPr="00623DFB" w:rsidRDefault="00623DFB" w:rsidP="00623DFB">
            <w:pPr>
              <w:pStyle w:val="AERtabletextright"/>
              <w:cnfStyle w:val="100000000000" w:firstRow="1" w:lastRow="0" w:firstColumn="0" w:lastColumn="0" w:oddVBand="0" w:evenVBand="0" w:oddHBand="0" w:evenHBand="0" w:firstRowFirstColumn="0" w:firstRowLastColumn="0" w:lastRowFirstColumn="0" w:lastRowLastColumn="0"/>
            </w:pPr>
            <w:r w:rsidRPr="004268A1">
              <w:t>2016–17</w:t>
            </w:r>
          </w:p>
        </w:tc>
        <w:tc>
          <w:tcPr>
            <w:tcW w:w="1377" w:type="dxa"/>
          </w:tcPr>
          <w:p w:rsidR="00623DFB" w:rsidRPr="00623DFB" w:rsidRDefault="00623DFB" w:rsidP="00623DFB">
            <w:pPr>
              <w:pStyle w:val="AERtabletextright"/>
              <w:cnfStyle w:val="100000000000" w:firstRow="1" w:lastRow="0" w:firstColumn="0" w:lastColumn="0" w:oddVBand="0" w:evenVBand="0" w:oddHBand="0" w:evenHBand="0" w:firstRowFirstColumn="0" w:firstRowLastColumn="0" w:lastRowFirstColumn="0" w:lastRowLastColumn="0"/>
            </w:pPr>
            <w:r w:rsidRPr="004268A1">
              <w:t>2017–18</w:t>
            </w:r>
          </w:p>
        </w:tc>
        <w:tc>
          <w:tcPr>
            <w:tcW w:w="1462" w:type="dxa"/>
          </w:tcPr>
          <w:p w:rsidR="00623DFB" w:rsidRPr="00623DFB" w:rsidRDefault="00623DFB" w:rsidP="00623DFB">
            <w:pPr>
              <w:pStyle w:val="AERtabletextright"/>
              <w:cnfStyle w:val="100000000000" w:firstRow="1" w:lastRow="0" w:firstColumn="0" w:lastColumn="0" w:oddVBand="0" w:evenVBand="0" w:oddHBand="0" w:evenHBand="0" w:firstRowFirstColumn="0" w:firstRowLastColumn="0" w:lastRowFirstColumn="0" w:lastRowLastColumn="0"/>
            </w:pPr>
            <w:r w:rsidRPr="004268A1">
              <w:t>Total</w:t>
            </w:r>
          </w:p>
        </w:tc>
      </w:tr>
      <w:tr w:rsidR="009C6204" w:rsidTr="009C6204">
        <w:tc>
          <w:tcPr>
            <w:cnfStyle w:val="001000000000" w:firstRow="0" w:lastRow="0" w:firstColumn="1" w:lastColumn="0" w:oddVBand="0" w:evenVBand="0" w:oddHBand="0" w:evenHBand="0" w:firstRowFirstColumn="0" w:firstRowLastColumn="0" w:lastRowFirstColumn="0" w:lastRowLastColumn="0"/>
            <w:tcW w:w="2273" w:type="dxa"/>
          </w:tcPr>
          <w:p w:rsidR="009C6204" w:rsidRPr="00CF23CB" w:rsidRDefault="009C6204" w:rsidP="00CF23CB">
            <w:pPr>
              <w:pStyle w:val="AERtabletextleft"/>
              <w:rPr>
                <w:rStyle w:val="AERbody"/>
                <w:sz w:val="16"/>
                <w:szCs w:val="16"/>
              </w:rPr>
            </w:pPr>
            <w:r w:rsidRPr="00A82E60">
              <w:rPr>
                <w:rStyle w:val="AERbody"/>
                <w:sz w:val="16"/>
                <w:szCs w:val="16"/>
              </w:rPr>
              <w:t>TransGrid's propos</w:t>
            </w:r>
            <w:r w:rsidRPr="00CF23CB">
              <w:rPr>
                <w:rStyle w:val="AERbody"/>
                <w:sz w:val="16"/>
                <w:szCs w:val="16"/>
              </w:rPr>
              <w:t>al</w:t>
            </w:r>
          </w:p>
        </w:tc>
        <w:tc>
          <w:tcPr>
            <w:tcW w:w="1376"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353.</w:t>
            </w:r>
            <w:r w:rsidR="00836B2A">
              <w:t>5</w:t>
            </w:r>
          </w:p>
        </w:tc>
        <w:tc>
          <w:tcPr>
            <w:tcW w:w="1377"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400.</w:t>
            </w:r>
            <w:r w:rsidR="00836B2A">
              <w:t>9</w:t>
            </w:r>
          </w:p>
        </w:tc>
        <w:tc>
          <w:tcPr>
            <w:tcW w:w="1377"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311.0</w:t>
            </w:r>
          </w:p>
        </w:tc>
        <w:tc>
          <w:tcPr>
            <w:tcW w:w="1377"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322.0</w:t>
            </w:r>
          </w:p>
        </w:tc>
        <w:tc>
          <w:tcPr>
            <w:tcW w:w="1462"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1,387.</w:t>
            </w:r>
            <w:r w:rsidR="00836B2A">
              <w:t>4</w:t>
            </w:r>
          </w:p>
        </w:tc>
      </w:tr>
      <w:tr w:rsidR="009C6204" w:rsidTr="009C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rsidR="009C6204" w:rsidRPr="009C6204" w:rsidRDefault="009C6204" w:rsidP="009C6204">
            <w:pPr>
              <w:pStyle w:val="AERtabletextleft"/>
            </w:pPr>
            <w:r w:rsidRPr="009C6204">
              <w:t>AER draft decision</w:t>
            </w:r>
          </w:p>
        </w:tc>
        <w:tc>
          <w:tcPr>
            <w:tcW w:w="1376" w:type="dxa"/>
            <w:vAlign w:val="top"/>
          </w:tcPr>
          <w:p w:rsidR="009C6204" w:rsidRPr="009C6204" w:rsidRDefault="009C6204" w:rsidP="00CF23CB">
            <w:pPr>
              <w:pStyle w:val="AERtabletextleft"/>
              <w:cnfStyle w:val="000000010000" w:firstRow="0" w:lastRow="0" w:firstColumn="0" w:lastColumn="0" w:oddVBand="0" w:evenVBand="0" w:oddHBand="0" w:evenHBand="1" w:firstRowFirstColumn="0" w:firstRowLastColumn="0" w:lastRowFirstColumn="0" w:lastRowLastColumn="0"/>
            </w:pPr>
            <w:r w:rsidRPr="009C6204">
              <w:t>240.8</w:t>
            </w:r>
          </w:p>
        </w:tc>
        <w:tc>
          <w:tcPr>
            <w:tcW w:w="1377" w:type="dxa"/>
            <w:vAlign w:val="top"/>
          </w:tcPr>
          <w:p w:rsidR="009C6204" w:rsidRPr="009C6204" w:rsidRDefault="009C6204" w:rsidP="00CF23CB">
            <w:pPr>
              <w:pStyle w:val="AERtabletextleft"/>
              <w:cnfStyle w:val="000000010000" w:firstRow="0" w:lastRow="0" w:firstColumn="0" w:lastColumn="0" w:oddVBand="0" w:evenVBand="0" w:oddHBand="0" w:evenHBand="1" w:firstRowFirstColumn="0" w:firstRowLastColumn="0" w:lastRowFirstColumn="0" w:lastRowLastColumn="0"/>
            </w:pPr>
            <w:r w:rsidRPr="009C6204">
              <w:t>239.4</w:t>
            </w:r>
          </w:p>
        </w:tc>
        <w:tc>
          <w:tcPr>
            <w:tcW w:w="1377" w:type="dxa"/>
            <w:vAlign w:val="top"/>
          </w:tcPr>
          <w:p w:rsidR="009C6204" w:rsidRPr="009C6204" w:rsidRDefault="00836B2A" w:rsidP="009C6204">
            <w:pPr>
              <w:pStyle w:val="AERtabletextleft"/>
              <w:cnfStyle w:val="000000010000" w:firstRow="0" w:lastRow="0" w:firstColumn="0" w:lastColumn="0" w:oddVBand="0" w:evenVBand="0" w:oddHBand="0" w:evenHBand="1" w:firstRowFirstColumn="0" w:firstRowLastColumn="0" w:lastRowFirstColumn="0" w:lastRowLastColumn="0"/>
            </w:pPr>
            <w:r>
              <w:t>223.0</w:t>
            </w:r>
          </w:p>
        </w:tc>
        <w:tc>
          <w:tcPr>
            <w:tcW w:w="1377" w:type="dxa"/>
            <w:vAlign w:val="top"/>
          </w:tcPr>
          <w:p w:rsidR="009C6204" w:rsidRPr="009C6204" w:rsidRDefault="009C6204" w:rsidP="00CF23CB">
            <w:pPr>
              <w:pStyle w:val="AERtabletextleft"/>
              <w:cnfStyle w:val="000000010000" w:firstRow="0" w:lastRow="0" w:firstColumn="0" w:lastColumn="0" w:oddVBand="0" w:evenVBand="0" w:oddHBand="0" w:evenHBand="1" w:firstRowFirstColumn="0" w:firstRowLastColumn="0" w:lastRowFirstColumn="0" w:lastRowLastColumn="0"/>
            </w:pPr>
            <w:r w:rsidRPr="009C6204">
              <w:t>219.1</w:t>
            </w:r>
          </w:p>
        </w:tc>
        <w:tc>
          <w:tcPr>
            <w:tcW w:w="1462" w:type="dxa"/>
            <w:vAlign w:val="top"/>
          </w:tcPr>
          <w:p w:rsidR="009C6204" w:rsidRPr="009C6204" w:rsidRDefault="009C6204" w:rsidP="00CF23CB">
            <w:pPr>
              <w:pStyle w:val="AERtabletextleft"/>
              <w:cnfStyle w:val="000000010000" w:firstRow="0" w:lastRow="0" w:firstColumn="0" w:lastColumn="0" w:oddVBand="0" w:evenVBand="0" w:oddHBand="0" w:evenHBand="1" w:firstRowFirstColumn="0" w:firstRowLastColumn="0" w:lastRowFirstColumn="0" w:lastRowLastColumn="0"/>
            </w:pPr>
            <w:r w:rsidRPr="009C6204">
              <w:t>922.3</w:t>
            </w:r>
          </w:p>
        </w:tc>
      </w:tr>
      <w:tr w:rsidR="009C6204" w:rsidTr="009C6204">
        <w:tc>
          <w:tcPr>
            <w:cnfStyle w:val="001000000000" w:firstRow="0" w:lastRow="0" w:firstColumn="1" w:lastColumn="0" w:oddVBand="0" w:evenVBand="0" w:oddHBand="0" w:evenHBand="0" w:firstRowFirstColumn="0" w:firstRowLastColumn="0" w:lastRowFirstColumn="0" w:lastRowLastColumn="0"/>
            <w:tcW w:w="2273" w:type="dxa"/>
          </w:tcPr>
          <w:p w:rsidR="009C6204" w:rsidRPr="009C6204" w:rsidRDefault="009C6204" w:rsidP="009C6204">
            <w:pPr>
              <w:pStyle w:val="AERtabletextleft"/>
            </w:pPr>
            <w:r>
              <w:t>Difference</w:t>
            </w:r>
          </w:p>
        </w:tc>
        <w:tc>
          <w:tcPr>
            <w:tcW w:w="1376"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112.</w:t>
            </w:r>
            <w:r w:rsidR="00836B2A">
              <w:t>7</w:t>
            </w:r>
          </w:p>
        </w:tc>
        <w:tc>
          <w:tcPr>
            <w:tcW w:w="1377"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161.5</w:t>
            </w:r>
          </w:p>
        </w:tc>
        <w:tc>
          <w:tcPr>
            <w:tcW w:w="1377"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88.0</w:t>
            </w:r>
          </w:p>
        </w:tc>
        <w:tc>
          <w:tcPr>
            <w:tcW w:w="1377"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102.9</w:t>
            </w:r>
          </w:p>
        </w:tc>
        <w:tc>
          <w:tcPr>
            <w:tcW w:w="1462" w:type="dxa"/>
            <w:vAlign w:val="top"/>
          </w:tcPr>
          <w:p w:rsidR="009C6204" w:rsidRPr="009C6204" w:rsidRDefault="009C6204" w:rsidP="00CF23CB">
            <w:pPr>
              <w:pStyle w:val="AERtabletextleft"/>
              <w:cnfStyle w:val="000000000000" w:firstRow="0" w:lastRow="0" w:firstColumn="0" w:lastColumn="0" w:oddVBand="0" w:evenVBand="0" w:oddHBand="0" w:evenHBand="0" w:firstRowFirstColumn="0" w:firstRowLastColumn="0" w:lastRowFirstColumn="0" w:lastRowLastColumn="0"/>
            </w:pPr>
            <w:r w:rsidRPr="009C6204">
              <w:t>465.</w:t>
            </w:r>
            <w:r w:rsidR="00836B2A">
              <w:t>1</w:t>
            </w:r>
          </w:p>
        </w:tc>
      </w:tr>
      <w:tr w:rsidR="009C6204" w:rsidTr="009C6204">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73" w:type="dxa"/>
          </w:tcPr>
          <w:p w:rsidR="009C6204" w:rsidRPr="009C6204" w:rsidRDefault="009C6204" w:rsidP="009C6204">
            <w:pPr>
              <w:pStyle w:val="AERtabletextleft"/>
            </w:pPr>
            <w:r>
              <w:t>Percentage difference</w:t>
            </w:r>
          </w:p>
        </w:tc>
        <w:tc>
          <w:tcPr>
            <w:tcW w:w="1376" w:type="dxa"/>
            <w:vAlign w:val="top"/>
          </w:tcPr>
          <w:p w:rsidR="009C6204" w:rsidRPr="009C6204" w:rsidRDefault="009C6204" w:rsidP="009C6204">
            <w:pPr>
              <w:pStyle w:val="AERtabletextleft"/>
              <w:cnfStyle w:val="000000010000" w:firstRow="0" w:lastRow="0" w:firstColumn="0" w:lastColumn="0" w:oddVBand="0" w:evenVBand="0" w:oddHBand="0" w:evenHBand="1" w:firstRowFirstColumn="0" w:firstRowLastColumn="0" w:lastRowFirstColumn="0" w:lastRowLastColumn="0"/>
            </w:pPr>
            <w:r w:rsidRPr="009C6204">
              <w:t>32%</w:t>
            </w:r>
          </w:p>
        </w:tc>
        <w:tc>
          <w:tcPr>
            <w:tcW w:w="1377" w:type="dxa"/>
            <w:vAlign w:val="top"/>
          </w:tcPr>
          <w:p w:rsidR="009C6204" w:rsidRPr="009C6204" w:rsidRDefault="009C6204" w:rsidP="009C6204">
            <w:pPr>
              <w:pStyle w:val="AERtabletextleft"/>
              <w:cnfStyle w:val="000000010000" w:firstRow="0" w:lastRow="0" w:firstColumn="0" w:lastColumn="0" w:oddVBand="0" w:evenVBand="0" w:oddHBand="0" w:evenHBand="1" w:firstRowFirstColumn="0" w:firstRowLastColumn="0" w:lastRowFirstColumn="0" w:lastRowLastColumn="0"/>
            </w:pPr>
            <w:r w:rsidRPr="009C6204">
              <w:t>40%</w:t>
            </w:r>
          </w:p>
        </w:tc>
        <w:tc>
          <w:tcPr>
            <w:tcW w:w="1377" w:type="dxa"/>
            <w:vAlign w:val="top"/>
          </w:tcPr>
          <w:p w:rsidR="009C6204" w:rsidRPr="009C6204" w:rsidRDefault="009C6204" w:rsidP="009C6204">
            <w:pPr>
              <w:pStyle w:val="AERtabletextleft"/>
              <w:cnfStyle w:val="000000010000" w:firstRow="0" w:lastRow="0" w:firstColumn="0" w:lastColumn="0" w:oddVBand="0" w:evenVBand="0" w:oddHBand="0" w:evenHBand="1" w:firstRowFirstColumn="0" w:firstRowLastColumn="0" w:lastRowFirstColumn="0" w:lastRowLastColumn="0"/>
            </w:pPr>
            <w:r w:rsidRPr="009C6204">
              <w:t>28%</w:t>
            </w:r>
          </w:p>
        </w:tc>
        <w:tc>
          <w:tcPr>
            <w:tcW w:w="1377" w:type="dxa"/>
            <w:vAlign w:val="top"/>
          </w:tcPr>
          <w:p w:rsidR="009C6204" w:rsidRPr="009C6204" w:rsidRDefault="009C6204" w:rsidP="009C6204">
            <w:pPr>
              <w:pStyle w:val="AERtabletextleft"/>
              <w:cnfStyle w:val="000000010000" w:firstRow="0" w:lastRow="0" w:firstColumn="0" w:lastColumn="0" w:oddVBand="0" w:evenVBand="0" w:oddHBand="0" w:evenHBand="1" w:firstRowFirstColumn="0" w:firstRowLastColumn="0" w:lastRowFirstColumn="0" w:lastRowLastColumn="0"/>
            </w:pPr>
            <w:r w:rsidRPr="009C6204">
              <w:t>32%</w:t>
            </w:r>
          </w:p>
        </w:tc>
        <w:tc>
          <w:tcPr>
            <w:tcW w:w="1462" w:type="dxa"/>
            <w:vAlign w:val="top"/>
          </w:tcPr>
          <w:p w:rsidR="009C6204" w:rsidRPr="009C6204" w:rsidRDefault="009C6204" w:rsidP="009C6204">
            <w:pPr>
              <w:pStyle w:val="AERtabletextleft"/>
              <w:cnfStyle w:val="000000010000" w:firstRow="0" w:lastRow="0" w:firstColumn="0" w:lastColumn="0" w:oddVBand="0" w:evenVBand="0" w:oddHBand="0" w:evenHBand="1" w:firstRowFirstColumn="0" w:firstRowLastColumn="0" w:lastRowFirstColumn="0" w:lastRowLastColumn="0"/>
            </w:pPr>
            <w:r w:rsidRPr="009C6204">
              <w:t>34%</w:t>
            </w:r>
          </w:p>
        </w:tc>
      </w:tr>
    </w:tbl>
    <w:p w:rsidR="000E05AF" w:rsidRDefault="000E05AF" w:rsidP="000E05AF">
      <w:pPr>
        <w:pStyle w:val="AERtablesource"/>
        <w:rPr>
          <w:rStyle w:val="AERtextsize8"/>
        </w:rPr>
      </w:pPr>
      <w:r w:rsidRPr="004268A1">
        <w:rPr>
          <w:rStyle w:val="AERtextsize8"/>
        </w:rPr>
        <w:t>Source:</w:t>
      </w:r>
      <w:r w:rsidRPr="004268A1">
        <w:rPr>
          <w:rStyle w:val="AERtextsize8"/>
        </w:rPr>
        <w:tab/>
        <w:t>AER analysis</w:t>
      </w:r>
      <w:r w:rsidR="00C2312A">
        <w:rPr>
          <w:rStyle w:val="AERtextsize8"/>
        </w:rPr>
        <w:t>.</w:t>
      </w:r>
    </w:p>
    <w:p w:rsidR="006335AE" w:rsidRPr="001F7B8C" w:rsidRDefault="006335AE" w:rsidP="006335AE">
      <w:pPr>
        <w:pStyle w:val="AERtablesource"/>
        <w:rPr>
          <w:rFonts w:eastAsia="Calibri"/>
        </w:rPr>
      </w:pPr>
      <w:r>
        <w:rPr>
          <w:rFonts w:eastAsia="Calibri"/>
        </w:rPr>
        <w:t>Note:</w:t>
      </w:r>
      <w:r>
        <w:rPr>
          <w:rFonts w:eastAsia="Calibri"/>
        </w:rPr>
        <w:tab/>
        <w:t>Numbers may not total due to rounding.</w:t>
      </w:r>
    </w:p>
    <w:p w:rsidR="000E05AF" w:rsidRPr="009E69C0" w:rsidRDefault="000E05AF" w:rsidP="000E05AF">
      <w:pPr>
        <w:pStyle w:val="Heading3"/>
      </w:pPr>
      <w:bookmarkStart w:id="78" w:name="_Toc402451842"/>
      <w:bookmarkStart w:id="79" w:name="_Toc404437630"/>
      <w:r w:rsidRPr="009E69C0">
        <w:t>Comparison of historical and forecast capital expenditure</w:t>
      </w:r>
      <w:bookmarkEnd w:id="78"/>
      <w:bookmarkEnd w:id="79"/>
    </w:p>
    <w:p w:rsidR="000E05AF" w:rsidRPr="00093F9C" w:rsidRDefault="000E05AF" w:rsidP="00C85CA6">
      <w:pPr>
        <w:pStyle w:val="AERbodytext"/>
        <w:rPr>
          <w:rStyle w:val="AERtexthighlight"/>
        </w:rPr>
      </w:pPr>
      <w:r w:rsidRPr="009E69C0">
        <w:t>TransGrid has proposed less capex for the 2014</w:t>
      </w:r>
      <w:r w:rsidRPr="009E69C0">
        <w:rPr>
          <w:rFonts w:hint="eastAsia"/>
        </w:rPr>
        <w:t>–</w:t>
      </w:r>
      <w:r w:rsidRPr="009E69C0">
        <w:t>1</w:t>
      </w:r>
      <w:r w:rsidR="000A1A59" w:rsidRPr="009E69C0">
        <w:t>8</w:t>
      </w:r>
      <w:r w:rsidRPr="009E69C0">
        <w:t xml:space="preserve"> period</w:t>
      </w:r>
      <w:r w:rsidR="00C83B3B">
        <w:t xml:space="preserve"> </w:t>
      </w:r>
      <w:r w:rsidR="00690440">
        <w:t>than it spent</w:t>
      </w:r>
      <w:r w:rsidR="00C83B3B">
        <w:t xml:space="preserve"> in the previous period</w:t>
      </w:r>
      <w:r w:rsidRPr="009E69C0">
        <w:t xml:space="preserve">. </w:t>
      </w:r>
      <w:r w:rsidR="00690440">
        <w:t>A</w:t>
      </w:r>
      <w:r w:rsidRPr="009E69C0">
        <w:t>s shown in</w:t>
      </w:r>
      <w:r w:rsidR="009515E6" w:rsidRPr="009E69C0">
        <w:t xml:space="preserve"> </w:t>
      </w:r>
      <w:r w:rsidR="009515E6" w:rsidRPr="009E69C0">
        <w:fldChar w:fldCharType="begin"/>
      </w:r>
      <w:r w:rsidR="009515E6" w:rsidRPr="009E69C0">
        <w:instrText xml:space="preserve"> REF _Ref402865455 \h </w:instrText>
      </w:r>
      <w:r w:rsidR="00093F9C">
        <w:rPr>
          <w:rStyle w:val="AERtexthighlight"/>
        </w:rPr>
        <w:instrText xml:space="preserve"> \* MERGEFORMAT </w:instrText>
      </w:r>
      <w:r w:rsidR="009515E6" w:rsidRPr="009E69C0">
        <w:fldChar w:fldCharType="separate"/>
      </w:r>
      <w:r w:rsidR="00C71301" w:rsidRPr="0037545F">
        <w:t xml:space="preserve">Figure </w:t>
      </w:r>
      <w:r w:rsidR="00C71301">
        <w:t>8</w:t>
      </w:r>
      <w:r w:rsidR="00C71301">
        <w:noBreakHyphen/>
        <w:t>3</w:t>
      </w:r>
      <w:r w:rsidR="009515E6" w:rsidRPr="009E69C0">
        <w:fldChar w:fldCharType="end"/>
      </w:r>
      <w:r w:rsidRPr="009E69C0">
        <w:t>, underlying the overall fall in the proposed capex are substantial changes in the composition of the proposed expenditure. During the 2009</w:t>
      </w:r>
      <w:r w:rsidRPr="009E69C0">
        <w:rPr>
          <w:rFonts w:hint="eastAsia"/>
        </w:rPr>
        <w:t>–</w:t>
      </w:r>
      <w:r w:rsidRPr="009E69C0">
        <w:t>14 period, TransGrid spent an average of $</w:t>
      </w:r>
      <w:r w:rsidR="001978B5">
        <w:t>155.8</w:t>
      </w:r>
      <w:r w:rsidR="001978B5" w:rsidRPr="009E69C0">
        <w:t xml:space="preserve"> </w:t>
      </w:r>
      <w:r w:rsidRPr="009E69C0">
        <w:t>million ($2013</w:t>
      </w:r>
      <w:r w:rsidRPr="009E69C0">
        <w:rPr>
          <w:rFonts w:hint="eastAsia"/>
        </w:rPr>
        <w:t>–</w:t>
      </w:r>
      <w:r w:rsidRPr="009E69C0">
        <w:t xml:space="preserve">14) per year on </w:t>
      </w:r>
      <w:r w:rsidR="00C83B3B">
        <w:t>replacement capex (</w:t>
      </w:r>
      <w:r w:rsidRPr="009E69C0">
        <w:t>repex</w:t>
      </w:r>
      <w:r w:rsidR="00C83B3B">
        <w:t>)</w:t>
      </w:r>
      <w:r w:rsidRPr="009E69C0">
        <w:t xml:space="preserve">. </w:t>
      </w:r>
      <w:r w:rsidR="004B4F91" w:rsidRPr="009E69C0">
        <w:t xml:space="preserve"> </w:t>
      </w:r>
      <w:r w:rsidRPr="009E69C0">
        <w:t xml:space="preserve">TransGrid </w:t>
      </w:r>
      <w:r w:rsidR="001F7B8C">
        <w:t xml:space="preserve">is </w:t>
      </w:r>
      <w:r w:rsidRPr="009E69C0">
        <w:t>proposing to increase this expenditure</w:t>
      </w:r>
      <w:r w:rsidR="004B4F91" w:rsidRPr="009E69C0">
        <w:t xml:space="preserve"> </w:t>
      </w:r>
      <w:r w:rsidRPr="009E69C0">
        <w:t>to an average of $239 million per year</w:t>
      </w:r>
      <w:r w:rsidR="00C83B3B">
        <w:t xml:space="preserve"> (</w:t>
      </w:r>
      <w:r w:rsidR="00066A58">
        <w:t>an increase</w:t>
      </w:r>
      <w:r w:rsidR="00C83B3B">
        <w:t xml:space="preserve"> </w:t>
      </w:r>
      <w:r w:rsidR="00066A58">
        <w:t xml:space="preserve">in annual average expenditure </w:t>
      </w:r>
      <w:r w:rsidR="00C83B3B">
        <w:t xml:space="preserve">of </w:t>
      </w:r>
      <w:r w:rsidR="001978B5">
        <w:t>48</w:t>
      </w:r>
      <w:r w:rsidR="00066A58">
        <w:t xml:space="preserve"> per cent</w:t>
      </w:r>
      <w:r w:rsidR="00C83B3B">
        <w:t>)</w:t>
      </w:r>
      <w:r w:rsidRPr="009E69C0">
        <w:t xml:space="preserve">. This increase is offset by a reduction in growth-related capex </w:t>
      </w:r>
      <w:r w:rsidR="00C83B3B">
        <w:t>(aug</w:t>
      </w:r>
      <w:r w:rsidR="001978B5">
        <w:t>mentation and connections</w:t>
      </w:r>
      <w:r w:rsidR="00C83B3B">
        <w:t xml:space="preserve">) </w:t>
      </w:r>
      <w:r w:rsidRPr="009E69C0">
        <w:t>from an annual average of $</w:t>
      </w:r>
      <w:r w:rsidR="001978B5">
        <w:t>228.5</w:t>
      </w:r>
      <w:r w:rsidR="001978B5" w:rsidRPr="009E69C0">
        <w:t xml:space="preserve"> </w:t>
      </w:r>
      <w:r w:rsidRPr="009E69C0">
        <w:t>million ($2013</w:t>
      </w:r>
      <w:r w:rsidRPr="009E69C0">
        <w:rPr>
          <w:rFonts w:hint="eastAsia"/>
        </w:rPr>
        <w:t>–</w:t>
      </w:r>
      <w:r w:rsidRPr="009E69C0">
        <w:t>14) to $</w:t>
      </w:r>
      <w:r w:rsidR="001978B5">
        <w:t>46.7</w:t>
      </w:r>
      <w:r w:rsidR="001978B5" w:rsidRPr="009E69C0">
        <w:t xml:space="preserve"> </w:t>
      </w:r>
      <w:r w:rsidRPr="009E69C0">
        <w:t>million annually</w:t>
      </w:r>
      <w:r w:rsidR="00C83B3B">
        <w:t xml:space="preserve"> (</w:t>
      </w:r>
      <w:r w:rsidR="00066A58">
        <w:t>a reduction in annual average expenditure of 81</w:t>
      </w:r>
      <w:r w:rsidR="00C83B3B">
        <w:t xml:space="preserve"> per cent)</w:t>
      </w:r>
      <w:r w:rsidRPr="009E69C0">
        <w:t xml:space="preserve">, with most of this expenditure driven by proposed strategic land acquisitions. </w:t>
      </w:r>
    </w:p>
    <w:p w:rsidR="000E05AF" w:rsidRDefault="000E05AF" w:rsidP="000E05AF">
      <w:pPr>
        <w:pStyle w:val="Caption"/>
      </w:pPr>
      <w:bookmarkStart w:id="80" w:name="_Ref402865455"/>
      <w:bookmarkStart w:id="81" w:name="_Ref402260153"/>
      <w:bookmarkStart w:id="82" w:name="_Ref402260148"/>
      <w:r w:rsidRPr="0037545F">
        <w:lastRenderedPageBreak/>
        <w:t xml:space="preserve">Figure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75C12">
        <w:noBreakHyphen/>
      </w:r>
      <w:r w:rsidR="00864D56">
        <w:fldChar w:fldCharType="begin"/>
      </w:r>
      <w:r w:rsidR="00864D56">
        <w:instrText xml:space="preserve"> SEQ Figure \* ARA</w:instrText>
      </w:r>
      <w:r w:rsidR="00864D56">
        <w:instrText xml:space="preserve">BIC \s 1 </w:instrText>
      </w:r>
      <w:r w:rsidR="00864D56">
        <w:fldChar w:fldCharType="separate"/>
      </w:r>
      <w:r w:rsidR="00C71301">
        <w:rPr>
          <w:noProof/>
        </w:rPr>
        <w:t>3</w:t>
      </w:r>
      <w:r w:rsidR="00864D56">
        <w:rPr>
          <w:noProof/>
        </w:rPr>
        <w:fldChar w:fldCharType="end"/>
      </w:r>
      <w:bookmarkEnd w:id="80"/>
      <w:bookmarkEnd w:id="81"/>
      <w:r w:rsidRPr="0037545F">
        <w:tab/>
      </w:r>
      <w:r>
        <w:t xml:space="preserve">Trend in Augex and Repex </w:t>
      </w:r>
      <w:bookmarkEnd w:id="82"/>
    </w:p>
    <w:p w:rsidR="000E05AF" w:rsidRPr="00560E34" w:rsidRDefault="000E05AF" w:rsidP="000E05AF">
      <w:pPr>
        <w:pStyle w:val="AERbodytext"/>
      </w:pPr>
      <w:r w:rsidRPr="000E05AF">
        <w:rPr>
          <w:noProof/>
          <w:lang w:eastAsia="en-AU"/>
        </w:rPr>
        <w:drawing>
          <wp:inline distT="0" distB="0" distL="0" distR="0" wp14:anchorId="0C5086A4" wp14:editId="0849FBCD">
            <wp:extent cx="5731510" cy="3631793"/>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05AF" w:rsidRPr="00130EBB" w:rsidRDefault="000E05AF" w:rsidP="009515E6">
      <w:pPr>
        <w:pStyle w:val="AERtablesource"/>
        <w:rPr>
          <w:rStyle w:val="AERbody"/>
          <w:sz w:val="16"/>
        </w:rPr>
      </w:pPr>
      <w:r w:rsidRPr="00914A64">
        <w:rPr>
          <w:rStyle w:val="AERbody"/>
          <w:sz w:val="16"/>
        </w:rPr>
        <w:t xml:space="preserve">Source: </w:t>
      </w:r>
      <w:r w:rsidR="009515E6" w:rsidRPr="00847565">
        <w:rPr>
          <w:rStyle w:val="AERbody"/>
          <w:sz w:val="16"/>
        </w:rPr>
        <w:tab/>
      </w:r>
      <w:r w:rsidRPr="00C57D4C">
        <w:rPr>
          <w:rStyle w:val="AERbody"/>
          <w:sz w:val="16"/>
        </w:rPr>
        <w:t>AER analysis</w:t>
      </w:r>
      <w:r w:rsidR="009515E6" w:rsidRPr="00130EBB">
        <w:rPr>
          <w:rStyle w:val="AERbody"/>
          <w:sz w:val="16"/>
        </w:rPr>
        <w:t>.</w:t>
      </w:r>
    </w:p>
    <w:p w:rsidR="000E05AF" w:rsidRPr="000E05AF" w:rsidRDefault="000E05AF" w:rsidP="000E05AF">
      <w:pPr>
        <w:pStyle w:val="Heading3"/>
      </w:pPr>
      <w:bookmarkStart w:id="83" w:name="_Toc402451843"/>
      <w:bookmarkStart w:id="84" w:name="_Toc404437631"/>
      <w:r w:rsidRPr="000E05AF">
        <w:t>Summary of analysis and reasons</w:t>
      </w:r>
      <w:bookmarkEnd w:id="83"/>
      <w:bookmarkEnd w:id="84"/>
    </w:p>
    <w:p w:rsidR="000E05AF" w:rsidRPr="00A743F3" w:rsidRDefault="000E05AF" w:rsidP="00A743F3">
      <w:pPr>
        <w:pStyle w:val="HeadingBoldBlue"/>
        <w:rPr>
          <w:rStyle w:val="AERbody"/>
          <w:rFonts w:eastAsia="Calibri"/>
          <w:color w:val="365F91" w:themeColor="accent1" w:themeShade="BF"/>
          <w:sz w:val="24"/>
        </w:rPr>
      </w:pPr>
      <w:r w:rsidRPr="00A743F3">
        <w:rPr>
          <w:rStyle w:val="AERbody"/>
          <w:rFonts w:eastAsia="Calibri"/>
          <w:color w:val="365F91" w:themeColor="accent1" w:themeShade="BF"/>
          <w:sz w:val="24"/>
        </w:rPr>
        <w:t>Replacement expenditure</w:t>
      </w:r>
    </w:p>
    <w:p w:rsidR="000E05AF" w:rsidRDefault="000E05AF" w:rsidP="000E05AF">
      <w:r>
        <w:t>R</w:t>
      </w:r>
      <w:r w:rsidRPr="00F4414C">
        <w:t>epex is non-demand driven capex. It involves replacing an asset with its modern equivalent where the asset has reached the end of its economic life</w:t>
      </w:r>
      <w:r>
        <w:t>, measured by an</w:t>
      </w:r>
      <w:r w:rsidRPr="00F4414C">
        <w:t xml:space="preserve"> asset's condition, technology or operating environment. </w:t>
      </w:r>
      <w:r w:rsidRPr="00F12399">
        <w:rPr>
          <w:rStyle w:val="AERbody"/>
        </w:rPr>
        <w:t>TransGrid</w:t>
      </w:r>
      <w:r>
        <w:rPr>
          <w:rStyle w:val="AERbody"/>
        </w:rPr>
        <w:t xml:space="preserve"> proposed </w:t>
      </w:r>
      <w:r w:rsidRPr="00F12399">
        <w:rPr>
          <w:rStyle w:val="AERbody"/>
        </w:rPr>
        <w:t>$952.2 million (</w:t>
      </w:r>
      <w:r>
        <w:rPr>
          <w:rStyle w:val="AERbody"/>
        </w:rPr>
        <w:t>$</w:t>
      </w:r>
      <w:r w:rsidRPr="00F12399">
        <w:rPr>
          <w:rStyle w:val="AERbody"/>
        </w:rPr>
        <w:t xml:space="preserve">2013–14) </w:t>
      </w:r>
      <w:r>
        <w:rPr>
          <w:rStyle w:val="AERbody"/>
        </w:rPr>
        <w:t xml:space="preserve">of forecast </w:t>
      </w:r>
      <w:r w:rsidRPr="00F12399">
        <w:rPr>
          <w:rStyle w:val="AERbody"/>
        </w:rPr>
        <w:t>repex</w:t>
      </w:r>
      <w:r>
        <w:rPr>
          <w:rStyle w:val="AERbody"/>
        </w:rPr>
        <w:t xml:space="preserve">. </w:t>
      </w:r>
    </w:p>
    <w:p w:rsidR="000E05AF" w:rsidRDefault="000E05AF" w:rsidP="000E05AF">
      <w:pPr>
        <w:pStyle w:val="AERbodytext"/>
        <w:rPr>
          <w:rStyle w:val="AERbody"/>
        </w:rPr>
      </w:pPr>
      <w:r w:rsidRPr="00F4414C">
        <w:t xml:space="preserve">The amount of repex included in our substitute estimate of total capex is </w:t>
      </w:r>
      <w:r>
        <w:rPr>
          <w:rStyle w:val="AERbody"/>
        </w:rPr>
        <w:t>$647.</w:t>
      </w:r>
      <w:r w:rsidRPr="008867F9">
        <w:rPr>
          <w:rStyle w:val="AERbody"/>
        </w:rPr>
        <w:t>6</w:t>
      </w:r>
      <w:r w:rsidRPr="00F12399">
        <w:rPr>
          <w:rStyle w:val="AERbody"/>
        </w:rPr>
        <w:t xml:space="preserve"> million</w:t>
      </w:r>
      <w:r>
        <w:rPr>
          <w:rStyle w:val="AERbody"/>
        </w:rPr>
        <w:t xml:space="preserve"> </w:t>
      </w:r>
      <w:r w:rsidRPr="00F12399">
        <w:rPr>
          <w:rStyle w:val="AERbody"/>
        </w:rPr>
        <w:t>(</w:t>
      </w:r>
      <w:r>
        <w:rPr>
          <w:rStyle w:val="AERbody"/>
        </w:rPr>
        <w:t>$2013–14)</w:t>
      </w:r>
      <w:r w:rsidR="004A2E79">
        <w:rPr>
          <w:rStyle w:val="AERbody"/>
        </w:rPr>
        <w:t xml:space="preserve"> (</w:t>
      </w:r>
      <w:r w:rsidR="00066A58">
        <w:rPr>
          <w:rStyle w:val="AERbody"/>
        </w:rPr>
        <w:t>3</w:t>
      </w:r>
      <w:r w:rsidR="001978B5">
        <w:rPr>
          <w:rStyle w:val="AERbody"/>
        </w:rPr>
        <w:t>0</w:t>
      </w:r>
      <w:r w:rsidR="004A2E79">
        <w:rPr>
          <w:rStyle w:val="AERbody"/>
        </w:rPr>
        <w:t xml:space="preserve"> per cent less than proposed by TransGrid)</w:t>
      </w:r>
      <w:r>
        <w:rPr>
          <w:rStyle w:val="AERbody"/>
        </w:rPr>
        <w:t>. This is based on our trend analysis of past total repex and key repex programs. It is also based on EMCa's review of T</w:t>
      </w:r>
      <w:r w:rsidRPr="00F12399">
        <w:rPr>
          <w:rStyle w:val="AERbody"/>
        </w:rPr>
        <w:t>ransGrid's governance and risk management</w:t>
      </w:r>
      <w:r>
        <w:rPr>
          <w:rStyle w:val="AERbody"/>
        </w:rPr>
        <w:t>,</w:t>
      </w:r>
      <w:r w:rsidRPr="00F12399">
        <w:rPr>
          <w:rStyle w:val="AERbody"/>
        </w:rPr>
        <w:t xml:space="preserve"> cost forecasting method and four key </w:t>
      </w:r>
      <w:r>
        <w:rPr>
          <w:rStyle w:val="AERbody"/>
        </w:rPr>
        <w:t xml:space="preserve">proposed </w:t>
      </w:r>
      <w:r w:rsidRPr="00F12399">
        <w:rPr>
          <w:rStyle w:val="AERbody"/>
        </w:rPr>
        <w:t>repex programs.</w:t>
      </w:r>
      <w:r>
        <w:rPr>
          <w:rStyle w:val="AERbody"/>
        </w:rPr>
        <w:t xml:space="preserve"> </w:t>
      </w:r>
    </w:p>
    <w:p w:rsidR="000E05AF" w:rsidRPr="00F12399" w:rsidRDefault="000E05AF" w:rsidP="000E05AF">
      <w:pPr>
        <w:pStyle w:val="AERbodytext"/>
        <w:rPr>
          <w:rStyle w:val="AERbody"/>
        </w:rPr>
      </w:pPr>
      <w:r>
        <w:rPr>
          <w:rStyle w:val="AERbody"/>
        </w:rPr>
        <w:t xml:space="preserve">EMCa identified a number of systemic issues in TransGrid's proposal.  </w:t>
      </w:r>
      <w:r w:rsidRPr="009319B2">
        <w:rPr>
          <w:rStyle w:val="AERbody"/>
        </w:rPr>
        <w:t>This has led to TransGrid overestimating the risk associated with its assets and in turn, overstating and its proposed forecast repex. EMC</w:t>
      </w:r>
      <w:r w:rsidR="00690440">
        <w:rPr>
          <w:rStyle w:val="AERbody"/>
        </w:rPr>
        <w:t>a</w:t>
      </w:r>
      <w:r w:rsidR="00222448">
        <w:rPr>
          <w:rStyle w:val="AERbody"/>
        </w:rPr>
        <w:t xml:space="preserve"> found that </w:t>
      </w:r>
      <w:r w:rsidRPr="009319B2">
        <w:rPr>
          <w:rStyle w:val="AERbody"/>
        </w:rPr>
        <w:t>TransGrid's proposed forecast repex is overstated in the order of 20 to 30 per cent.</w:t>
      </w:r>
      <w:r>
        <w:rPr>
          <w:rStyle w:val="AERbody"/>
        </w:rPr>
        <w:t xml:space="preserve"> In particular, we </w:t>
      </w:r>
      <w:r w:rsidR="004A2E79">
        <w:rPr>
          <w:rStyle w:val="AERbody"/>
        </w:rPr>
        <w:t xml:space="preserve">accept </w:t>
      </w:r>
      <w:r w:rsidRPr="00F12399">
        <w:rPr>
          <w:rStyle w:val="AERbody"/>
        </w:rPr>
        <w:t xml:space="preserve"> EMCa's </w:t>
      </w:r>
      <w:r>
        <w:rPr>
          <w:rStyle w:val="AERbody"/>
        </w:rPr>
        <w:t xml:space="preserve">specific </w:t>
      </w:r>
      <w:r w:rsidRPr="00F12399">
        <w:rPr>
          <w:rStyle w:val="AERbody"/>
        </w:rPr>
        <w:t xml:space="preserve">findings </w:t>
      </w:r>
      <w:r>
        <w:rPr>
          <w:rStyle w:val="AERbody"/>
        </w:rPr>
        <w:t>that</w:t>
      </w:r>
      <w:r w:rsidR="00222448">
        <w:rPr>
          <w:rStyle w:val="AERbody"/>
        </w:rPr>
        <w:t>,</w:t>
      </w:r>
      <w:r>
        <w:rPr>
          <w:rStyle w:val="AERbody"/>
        </w:rPr>
        <w:t xml:space="preserve"> for each of TransGrid's </w:t>
      </w:r>
      <w:r w:rsidRPr="00F12399">
        <w:rPr>
          <w:rStyle w:val="AERbody"/>
        </w:rPr>
        <w:t xml:space="preserve">four key </w:t>
      </w:r>
      <w:r>
        <w:rPr>
          <w:rStyle w:val="AERbody"/>
        </w:rPr>
        <w:t xml:space="preserve">repex </w:t>
      </w:r>
      <w:r w:rsidRPr="00F12399">
        <w:rPr>
          <w:rStyle w:val="AERbody"/>
        </w:rPr>
        <w:t>programs:</w:t>
      </w:r>
    </w:p>
    <w:p w:rsidR="000E05AF" w:rsidRPr="00F12399" w:rsidRDefault="000E05AF" w:rsidP="00A743F3">
      <w:pPr>
        <w:pStyle w:val="AERbulletlistfirststyle"/>
        <w:rPr>
          <w:rStyle w:val="AERbody"/>
        </w:rPr>
      </w:pPr>
      <w:r w:rsidRPr="00F12399">
        <w:rPr>
          <w:rStyle w:val="AERbody"/>
        </w:rPr>
        <w:t xml:space="preserve">opportunities have </w:t>
      </w:r>
      <w:r>
        <w:rPr>
          <w:rStyle w:val="AERbody"/>
        </w:rPr>
        <w:t xml:space="preserve">not </w:t>
      </w:r>
      <w:r w:rsidRPr="00F12399">
        <w:rPr>
          <w:rStyle w:val="AERbody"/>
        </w:rPr>
        <w:t>been identified to defer and/or reduce the scope of projects</w:t>
      </w:r>
    </w:p>
    <w:p w:rsidR="000E05AF" w:rsidRPr="00F12399" w:rsidRDefault="000E05AF" w:rsidP="00A743F3">
      <w:pPr>
        <w:pStyle w:val="AERbulletlistfirststyle"/>
        <w:rPr>
          <w:rStyle w:val="AERbody"/>
        </w:rPr>
      </w:pPr>
      <w:r w:rsidRPr="00F12399">
        <w:rPr>
          <w:rStyle w:val="AERbody"/>
        </w:rPr>
        <w:t>there is evidence that the quantification of the project risk costs is likely to be overstated</w:t>
      </w:r>
    </w:p>
    <w:p w:rsidR="000E05AF" w:rsidRPr="00F12399" w:rsidRDefault="000E05AF" w:rsidP="00A743F3">
      <w:pPr>
        <w:pStyle w:val="AERbulletlistfirststyle"/>
        <w:rPr>
          <w:rStyle w:val="AERbody"/>
        </w:rPr>
      </w:pPr>
      <w:r w:rsidRPr="00F12399">
        <w:rPr>
          <w:rStyle w:val="AERbody"/>
        </w:rPr>
        <w:t>a consideration of lower cost options to address risks has not been demonstrated</w:t>
      </w:r>
    </w:p>
    <w:p w:rsidR="000E05AF" w:rsidRPr="00F12399" w:rsidRDefault="000E05AF" w:rsidP="00A743F3">
      <w:pPr>
        <w:pStyle w:val="AERbulletlistfirststyle"/>
        <w:rPr>
          <w:rStyle w:val="AERbody"/>
        </w:rPr>
      </w:pPr>
      <w:r w:rsidRPr="00F12399">
        <w:rPr>
          <w:rStyle w:val="AERbody"/>
        </w:rPr>
        <w:t xml:space="preserve">there are examples where there is the replacement of relatively new assets as part of a broader asset replacement project for some assets </w:t>
      </w:r>
    </w:p>
    <w:p w:rsidR="000E05AF" w:rsidRPr="00F12399" w:rsidRDefault="000E05AF" w:rsidP="00A743F3">
      <w:pPr>
        <w:pStyle w:val="AERbulletlistfirststyle"/>
        <w:rPr>
          <w:rStyle w:val="AERbody"/>
        </w:rPr>
      </w:pPr>
      <w:r w:rsidRPr="00F12399">
        <w:rPr>
          <w:rStyle w:val="AERbody"/>
        </w:rPr>
        <w:lastRenderedPageBreak/>
        <w:t>there is likely to be the potential to extend the life of some assets by using existing assets as spares</w:t>
      </w:r>
    </w:p>
    <w:p w:rsidR="000E05AF" w:rsidRDefault="000E05AF" w:rsidP="00A743F3">
      <w:pPr>
        <w:pStyle w:val="AERbulletlistfirststyle"/>
        <w:rPr>
          <w:rStyle w:val="AERbody"/>
        </w:rPr>
      </w:pPr>
      <w:r w:rsidRPr="00F12399">
        <w:rPr>
          <w:rStyle w:val="AERbody"/>
        </w:rPr>
        <w:t xml:space="preserve">there is no evidence of performance issues for specific assets that would support a substantial increase in replacement needs </w:t>
      </w:r>
    </w:p>
    <w:p w:rsidR="000E05AF" w:rsidRDefault="000E05AF" w:rsidP="00A743F3">
      <w:pPr>
        <w:pStyle w:val="AERbulletlistfirststyle"/>
        <w:rPr>
          <w:rStyle w:val="AERbody"/>
        </w:rPr>
      </w:pPr>
      <w:r w:rsidRPr="00F12399">
        <w:rPr>
          <w:rStyle w:val="AERbody"/>
        </w:rPr>
        <w:t>it appears that some assets are targeted for replacement based on replacement technology strategies rather than on asset condition grounds</w:t>
      </w:r>
      <w:r>
        <w:rPr>
          <w:rStyle w:val="AERbody"/>
        </w:rPr>
        <w:t>.</w:t>
      </w:r>
    </w:p>
    <w:p w:rsidR="008C470F" w:rsidRPr="009319B2" w:rsidRDefault="004A2E79" w:rsidP="000E05AF">
      <w:pPr>
        <w:pStyle w:val="AERbodytext"/>
        <w:rPr>
          <w:rStyle w:val="AERbody"/>
        </w:rPr>
      </w:pPr>
      <w:r>
        <w:rPr>
          <w:rStyle w:val="AERbody"/>
        </w:rPr>
        <w:t xml:space="preserve">EMCa's review suggested that TransGrid's repex should be reduced by 20 to 30 per cent. </w:t>
      </w:r>
      <w:r w:rsidR="000E05AF" w:rsidRPr="009319B2">
        <w:rPr>
          <w:rStyle w:val="AERbody"/>
        </w:rPr>
        <w:t>We have reduced TransGrid's proposed forecast repex by 30 per cent. Whilst this is at the higher end of the range proposed by EMC</w:t>
      </w:r>
      <w:r w:rsidR="001F7B8C">
        <w:rPr>
          <w:rStyle w:val="AERbody"/>
        </w:rPr>
        <w:t>a</w:t>
      </w:r>
      <w:r w:rsidR="000E05AF" w:rsidRPr="009319B2">
        <w:rPr>
          <w:rStyle w:val="AERbody"/>
        </w:rPr>
        <w:t xml:space="preserve">, it is warranted in light of the concerns </w:t>
      </w:r>
      <w:r w:rsidR="001F7B8C">
        <w:rPr>
          <w:rStyle w:val="AERbody"/>
        </w:rPr>
        <w:t>we</w:t>
      </w:r>
      <w:r w:rsidR="001F7B8C" w:rsidRPr="009319B2">
        <w:rPr>
          <w:rStyle w:val="AERbody"/>
        </w:rPr>
        <w:t xml:space="preserve"> </w:t>
      </w:r>
      <w:r w:rsidR="000E05AF" w:rsidRPr="009319B2">
        <w:rPr>
          <w:rStyle w:val="AERbody"/>
        </w:rPr>
        <w:t xml:space="preserve">have with aspects of TransGrid's forecasting methodology. In particular, TransGrid's forecasting methodology is largely based on a bottom-up assessment approach that is excessively </w:t>
      </w:r>
      <w:r w:rsidR="00C270B0">
        <w:rPr>
          <w:rStyle w:val="AERbody"/>
        </w:rPr>
        <w:t>risk averse</w:t>
      </w:r>
      <w:r w:rsidR="000E05AF" w:rsidRPr="009319B2">
        <w:rPr>
          <w:rStyle w:val="AERbody"/>
        </w:rPr>
        <w:t xml:space="preserve">. It does not </w:t>
      </w:r>
      <w:r w:rsidR="008C470F">
        <w:t xml:space="preserve">evidence a holistic and strategic consideration or assessment of TransGrid's entire forecast capex program at a portfolio level, and how the timing and prioritisation of </w:t>
      </w:r>
      <w:r w:rsidR="008C470F" w:rsidRPr="00C01ECB">
        <w:t xml:space="preserve">certain capital projects or programs </w:t>
      </w:r>
      <w:r w:rsidR="001F7B8C">
        <w:t>have</w:t>
      </w:r>
      <w:r w:rsidR="008C470F">
        <w:t xml:space="preserve"> been determined over both the short and the long-term.</w:t>
      </w:r>
    </w:p>
    <w:p w:rsidR="000E05AF" w:rsidRDefault="000E05AF" w:rsidP="000E05AF">
      <w:pPr>
        <w:pStyle w:val="HeadingBoldBlue"/>
      </w:pPr>
      <w:r>
        <w:t xml:space="preserve">Security and </w:t>
      </w:r>
      <w:r w:rsidR="009515E6">
        <w:t>c</w:t>
      </w:r>
      <w:r>
        <w:t xml:space="preserve">ompliance </w:t>
      </w:r>
      <w:r w:rsidR="009515E6">
        <w:t>c</w:t>
      </w:r>
      <w:r>
        <w:t>apex</w:t>
      </w:r>
    </w:p>
    <w:p w:rsidR="005A7F37" w:rsidRDefault="000E05AF" w:rsidP="000E05AF">
      <w:pPr>
        <w:rPr>
          <w:rStyle w:val="AERbody"/>
        </w:rPr>
      </w:pPr>
      <w:r>
        <w:t>TransGrid proposed $129.6 million</w:t>
      </w:r>
      <w:r w:rsidRPr="00986422">
        <w:rPr>
          <w:rStyle w:val="AERbody"/>
        </w:rPr>
        <w:t xml:space="preserve"> </w:t>
      </w:r>
      <w:r>
        <w:rPr>
          <w:rStyle w:val="AERbody"/>
        </w:rPr>
        <w:t xml:space="preserve">($2013–14) </w:t>
      </w:r>
      <w:r w:rsidRPr="006C24E0">
        <w:rPr>
          <w:rStyle w:val="AERbody"/>
        </w:rPr>
        <w:t xml:space="preserve">for </w:t>
      </w:r>
      <w:r>
        <w:rPr>
          <w:rStyle w:val="AERbody"/>
        </w:rPr>
        <w:t xml:space="preserve">forecast </w:t>
      </w:r>
      <w:r w:rsidRPr="006C24E0">
        <w:rPr>
          <w:rStyle w:val="AERbody"/>
        </w:rPr>
        <w:t xml:space="preserve">security and compliance </w:t>
      </w:r>
      <w:r>
        <w:rPr>
          <w:rStyle w:val="AERbody"/>
        </w:rPr>
        <w:t>capex, which is a threefold increase on actual expenditure in the 2009–14 period</w:t>
      </w:r>
      <w:r w:rsidRPr="00F12399">
        <w:rPr>
          <w:rStyle w:val="AERbody"/>
        </w:rPr>
        <w:t>.</w:t>
      </w:r>
      <w:r w:rsidRPr="00986422">
        <w:rPr>
          <w:rStyle w:val="AERbody"/>
        </w:rPr>
        <w:t xml:space="preserve"> </w:t>
      </w:r>
      <w:r>
        <w:rPr>
          <w:rStyle w:val="AERbody"/>
        </w:rPr>
        <w:t>We do not accept that TransGrid's estimate reasonably reflects the required expenditure and have instead included an estimate of $46</w:t>
      </w:r>
      <w:r w:rsidR="00114245">
        <w:rPr>
          <w:rStyle w:val="AERbody"/>
        </w:rPr>
        <w:t> </w:t>
      </w:r>
      <w:r>
        <w:rPr>
          <w:rStyle w:val="AERbody"/>
        </w:rPr>
        <w:t xml:space="preserve">million. </w:t>
      </w:r>
    </w:p>
    <w:p w:rsidR="000E05AF" w:rsidRDefault="000E05AF" w:rsidP="00F02D30">
      <w:pPr>
        <w:rPr>
          <w:rStyle w:val="AERbody"/>
        </w:rPr>
      </w:pPr>
      <w:r w:rsidRPr="00E9414E">
        <w:rPr>
          <w:rStyle w:val="AERbody"/>
        </w:rPr>
        <w:t xml:space="preserve">The majority of this capex is </w:t>
      </w:r>
      <w:r>
        <w:rPr>
          <w:rStyle w:val="AERbody"/>
        </w:rPr>
        <w:t>to remedy transmission spans that TransGrid ha</w:t>
      </w:r>
      <w:r w:rsidR="005A7F37">
        <w:rPr>
          <w:rStyle w:val="AERbody"/>
        </w:rPr>
        <w:t>s</w:t>
      </w:r>
      <w:r>
        <w:rPr>
          <w:rStyle w:val="AERbody"/>
        </w:rPr>
        <w:t xml:space="preserve"> assessed as having insufficient ground clearance f</w:t>
      </w:r>
      <w:r w:rsidRPr="006C24E0">
        <w:rPr>
          <w:rStyle w:val="AERbody"/>
        </w:rPr>
        <w:t>ollowing an Aerial Laser Survey (ALS)</w:t>
      </w:r>
      <w:r>
        <w:rPr>
          <w:rStyle w:val="AERbody"/>
        </w:rPr>
        <w:t>.</w:t>
      </w:r>
      <w:r w:rsidR="005A7F37">
        <w:rPr>
          <w:rStyle w:val="AERbody"/>
        </w:rPr>
        <w:t xml:space="preserve"> </w:t>
      </w:r>
      <w:r>
        <w:rPr>
          <w:rStyle w:val="AERbody"/>
        </w:rPr>
        <w:t>We note that ground clearance is something that, in many cases</w:t>
      </w:r>
      <w:r w:rsidR="002B60D2">
        <w:rPr>
          <w:rStyle w:val="AERbody"/>
        </w:rPr>
        <w:t>,</w:t>
      </w:r>
      <w:r>
        <w:rPr>
          <w:rStyle w:val="AERbody"/>
        </w:rPr>
        <w:t xml:space="preserve"> can be managed by TransGrid. Indeed, there are examples of TransGrid managing the risks </w:t>
      </w:r>
      <w:r w:rsidRPr="006C24E0">
        <w:rPr>
          <w:rStyle w:val="AERbody"/>
        </w:rPr>
        <w:t>through the use of relatively low cost measures such as fencing and signage.</w:t>
      </w:r>
      <w:r>
        <w:rPr>
          <w:rStyle w:val="AERbody"/>
        </w:rPr>
        <w:t xml:space="preserve"> We sampled approximately 23 per cent of the $81.1 million proposed to address the transmission low spans issue. Our review found that </w:t>
      </w:r>
      <w:r w:rsidRPr="009319B2">
        <w:rPr>
          <w:rStyle w:val="AERbody"/>
        </w:rPr>
        <w:t xml:space="preserve">same systemic issues </w:t>
      </w:r>
      <w:r>
        <w:rPr>
          <w:rStyle w:val="AERbody"/>
        </w:rPr>
        <w:t xml:space="preserve">found in </w:t>
      </w:r>
      <w:r w:rsidR="008841F1">
        <w:rPr>
          <w:rStyle w:val="AERbody"/>
        </w:rPr>
        <w:t>its</w:t>
      </w:r>
      <w:r>
        <w:rPr>
          <w:rStyle w:val="AERbody"/>
        </w:rPr>
        <w:t xml:space="preserve"> repex forecast are </w:t>
      </w:r>
      <w:r w:rsidRPr="009319B2">
        <w:rPr>
          <w:rStyle w:val="AERbody"/>
        </w:rPr>
        <w:t xml:space="preserve">particularly prevalent in TransGrid's risk assessment of its low transmission line spans. </w:t>
      </w:r>
      <w:r>
        <w:rPr>
          <w:rStyle w:val="AERbody"/>
        </w:rPr>
        <w:t xml:space="preserve">This reflects </w:t>
      </w:r>
      <w:r w:rsidRPr="006C24E0">
        <w:rPr>
          <w:rStyle w:val="AERbody"/>
        </w:rPr>
        <w:t>a bias towards options that seek to eliminate the hazard</w:t>
      </w:r>
      <w:r>
        <w:rPr>
          <w:rStyle w:val="AERbody"/>
        </w:rPr>
        <w:t xml:space="preserve">, rather than seeking out more efficient management options. This </w:t>
      </w:r>
      <w:r w:rsidRPr="006C24E0">
        <w:rPr>
          <w:rStyle w:val="AERbody"/>
        </w:rPr>
        <w:t>result</w:t>
      </w:r>
      <w:r>
        <w:rPr>
          <w:rStyle w:val="AERbody"/>
        </w:rPr>
        <w:t>s</w:t>
      </w:r>
      <w:r w:rsidRPr="006C24E0">
        <w:rPr>
          <w:rStyle w:val="AERbody"/>
        </w:rPr>
        <w:t xml:space="preserve"> in cost estimates that are not efficient and prudent</w:t>
      </w:r>
      <w:r>
        <w:rPr>
          <w:rStyle w:val="AERbody"/>
        </w:rPr>
        <w:t xml:space="preserve">. </w:t>
      </w:r>
    </w:p>
    <w:p w:rsidR="000E05AF" w:rsidRPr="009319B2" w:rsidRDefault="000E05AF" w:rsidP="000E05AF">
      <w:pPr>
        <w:pStyle w:val="AERbodytext"/>
        <w:rPr>
          <w:rStyle w:val="AERbody"/>
        </w:rPr>
      </w:pPr>
      <w:r w:rsidRPr="009319B2">
        <w:rPr>
          <w:rStyle w:val="AERbody"/>
        </w:rPr>
        <w:t xml:space="preserve">Our view is TransGrid's proposed forecast capex associated with low transmission spans should be reduced by 85 per cent. </w:t>
      </w:r>
      <w:r w:rsidR="00F86F50">
        <w:rPr>
          <w:rStyle w:val="AERbody"/>
        </w:rPr>
        <w:t>However, w</w:t>
      </w:r>
      <w:r w:rsidR="002B60D2">
        <w:rPr>
          <w:rStyle w:val="AERbody"/>
        </w:rPr>
        <w:t>e</w:t>
      </w:r>
      <w:r w:rsidRPr="009319B2">
        <w:rPr>
          <w:rStyle w:val="AERbody"/>
        </w:rPr>
        <w:t xml:space="preserve"> have reduced the remainder of TransGrid's proposed security and compliance capex by </w:t>
      </w:r>
      <w:r w:rsidR="00F86F50">
        <w:rPr>
          <w:rStyle w:val="AERbody"/>
        </w:rPr>
        <w:t xml:space="preserve">only </w:t>
      </w:r>
      <w:r w:rsidRPr="009319B2">
        <w:rPr>
          <w:rStyle w:val="AERbody"/>
        </w:rPr>
        <w:t>30 per cent, consistent with our views on TransGrid's proposed forecast repex.</w:t>
      </w:r>
      <w:r w:rsidR="00093F9C">
        <w:rPr>
          <w:rStyle w:val="AERbody"/>
        </w:rPr>
        <w:t xml:space="preserve"> While not targeted for the same detailed review as low transmission spans, we consider the systemic issues EMCa has identified in its review of </w:t>
      </w:r>
      <w:r w:rsidR="002B60D2">
        <w:rPr>
          <w:rStyle w:val="AERbody"/>
        </w:rPr>
        <w:t xml:space="preserve">TransGrid's </w:t>
      </w:r>
      <w:r w:rsidR="00093F9C">
        <w:rPr>
          <w:rStyle w:val="AERbody"/>
        </w:rPr>
        <w:t>repex proposal are equally prevalent here.</w:t>
      </w:r>
    </w:p>
    <w:p w:rsidR="000E05AF" w:rsidRPr="00A743F3" w:rsidRDefault="000E05AF" w:rsidP="00A743F3">
      <w:pPr>
        <w:pStyle w:val="HeadingBoldBlue"/>
        <w:rPr>
          <w:rStyle w:val="AERbody"/>
          <w:rFonts w:eastAsia="Calibri"/>
          <w:color w:val="365F91" w:themeColor="accent1" w:themeShade="BF"/>
          <w:sz w:val="24"/>
        </w:rPr>
      </w:pPr>
      <w:r w:rsidRPr="00A743F3">
        <w:rPr>
          <w:rStyle w:val="AERbody"/>
          <w:rFonts w:eastAsia="Calibri"/>
          <w:color w:val="365F91" w:themeColor="accent1" w:themeShade="BF"/>
          <w:sz w:val="24"/>
        </w:rPr>
        <w:t>Growth-related capex</w:t>
      </w:r>
    </w:p>
    <w:p w:rsidR="000E05AF" w:rsidRDefault="000E05AF" w:rsidP="000E05AF">
      <w:r w:rsidRPr="00E9414E">
        <w:t>We have accepted TransGrid's proposed forecast augex of $65.</w:t>
      </w:r>
      <w:r w:rsidR="009C6204">
        <w:t>1</w:t>
      </w:r>
      <w:r w:rsidRPr="00E9414E">
        <w:t xml:space="preserve"> million ($2013–14) and will include this in our estimate of forecast capex. The significant reduction in forecast augex</w:t>
      </w:r>
      <w:r w:rsidR="004A2E79">
        <w:t xml:space="preserve"> compared with historical augex</w:t>
      </w:r>
      <w:r w:rsidRPr="00E9414E">
        <w:t xml:space="preserve"> aligns with the low levels of demand growth forecast over the 2014–2018 period. We have also taken into account the independent assessment by AEMO which found that there is a justified network need for TransGrid’s two key augex projects.</w:t>
      </w:r>
    </w:p>
    <w:p w:rsidR="000E05AF" w:rsidRPr="000E05AF" w:rsidRDefault="000E05AF" w:rsidP="000E05AF">
      <w:pPr>
        <w:pStyle w:val="AERbodytext"/>
        <w:rPr>
          <w:rFonts w:eastAsia="Calibri"/>
        </w:rPr>
      </w:pPr>
      <w:r w:rsidRPr="00A5376A">
        <w:lastRenderedPageBreak/>
        <w:t xml:space="preserve">We have </w:t>
      </w:r>
      <w:r>
        <w:t xml:space="preserve">also </w:t>
      </w:r>
      <w:r w:rsidRPr="00A5376A">
        <w:t xml:space="preserve">accepted </w:t>
      </w:r>
      <w:r w:rsidR="00282800">
        <w:t>Tran</w:t>
      </w:r>
      <w:r w:rsidRPr="00A5376A">
        <w:t>s</w:t>
      </w:r>
      <w:r w:rsidR="004D664D">
        <w:t>G</w:t>
      </w:r>
      <w:r w:rsidRPr="00A5376A">
        <w:t>rid’s connections forecast of $</w:t>
      </w:r>
      <w:r w:rsidR="005A7F37">
        <w:t>6.9</w:t>
      </w:r>
      <w:r w:rsidR="009C6204">
        <w:t>8</w:t>
      </w:r>
      <w:r w:rsidRPr="00A5376A">
        <w:t xml:space="preserve"> million ($2013</w:t>
      </w:r>
      <w:r w:rsidR="00C2312A">
        <w:rPr>
          <w:rFonts w:cs="Gautami"/>
        </w:rPr>
        <w:t>–</w:t>
      </w:r>
      <w:r w:rsidRPr="00A5376A">
        <w:t>2014) as it is consistent with the forecast drivers in construction activity in commercial and industrial, and multi-dwelling residential premises.</w:t>
      </w:r>
    </w:p>
    <w:p w:rsidR="000E05AF" w:rsidRPr="000E05AF" w:rsidRDefault="000E05AF" w:rsidP="000E05AF">
      <w:pPr>
        <w:pStyle w:val="HeadingBoldBlue"/>
        <w:rPr>
          <w:rStyle w:val="AERbody"/>
          <w:rFonts w:eastAsia="Calibri"/>
          <w:color w:val="365F91" w:themeColor="accent1" w:themeShade="BF"/>
          <w:sz w:val="24"/>
        </w:rPr>
      </w:pPr>
      <w:r w:rsidRPr="000E05AF">
        <w:rPr>
          <w:rStyle w:val="AERbody"/>
          <w:rFonts w:eastAsia="Calibri"/>
          <w:color w:val="365F91" w:themeColor="accent1" w:themeShade="BF"/>
          <w:sz w:val="24"/>
        </w:rPr>
        <w:t xml:space="preserve">Non-network expenditure </w:t>
      </w:r>
    </w:p>
    <w:p w:rsidR="000E05AF" w:rsidRPr="006C24E0" w:rsidRDefault="000E05AF" w:rsidP="000E05AF">
      <w:pPr>
        <w:pStyle w:val="AERbodytext"/>
      </w:pPr>
      <w:r w:rsidRPr="006C24E0">
        <w:t>TransGrid forecast total non-network</w:t>
      </w:r>
      <w:r w:rsidR="00C2312A">
        <w:t xml:space="preserve"> capex of $145.7 million ($2013</w:t>
      </w:r>
      <w:r w:rsidR="00C2312A">
        <w:rPr>
          <w:rFonts w:cs="Gautami"/>
        </w:rPr>
        <w:t>–</w:t>
      </w:r>
      <w:r w:rsidRPr="006C24E0">
        <w:t xml:space="preserve">14) for the </w:t>
      </w:r>
      <w:r>
        <w:t>2014–18</w:t>
      </w:r>
      <w:r w:rsidRPr="006C24E0">
        <w:t xml:space="preserve"> period.</w:t>
      </w:r>
      <w:r w:rsidRPr="006C24E0">
        <w:rPr>
          <w:rStyle w:val="FootnoteReference"/>
        </w:rPr>
        <w:footnoteReference w:id="94"/>
      </w:r>
      <w:r w:rsidRPr="006C24E0">
        <w:t xml:space="preserve"> This includes capex on information and communications technology, buildings and property, motor vehicles, and other plant and equipment. As part of our assessment of the total capex required for the </w:t>
      </w:r>
      <w:r>
        <w:t>2014–18</w:t>
      </w:r>
      <w:r w:rsidRPr="006C24E0">
        <w:t xml:space="preserve"> period, we accept TransGrid's forecast of non-network capex </w:t>
      </w:r>
      <w:r w:rsidR="00114245">
        <w:t>as</w:t>
      </w:r>
      <w:r w:rsidRPr="006C24E0">
        <w:t xml:space="preserve"> a reasonable estimate of the efficient costs required for this capex category. We have included it in our estimate of total capex for the 2014-</w:t>
      </w:r>
      <w:r w:rsidR="002B60D2">
        <w:t>18</w:t>
      </w:r>
      <w:r w:rsidR="002B60D2" w:rsidRPr="006C24E0">
        <w:t xml:space="preserve"> </w:t>
      </w:r>
      <w:r w:rsidRPr="006C24E0">
        <w:t>period.</w:t>
      </w:r>
      <w:r w:rsidRPr="006C24E0">
        <w:rPr>
          <w:rStyle w:val="FootnoteReference"/>
        </w:rPr>
        <w:footnoteReference w:id="95"/>
      </w:r>
      <w:r w:rsidRPr="006C24E0">
        <w:t xml:space="preserve"> </w:t>
      </w:r>
    </w:p>
    <w:p w:rsidR="000E05AF" w:rsidRPr="000E05AF" w:rsidRDefault="000E05AF" w:rsidP="000E05AF">
      <w:pPr>
        <w:pStyle w:val="HeadingBoldBlue"/>
        <w:rPr>
          <w:rFonts w:eastAsia="Calibri"/>
        </w:rPr>
      </w:pPr>
      <w:r w:rsidRPr="000E05AF">
        <w:rPr>
          <w:rFonts w:eastAsia="Calibri"/>
        </w:rPr>
        <w:t xml:space="preserve">Strategic </w:t>
      </w:r>
      <w:r w:rsidR="005A7F37">
        <w:rPr>
          <w:rFonts w:eastAsia="Calibri"/>
        </w:rPr>
        <w:t>property</w:t>
      </w:r>
      <w:r w:rsidR="005A7F37" w:rsidRPr="000E05AF">
        <w:rPr>
          <w:rFonts w:eastAsia="Calibri"/>
        </w:rPr>
        <w:t xml:space="preserve"> </w:t>
      </w:r>
      <w:r w:rsidR="00A743F3">
        <w:rPr>
          <w:rFonts w:eastAsia="Calibri"/>
        </w:rPr>
        <w:t>acquisitions</w:t>
      </w:r>
    </w:p>
    <w:p w:rsidR="000E05AF" w:rsidRPr="00E24E23" w:rsidRDefault="000E05AF" w:rsidP="000E05AF">
      <w:pPr>
        <w:pStyle w:val="AERbodytext"/>
      </w:pPr>
      <w:r w:rsidRPr="00E24E23">
        <w:t xml:space="preserve">Strategic property acquisition is the acquisition of land or easements for future use beyond the regulatory control period in which they are acquired. TransGrid forecast capex of </w:t>
      </w:r>
      <w:r w:rsidR="00C2312A">
        <w:t>$114.7 million ($2013</w:t>
      </w:r>
      <w:r w:rsidR="00C2312A">
        <w:rPr>
          <w:rFonts w:cs="Gautami"/>
        </w:rPr>
        <w:t>–</w:t>
      </w:r>
      <w:r w:rsidRPr="00E24E23">
        <w:t>14) for seven strategic property acquisitions.</w:t>
      </w:r>
      <w:r w:rsidRPr="00E24E23">
        <w:rPr>
          <w:rStyle w:val="FootnoteReference"/>
        </w:rPr>
        <w:footnoteReference w:id="96"/>
      </w:r>
      <w:r w:rsidRPr="00E24E23">
        <w:t xml:space="preserve"> We are not satisfied that TransGrid has accurately forecast the costs or demonstrated the need for all of the proposed acquisitions. As part of our assessment of total capex required for the 2014-18 period, we consider that forecas</w:t>
      </w:r>
      <w:r w:rsidR="00C2312A">
        <w:t>t capex of $10.9 million ($2013</w:t>
      </w:r>
      <w:r w:rsidR="00C2312A">
        <w:rPr>
          <w:rFonts w:cs="Gautami"/>
        </w:rPr>
        <w:t>–</w:t>
      </w:r>
      <w:r w:rsidRPr="00E24E23">
        <w:t>14) is a reasonable estimate of what is required by TransGrid for strategic property acquisitions. We have included this amount in our estim</w:t>
      </w:r>
      <w:r w:rsidR="00C2312A">
        <w:t>ate of total capex for the 2014</w:t>
      </w:r>
      <w:r w:rsidR="00C2312A">
        <w:rPr>
          <w:rFonts w:cs="Gautami"/>
        </w:rPr>
        <w:t>–</w:t>
      </w:r>
      <w:r w:rsidRPr="00E24E23">
        <w:t>18 period.</w:t>
      </w:r>
      <w:r w:rsidRPr="00E24E23">
        <w:rPr>
          <w:rStyle w:val="FootnoteReference"/>
        </w:rPr>
        <w:footnoteReference w:id="97"/>
      </w:r>
    </w:p>
    <w:p w:rsidR="000E05AF" w:rsidRPr="000E05AF" w:rsidRDefault="000E05AF" w:rsidP="000E05AF">
      <w:pPr>
        <w:pStyle w:val="AERbodytext"/>
        <w:rPr>
          <w:rFonts w:eastAsia="Calibri"/>
        </w:rPr>
      </w:pPr>
      <w:r>
        <w:t xml:space="preserve">Given that we are in a period of low maximum demand growth and limited augmentation requirements, we consider that TransGrid's forecast strategic property capex program warranted detailed review to confirm the need and timing for the proposed expenditure. Following this review we conclude that </w:t>
      </w:r>
      <w:r w:rsidR="00290EBC">
        <w:t>TransGrid ha</w:t>
      </w:r>
      <w:r w:rsidR="00114245">
        <w:t>s</w:t>
      </w:r>
      <w:r w:rsidR="00290EBC">
        <w:t xml:space="preserve"> not justified the</w:t>
      </w:r>
      <w:r>
        <w:t xml:space="preserve"> need for </w:t>
      </w:r>
      <w:r w:rsidR="001F7B8C">
        <w:t xml:space="preserve">five </w:t>
      </w:r>
      <w:r>
        <w:t xml:space="preserve">of the </w:t>
      </w:r>
      <w:r w:rsidR="00290EBC">
        <w:t xml:space="preserve">proposed </w:t>
      </w:r>
      <w:r>
        <w:t>acquisitions. However, we consider that TransGrid ha</w:t>
      </w:r>
      <w:r w:rsidR="00AB264B">
        <w:t>s</w:t>
      </w:r>
      <w:r>
        <w:t xml:space="preserve"> justified the need for easements to be purchased </w:t>
      </w:r>
      <w:r w:rsidR="00AB264B">
        <w:t>for existing lines in</w:t>
      </w:r>
      <w:r>
        <w:t xml:space="preserve"> the ACT and </w:t>
      </w:r>
      <w:r w:rsidR="00290EBC">
        <w:t>the acquisition of</w:t>
      </w:r>
      <w:r>
        <w:t xml:space="preserve"> </w:t>
      </w:r>
      <w:r w:rsidR="00AB264B">
        <w:t>a site</w:t>
      </w:r>
      <w:r>
        <w:t xml:space="preserve"> for a new substation near Beryl.</w:t>
      </w:r>
    </w:p>
    <w:p w:rsidR="000E05AF" w:rsidRDefault="000E05AF" w:rsidP="000E05AF">
      <w:pPr>
        <w:pStyle w:val="HeadingBoldBlue"/>
      </w:pPr>
      <w:r>
        <w:t>Contingent Projects</w:t>
      </w:r>
    </w:p>
    <w:p w:rsidR="000E05AF" w:rsidRDefault="000E05AF" w:rsidP="000E05AF">
      <w:pPr>
        <w:pStyle w:val="AERbodytext"/>
      </w:pPr>
      <w:r>
        <w:t xml:space="preserve">Contingent projects are significant capex projects that may arise in the regulatory control period, but the event or the costs associated with the event </w:t>
      </w:r>
      <w:r w:rsidR="00FF4406">
        <w:t>are</w:t>
      </w:r>
      <w:r>
        <w:t xml:space="preserve"> uncertain.</w:t>
      </w:r>
      <w:r>
        <w:rPr>
          <w:rStyle w:val="FootnoteReference"/>
        </w:rPr>
        <w:footnoteReference w:id="98"/>
      </w:r>
      <w:r>
        <w:t xml:space="preserve"> A TNSP's forecast capex does not include expenditure for these projects because they are linked to unique investment drivers (such as expectations of growth in a particular region) known as 'trigger events'. </w:t>
      </w:r>
    </w:p>
    <w:p w:rsidR="000E05AF" w:rsidRDefault="000E05AF" w:rsidP="000E05AF">
      <w:pPr>
        <w:pStyle w:val="AERbodytext"/>
      </w:pPr>
      <w:r w:rsidRPr="005E6D2A">
        <w:t xml:space="preserve">We have not approved </w:t>
      </w:r>
      <w:r w:rsidR="00093F9C">
        <w:t>the</w:t>
      </w:r>
      <w:r w:rsidRPr="005E6D2A">
        <w:t xml:space="preserve"> contingent project proposed by TransGrid for </w:t>
      </w:r>
      <w:r w:rsidR="00DA4B0D">
        <w:t>'</w:t>
      </w:r>
      <w:r w:rsidRPr="005E6D2A">
        <w:t>Powering Sydney's Future</w:t>
      </w:r>
      <w:r w:rsidR="00DA4B0D">
        <w:t>'</w:t>
      </w:r>
      <w:r w:rsidR="00093F9C">
        <w:t xml:space="preserve">, </w:t>
      </w:r>
      <w:r w:rsidR="008841F1">
        <w:t xml:space="preserve">because </w:t>
      </w:r>
      <w:r w:rsidR="00093F9C">
        <w:t xml:space="preserve">updated demand forecasts suggest </w:t>
      </w:r>
      <w:r w:rsidR="008D08EC">
        <w:t xml:space="preserve">it </w:t>
      </w:r>
      <w:r w:rsidR="00093F9C">
        <w:t>is</w:t>
      </w:r>
      <w:r w:rsidRPr="005E6D2A">
        <w:t xml:space="preserve"> not li</w:t>
      </w:r>
      <w:r w:rsidR="00C2312A">
        <w:t>kely to be required in the 2014</w:t>
      </w:r>
      <w:r w:rsidR="00C2312A">
        <w:rPr>
          <w:rFonts w:cs="Gautami"/>
        </w:rPr>
        <w:t>–</w:t>
      </w:r>
      <w:r w:rsidRPr="005E6D2A">
        <w:t>18 period</w:t>
      </w:r>
      <w:r w:rsidR="00500046">
        <w:t xml:space="preserve">. </w:t>
      </w:r>
      <w:r w:rsidR="0031193A">
        <w:t xml:space="preserve">We have not approved </w:t>
      </w:r>
      <w:r w:rsidR="00130364">
        <w:t>the</w:t>
      </w:r>
      <w:r w:rsidRPr="005E6D2A">
        <w:t xml:space="preserve"> </w:t>
      </w:r>
      <w:r w:rsidR="00093F9C">
        <w:t xml:space="preserve">proposed </w:t>
      </w:r>
      <w:r w:rsidR="0069499A">
        <w:t>'</w:t>
      </w:r>
      <w:r w:rsidR="00093F9C" w:rsidRPr="005E6D2A">
        <w:t>Reinforcement Capacity in Southern New South Wales</w:t>
      </w:r>
      <w:r w:rsidR="0069499A">
        <w:t>'</w:t>
      </w:r>
      <w:r w:rsidR="00093F9C" w:rsidRPr="005E6D2A">
        <w:t xml:space="preserve"> </w:t>
      </w:r>
      <w:r w:rsidR="00093F9C">
        <w:t xml:space="preserve">contingent </w:t>
      </w:r>
      <w:r w:rsidR="00093F9C" w:rsidRPr="005E6D2A">
        <w:t>project</w:t>
      </w:r>
      <w:r w:rsidR="0031193A">
        <w:t>, because</w:t>
      </w:r>
      <w:r w:rsidR="00130364">
        <w:t xml:space="preserve"> the proposed triggers</w:t>
      </w:r>
      <w:r w:rsidR="0039524C">
        <w:t xml:space="preserve"> </w:t>
      </w:r>
      <w:r w:rsidR="00130364">
        <w:t>are</w:t>
      </w:r>
      <w:r w:rsidR="00130364" w:rsidRPr="005E6D2A">
        <w:t xml:space="preserve"> </w:t>
      </w:r>
      <w:r w:rsidRPr="005E6D2A">
        <w:t>inconsistent with the NER</w:t>
      </w:r>
      <w:r w:rsidR="0031193A">
        <w:t>.</w:t>
      </w:r>
      <w:r w:rsidRPr="005E6D2A">
        <w:t xml:space="preserve"> </w:t>
      </w:r>
    </w:p>
    <w:p w:rsidR="003B0D45" w:rsidRPr="009F4C42" w:rsidRDefault="003B0D45" w:rsidP="00E14922">
      <w:pPr>
        <w:pStyle w:val="Heading2"/>
      </w:pPr>
      <w:bookmarkStart w:id="85" w:name="_Toc404437632"/>
      <w:r w:rsidRPr="009F4C42">
        <w:lastRenderedPageBreak/>
        <w:t xml:space="preserve">Operating </w:t>
      </w:r>
      <w:r w:rsidRPr="00E14922">
        <w:t>expenditure</w:t>
      </w:r>
      <w:r w:rsidR="005A7F37">
        <w:t xml:space="preserve"> (opex)</w:t>
      </w:r>
      <w:bookmarkEnd w:id="85"/>
    </w:p>
    <w:p w:rsidR="00C862D1" w:rsidRPr="009F4C42" w:rsidRDefault="005A7F37" w:rsidP="00C862D1">
      <w:pPr>
        <w:pStyle w:val="AERbodytext"/>
      </w:pPr>
      <w:r>
        <w:t>Opex includes</w:t>
      </w:r>
      <w:r w:rsidR="00C862D1" w:rsidRPr="009F4C42">
        <w:t xml:space="preserve"> forecast operating, maintenance and other non-capital costs incurred in the provision of </w:t>
      </w:r>
      <w:r w:rsidR="00C862D1">
        <w:t>transmission</w:t>
      </w:r>
      <w:r w:rsidR="00C862D1" w:rsidRPr="009F4C42">
        <w:t xml:space="preserve"> network services. I</w:t>
      </w:r>
      <w:r w:rsidR="008B04B5">
        <w:t>t</w:t>
      </w:r>
      <w:r w:rsidR="00C862D1" w:rsidRPr="009F4C42">
        <w:t xml:space="preserve"> includes labour costs and other non-capital costs that </w:t>
      </w:r>
      <w:r w:rsidR="008B04B5">
        <w:t>TransG</w:t>
      </w:r>
      <w:r w:rsidR="00C862D1" w:rsidRPr="009F4C42">
        <w:t>rid is likely to require during the 2014–1</w:t>
      </w:r>
      <w:r w:rsidR="008B04B5">
        <w:t>8</w:t>
      </w:r>
      <w:r w:rsidR="00C862D1" w:rsidRPr="009F4C42">
        <w:t xml:space="preserve"> period for the efficient operation of its network</w:t>
      </w:r>
      <w:r w:rsidR="00AF1E1A">
        <w:t>.</w:t>
      </w:r>
      <w:r w:rsidR="00C862D1">
        <w:t xml:space="preserve"> </w:t>
      </w:r>
    </w:p>
    <w:p w:rsidR="003B0D45" w:rsidRPr="009F4C42" w:rsidRDefault="003B0D45" w:rsidP="00E14922">
      <w:pPr>
        <w:pStyle w:val="Heading3"/>
      </w:pPr>
      <w:bookmarkStart w:id="86" w:name="_Toc404437633"/>
      <w:r w:rsidRPr="009F4C42">
        <w:t xml:space="preserve">Draft </w:t>
      </w:r>
      <w:r w:rsidRPr="00E14922">
        <w:t>decision</w:t>
      </w:r>
      <w:bookmarkEnd w:id="86"/>
      <w:r w:rsidRPr="009F4C42">
        <w:t xml:space="preserve"> </w:t>
      </w:r>
    </w:p>
    <w:p w:rsidR="00C862D1" w:rsidRPr="009F4C42" w:rsidRDefault="00C862D1" w:rsidP="00C862D1">
      <w:pPr>
        <w:pStyle w:val="AERbodytext"/>
      </w:pPr>
      <w:r w:rsidRPr="009F4C42">
        <w:t xml:space="preserve">We </w:t>
      </w:r>
      <w:r w:rsidR="0046320A">
        <w:t xml:space="preserve">are not satisfied that </w:t>
      </w:r>
      <w:r w:rsidR="008B04B5">
        <w:t>TransG</w:t>
      </w:r>
      <w:r w:rsidRPr="009F4C42">
        <w:t xml:space="preserve">rid's </w:t>
      </w:r>
      <w:r w:rsidR="0046320A">
        <w:t xml:space="preserve">proposed total forecast </w:t>
      </w:r>
      <w:r w:rsidRPr="009F4C42">
        <w:t xml:space="preserve">opex </w:t>
      </w:r>
      <w:r w:rsidR="0046320A">
        <w:t>reasonably reflects the opex criteria.</w:t>
      </w:r>
      <w:r w:rsidR="0046320A" w:rsidRPr="00BF068A">
        <w:rPr>
          <w:rStyle w:val="FootnoteReference"/>
        </w:rPr>
        <w:footnoteReference w:id="99"/>
      </w:r>
      <w:r w:rsidR="0046320A">
        <w:t xml:space="preserve"> Our estimate of the total forecast opex TransGrid would require over the forecast period is </w:t>
      </w:r>
      <w:r w:rsidRPr="002556AD">
        <w:rPr>
          <w:rStyle w:val="AERbody"/>
        </w:rPr>
        <w:t>$</w:t>
      </w:r>
      <w:r w:rsidR="00882D06">
        <w:rPr>
          <w:rStyle w:val="AERbody"/>
        </w:rPr>
        <w:t>659.7</w:t>
      </w:r>
      <w:r w:rsidR="00D33430" w:rsidRPr="002556AD">
        <w:rPr>
          <w:rStyle w:val="AERbody"/>
        </w:rPr>
        <w:t xml:space="preserve"> </w:t>
      </w:r>
      <w:r w:rsidRPr="002556AD">
        <w:rPr>
          <w:rStyle w:val="AERbody"/>
        </w:rPr>
        <w:t>million ($201</w:t>
      </w:r>
      <w:r w:rsidR="0046320A" w:rsidRPr="002556AD">
        <w:rPr>
          <w:rStyle w:val="AERbody"/>
        </w:rPr>
        <w:t>3</w:t>
      </w:r>
      <w:r w:rsidRPr="002556AD">
        <w:rPr>
          <w:rStyle w:val="AERbody"/>
          <w:rFonts w:hint="eastAsia"/>
        </w:rPr>
        <w:t>–</w:t>
      </w:r>
      <w:r w:rsidRPr="002556AD">
        <w:rPr>
          <w:rStyle w:val="AERbody"/>
        </w:rPr>
        <w:t>1</w:t>
      </w:r>
      <w:r w:rsidR="0046320A" w:rsidRPr="002556AD">
        <w:rPr>
          <w:rStyle w:val="AERbody"/>
        </w:rPr>
        <w:t>4</w:t>
      </w:r>
      <w:r w:rsidRPr="002556AD">
        <w:rPr>
          <w:rStyle w:val="AERbody"/>
        </w:rPr>
        <w:t>)</w:t>
      </w:r>
      <w:r w:rsidR="002556AD">
        <w:rPr>
          <w:rStyle w:val="AERbody"/>
        </w:rPr>
        <w:t>:</w:t>
      </w:r>
      <w:r w:rsidRPr="002556AD">
        <w:rPr>
          <w:rStyle w:val="AERbody"/>
        </w:rPr>
        <w:t xml:space="preserve"> </w:t>
      </w:r>
      <w:r w:rsidR="00882D06" w:rsidRPr="002556AD">
        <w:rPr>
          <w:rStyle w:val="AERbody"/>
        </w:rPr>
        <w:t>1</w:t>
      </w:r>
      <w:r w:rsidR="00882D06">
        <w:rPr>
          <w:rStyle w:val="AERbody"/>
        </w:rPr>
        <w:t>6</w:t>
      </w:r>
      <w:r w:rsidR="00882D06" w:rsidRPr="002556AD">
        <w:rPr>
          <w:rStyle w:val="AERbody"/>
        </w:rPr>
        <w:t xml:space="preserve"> </w:t>
      </w:r>
      <w:r w:rsidRPr="002556AD">
        <w:rPr>
          <w:rStyle w:val="AERbody"/>
        </w:rPr>
        <w:t xml:space="preserve">per cent less than </w:t>
      </w:r>
      <w:r w:rsidR="008B04B5" w:rsidRPr="002556AD">
        <w:rPr>
          <w:rStyle w:val="AERbody"/>
        </w:rPr>
        <w:t>TransG</w:t>
      </w:r>
      <w:r w:rsidRPr="002556AD">
        <w:rPr>
          <w:rStyle w:val="AERbody"/>
        </w:rPr>
        <w:t xml:space="preserve">rid's forecast. </w:t>
      </w:r>
      <w:r w:rsidR="0046320A">
        <w:rPr>
          <w:rStyle w:val="AERbody"/>
        </w:rPr>
        <w:fldChar w:fldCharType="begin"/>
      </w:r>
      <w:r w:rsidR="0046320A">
        <w:rPr>
          <w:rStyle w:val="AERbody"/>
        </w:rPr>
        <w:instrText xml:space="preserve"> REF _Ref402519714 \h </w:instrText>
      </w:r>
      <w:r w:rsidR="0046320A">
        <w:rPr>
          <w:rStyle w:val="AERbody"/>
        </w:rPr>
      </w:r>
      <w:r w:rsidR="0046320A">
        <w:rPr>
          <w:rStyle w:val="AERbody"/>
        </w:rPr>
        <w:fldChar w:fldCharType="separate"/>
      </w:r>
      <w:r w:rsidR="00C71301">
        <w:t xml:space="preserve">Table </w:t>
      </w:r>
      <w:r w:rsidR="00C71301">
        <w:rPr>
          <w:noProof/>
        </w:rPr>
        <w:t>8</w:t>
      </w:r>
      <w:r w:rsidR="00C71301">
        <w:noBreakHyphen/>
      </w:r>
      <w:r w:rsidR="00C71301">
        <w:rPr>
          <w:noProof/>
        </w:rPr>
        <w:t>6</w:t>
      </w:r>
      <w:r w:rsidR="0046320A">
        <w:rPr>
          <w:rStyle w:val="AERbody"/>
        </w:rPr>
        <w:fldChar w:fldCharType="end"/>
      </w:r>
      <w:r w:rsidRPr="002556AD">
        <w:rPr>
          <w:rStyle w:val="AERbody"/>
        </w:rPr>
        <w:t xml:space="preserve"> shows</w:t>
      </w:r>
      <w:r w:rsidRPr="009F4C42">
        <w:t xml:space="preserve"> our draft decision compared to </w:t>
      </w:r>
      <w:r w:rsidR="008B04B5">
        <w:t>TransG</w:t>
      </w:r>
      <w:r w:rsidRPr="009F4C42">
        <w:t xml:space="preserve">rid's </w:t>
      </w:r>
      <w:r w:rsidR="0046320A">
        <w:t>proposal</w:t>
      </w:r>
      <w:r w:rsidRPr="009F4C42">
        <w:t xml:space="preserve">. </w:t>
      </w:r>
    </w:p>
    <w:p w:rsidR="00C862D1" w:rsidRPr="009F4C42" w:rsidRDefault="0046320A" w:rsidP="0046320A">
      <w:pPr>
        <w:pStyle w:val="Caption"/>
        <w:rPr>
          <w:rStyle w:val="AERtextbold"/>
        </w:rPr>
      </w:pPr>
      <w:bookmarkStart w:id="87" w:name="_Ref402519714"/>
      <w:r>
        <w:t xml:space="preserve">Table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65644">
        <w:noBreakHyphen/>
      </w:r>
      <w:r w:rsidR="00864D56">
        <w:fldChar w:fldCharType="begin"/>
      </w:r>
      <w:r w:rsidR="00864D56">
        <w:instrText xml:space="preserve"> SEQ </w:instrText>
      </w:r>
      <w:r w:rsidR="00864D56">
        <w:instrText xml:space="preserve">Table \* ARABIC \s 1 </w:instrText>
      </w:r>
      <w:r w:rsidR="00864D56">
        <w:fldChar w:fldCharType="separate"/>
      </w:r>
      <w:r w:rsidR="00C71301">
        <w:rPr>
          <w:noProof/>
        </w:rPr>
        <w:t>6</w:t>
      </w:r>
      <w:r w:rsidR="00864D56">
        <w:rPr>
          <w:noProof/>
        </w:rPr>
        <w:fldChar w:fldCharType="end"/>
      </w:r>
      <w:bookmarkEnd w:id="87"/>
      <w:r w:rsidR="00C862D1" w:rsidRPr="009F4C42">
        <w:rPr>
          <w:rStyle w:val="AERtextbold"/>
        </w:rPr>
        <w:tab/>
      </w:r>
      <w:r>
        <w:t>TransGrid's proposal compared to o</w:t>
      </w:r>
      <w:r w:rsidRPr="0046320A">
        <w:t>ur draft decision on total opex ($ million 2013–14)</w:t>
      </w:r>
    </w:p>
    <w:tbl>
      <w:tblPr>
        <w:tblStyle w:val="AERtable-numbers"/>
        <w:tblW w:w="5000" w:type="pct"/>
        <w:tblLook w:val="04A0" w:firstRow="1" w:lastRow="0" w:firstColumn="1" w:lastColumn="0" w:noHBand="0" w:noVBand="1"/>
      </w:tblPr>
      <w:tblGrid>
        <w:gridCol w:w="3799"/>
        <w:gridCol w:w="1089"/>
        <w:gridCol w:w="1089"/>
        <w:gridCol w:w="1089"/>
        <w:gridCol w:w="1089"/>
        <w:gridCol w:w="1087"/>
      </w:tblGrid>
      <w:tr w:rsidR="008B04B5" w:rsidTr="00BF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pct"/>
          </w:tcPr>
          <w:p w:rsidR="008B04B5" w:rsidRPr="00C862D1" w:rsidRDefault="008B04B5" w:rsidP="00C862D1">
            <w:pPr>
              <w:pStyle w:val="AERtabletextleft"/>
            </w:pPr>
            <w:r w:rsidRPr="009F4C42">
              <w:t>Year ending 30 June</w:t>
            </w:r>
          </w:p>
        </w:tc>
        <w:tc>
          <w:tcPr>
            <w:tcW w:w="589" w:type="pct"/>
          </w:tcPr>
          <w:p w:rsidR="008B04B5" w:rsidRPr="00C862D1" w:rsidRDefault="008B04B5" w:rsidP="00C862D1">
            <w:pPr>
              <w:pStyle w:val="AERtabletextright"/>
              <w:cnfStyle w:val="100000000000" w:firstRow="1" w:lastRow="0" w:firstColumn="0" w:lastColumn="0" w:oddVBand="0" w:evenVBand="0" w:oddHBand="0" w:evenHBand="0" w:firstRowFirstColumn="0" w:firstRowLastColumn="0" w:lastRowFirstColumn="0" w:lastRowLastColumn="0"/>
            </w:pPr>
            <w:r w:rsidRPr="009F4C42">
              <w:t>2014–15</w:t>
            </w:r>
          </w:p>
        </w:tc>
        <w:tc>
          <w:tcPr>
            <w:tcW w:w="589" w:type="pct"/>
          </w:tcPr>
          <w:p w:rsidR="008B04B5" w:rsidRPr="00C862D1" w:rsidRDefault="008B04B5" w:rsidP="00C862D1">
            <w:pPr>
              <w:pStyle w:val="AERtabletextright"/>
              <w:cnfStyle w:val="100000000000" w:firstRow="1" w:lastRow="0" w:firstColumn="0" w:lastColumn="0" w:oddVBand="0" w:evenVBand="0" w:oddHBand="0" w:evenHBand="0" w:firstRowFirstColumn="0" w:firstRowLastColumn="0" w:lastRowFirstColumn="0" w:lastRowLastColumn="0"/>
            </w:pPr>
            <w:r w:rsidRPr="009F4C42">
              <w:t>2015–16</w:t>
            </w:r>
          </w:p>
        </w:tc>
        <w:tc>
          <w:tcPr>
            <w:tcW w:w="589" w:type="pct"/>
          </w:tcPr>
          <w:p w:rsidR="008B04B5" w:rsidRPr="00C862D1" w:rsidRDefault="008B04B5" w:rsidP="00C862D1">
            <w:pPr>
              <w:pStyle w:val="AERtabletextright"/>
              <w:cnfStyle w:val="100000000000" w:firstRow="1" w:lastRow="0" w:firstColumn="0" w:lastColumn="0" w:oddVBand="0" w:evenVBand="0" w:oddHBand="0" w:evenHBand="0" w:firstRowFirstColumn="0" w:firstRowLastColumn="0" w:lastRowFirstColumn="0" w:lastRowLastColumn="0"/>
            </w:pPr>
            <w:r w:rsidRPr="009F4C42">
              <w:t>2016–17</w:t>
            </w:r>
          </w:p>
        </w:tc>
        <w:tc>
          <w:tcPr>
            <w:tcW w:w="589" w:type="pct"/>
          </w:tcPr>
          <w:p w:rsidR="008B04B5" w:rsidRPr="00C862D1" w:rsidRDefault="008B04B5" w:rsidP="00C862D1">
            <w:pPr>
              <w:pStyle w:val="AERtabletextright"/>
              <w:cnfStyle w:val="100000000000" w:firstRow="1" w:lastRow="0" w:firstColumn="0" w:lastColumn="0" w:oddVBand="0" w:evenVBand="0" w:oddHBand="0" w:evenHBand="0" w:firstRowFirstColumn="0" w:firstRowLastColumn="0" w:lastRowFirstColumn="0" w:lastRowLastColumn="0"/>
            </w:pPr>
            <w:r w:rsidRPr="009F4C42">
              <w:t>2017–18</w:t>
            </w:r>
          </w:p>
        </w:tc>
        <w:tc>
          <w:tcPr>
            <w:tcW w:w="588" w:type="pct"/>
          </w:tcPr>
          <w:p w:rsidR="008B04B5" w:rsidRPr="00C862D1" w:rsidRDefault="008B04B5" w:rsidP="00C862D1">
            <w:pPr>
              <w:pStyle w:val="AERtabletextright"/>
              <w:cnfStyle w:val="100000000000" w:firstRow="1" w:lastRow="0" w:firstColumn="0" w:lastColumn="0" w:oddVBand="0" w:evenVBand="0" w:oddHBand="0" w:evenHBand="0" w:firstRowFirstColumn="0" w:firstRowLastColumn="0" w:lastRowFirstColumn="0" w:lastRowLastColumn="0"/>
            </w:pPr>
            <w:r w:rsidRPr="009F4C42">
              <w:t>Total</w:t>
            </w:r>
          </w:p>
        </w:tc>
      </w:tr>
      <w:tr w:rsidR="00882D06" w:rsidTr="00BF068A">
        <w:tc>
          <w:tcPr>
            <w:cnfStyle w:val="001000000000" w:firstRow="0" w:lastRow="0" w:firstColumn="1" w:lastColumn="0" w:oddVBand="0" w:evenVBand="0" w:oddHBand="0" w:evenHBand="0" w:firstRowFirstColumn="0" w:firstRowLastColumn="0" w:lastRowFirstColumn="0" w:lastRowLastColumn="0"/>
            <w:tcW w:w="2055" w:type="pct"/>
          </w:tcPr>
          <w:p w:rsidR="00882D06" w:rsidRPr="00882D06" w:rsidRDefault="00882D06" w:rsidP="00882D06">
            <w:pPr>
              <w:pStyle w:val="AERtabletextleft"/>
            </w:pPr>
            <w:r w:rsidRPr="00882D06">
              <w:t>TransGrid's proposal</w:t>
            </w:r>
          </w:p>
        </w:tc>
        <w:tc>
          <w:tcPr>
            <w:tcW w:w="589"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187.5</w:t>
            </w:r>
          </w:p>
        </w:tc>
        <w:tc>
          <w:tcPr>
            <w:tcW w:w="589"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196.3</w:t>
            </w:r>
          </w:p>
        </w:tc>
        <w:tc>
          <w:tcPr>
            <w:tcW w:w="589"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202.9</w:t>
            </w:r>
          </w:p>
        </w:tc>
        <w:tc>
          <w:tcPr>
            <w:tcW w:w="589"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197.8</w:t>
            </w:r>
          </w:p>
        </w:tc>
        <w:tc>
          <w:tcPr>
            <w:tcW w:w="588"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784.5</w:t>
            </w:r>
          </w:p>
        </w:tc>
      </w:tr>
      <w:tr w:rsidR="00882D06" w:rsidTr="00BF06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pct"/>
          </w:tcPr>
          <w:p w:rsidR="00882D06" w:rsidRPr="00882D06" w:rsidRDefault="00882D06" w:rsidP="00882D06">
            <w:pPr>
              <w:pStyle w:val="AERtabletextleft"/>
            </w:pPr>
            <w:r w:rsidRPr="00882D06">
              <w:t>AER draft decision</w:t>
            </w:r>
          </w:p>
        </w:tc>
        <w:tc>
          <w:tcPr>
            <w:tcW w:w="589" w:type="pct"/>
            <w:vAlign w:val="top"/>
          </w:tcPr>
          <w:p w:rsidR="00882D06" w:rsidRPr="00882D06" w:rsidRDefault="00882D06" w:rsidP="00882D06">
            <w:pPr>
              <w:pStyle w:val="AERtabletextleft"/>
              <w:cnfStyle w:val="000000010000" w:firstRow="0" w:lastRow="0" w:firstColumn="0" w:lastColumn="0" w:oddVBand="0" w:evenVBand="0" w:oddHBand="0" w:evenHBand="1" w:firstRowFirstColumn="0" w:firstRowLastColumn="0" w:lastRowFirstColumn="0" w:lastRowLastColumn="0"/>
            </w:pPr>
            <w:r w:rsidRPr="00882D06">
              <w:t>166.0</w:t>
            </w:r>
          </w:p>
        </w:tc>
        <w:tc>
          <w:tcPr>
            <w:tcW w:w="589" w:type="pct"/>
            <w:vAlign w:val="top"/>
          </w:tcPr>
          <w:p w:rsidR="00882D06" w:rsidRPr="00882D06" w:rsidRDefault="00882D06" w:rsidP="00882D06">
            <w:pPr>
              <w:pStyle w:val="AERtabletextleft"/>
              <w:cnfStyle w:val="000000010000" w:firstRow="0" w:lastRow="0" w:firstColumn="0" w:lastColumn="0" w:oddVBand="0" w:evenVBand="0" w:oddHBand="0" w:evenHBand="1" w:firstRowFirstColumn="0" w:firstRowLastColumn="0" w:lastRowFirstColumn="0" w:lastRowLastColumn="0"/>
            </w:pPr>
            <w:r w:rsidRPr="00882D06">
              <w:t>164.3</w:t>
            </w:r>
          </w:p>
        </w:tc>
        <w:tc>
          <w:tcPr>
            <w:tcW w:w="589" w:type="pct"/>
            <w:vAlign w:val="top"/>
          </w:tcPr>
          <w:p w:rsidR="00882D06" w:rsidRPr="00882D06" w:rsidRDefault="00882D06" w:rsidP="00882D06">
            <w:pPr>
              <w:pStyle w:val="AERtabletextleft"/>
              <w:cnfStyle w:val="000000010000" w:firstRow="0" w:lastRow="0" w:firstColumn="0" w:lastColumn="0" w:oddVBand="0" w:evenVBand="0" w:oddHBand="0" w:evenHBand="1" w:firstRowFirstColumn="0" w:firstRowLastColumn="0" w:lastRowFirstColumn="0" w:lastRowLastColumn="0"/>
            </w:pPr>
            <w:r w:rsidRPr="00882D06">
              <w:t>164.4</w:t>
            </w:r>
          </w:p>
        </w:tc>
        <w:tc>
          <w:tcPr>
            <w:tcW w:w="589" w:type="pct"/>
            <w:vAlign w:val="top"/>
          </w:tcPr>
          <w:p w:rsidR="00882D06" w:rsidRPr="00882D06" w:rsidRDefault="00882D06" w:rsidP="00882D06">
            <w:pPr>
              <w:pStyle w:val="AERtabletextleft"/>
              <w:cnfStyle w:val="000000010000" w:firstRow="0" w:lastRow="0" w:firstColumn="0" w:lastColumn="0" w:oddVBand="0" w:evenVBand="0" w:oddHBand="0" w:evenHBand="1" w:firstRowFirstColumn="0" w:firstRowLastColumn="0" w:lastRowFirstColumn="0" w:lastRowLastColumn="0"/>
            </w:pPr>
            <w:r w:rsidRPr="00882D06">
              <w:t>165.0</w:t>
            </w:r>
          </w:p>
        </w:tc>
        <w:tc>
          <w:tcPr>
            <w:tcW w:w="588" w:type="pct"/>
            <w:vAlign w:val="top"/>
          </w:tcPr>
          <w:p w:rsidR="00882D06" w:rsidRPr="00882D06" w:rsidRDefault="00882D06" w:rsidP="00882D06">
            <w:pPr>
              <w:pStyle w:val="AERtabletextleft"/>
              <w:cnfStyle w:val="000000010000" w:firstRow="0" w:lastRow="0" w:firstColumn="0" w:lastColumn="0" w:oddVBand="0" w:evenVBand="0" w:oddHBand="0" w:evenHBand="1" w:firstRowFirstColumn="0" w:firstRowLastColumn="0" w:lastRowFirstColumn="0" w:lastRowLastColumn="0"/>
            </w:pPr>
            <w:r w:rsidRPr="00882D06">
              <w:t>659.7</w:t>
            </w:r>
          </w:p>
        </w:tc>
      </w:tr>
      <w:tr w:rsidR="00882D06" w:rsidTr="00BF068A">
        <w:tc>
          <w:tcPr>
            <w:cnfStyle w:val="001000000000" w:firstRow="0" w:lastRow="0" w:firstColumn="1" w:lastColumn="0" w:oddVBand="0" w:evenVBand="0" w:oddHBand="0" w:evenHBand="0" w:firstRowFirstColumn="0" w:firstRowLastColumn="0" w:lastRowFirstColumn="0" w:lastRowLastColumn="0"/>
            <w:tcW w:w="2055" w:type="pct"/>
          </w:tcPr>
          <w:p w:rsidR="00882D06" w:rsidRPr="00882D06" w:rsidRDefault="00882D06" w:rsidP="00882D06">
            <w:pPr>
              <w:pStyle w:val="AERtabletextleft"/>
            </w:pPr>
            <w:r w:rsidRPr="00882D06">
              <w:t>Difference</w:t>
            </w:r>
          </w:p>
        </w:tc>
        <w:tc>
          <w:tcPr>
            <w:tcW w:w="589"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-21.4</w:t>
            </w:r>
          </w:p>
        </w:tc>
        <w:tc>
          <w:tcPr>
            <w:tcW w:w="589"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-31.9</w:t>
            </w:r>
          </w:p>
        </w:tc>
        <w:tc>
          <w:tcPr>
            <w:tcW w:w="589"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-38.6</w:t>
            </w:r>
          </w:p>
        </w:tc>
        <w:tc>
          <w:tcPr>
            <w:tcW w:w="589"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-32.8</w:t>
            </w:r>
          </w:p>
        </w:tc>
        <w:tc>
          <w:tcPr>
            <w:tcW w:w="588" w:type="pct"/>
            <w:vAlign w:val="top"/>
          </w:tcPr>
          <w:p w:rsidR="00882D06" w:rsidRPr="00882D06" w:rsidRDefault="00882D06" w:rsidP="00882D06">
            <w:pPr>
              <w:pStyle w:val="AERtabletextleft"/>
              <w:cnfStyle w:val="000000000000" w:firstRow="0" w:lastRow="0" w:firstColumn="0" w:lastColumn="0" w:oddVBand="0" w:evenVBand="0" w:oddHBand="0" w:evenHBand="0" w:firstRowFirstColumn="0" w:firstRowLastColumn="0" w:lastRowFirstColumn="0" w:lastRowLastColumn="0"/>
            </w:pPr>
            <w:r w:rsidRPr="00882D06">
              <w:t>-124.8</w:t>
            </w:r>
          </w:p>
        </w:tc>
      </w:tr>
    </w:tbl>
    <w:p w:rsidR="00C862D1" w:rsidRDefault="00C862D1" w:rsidP="00C862D1">
      <w:pPr>
        <w:pStyle w:val="AERtablesource"/>
      </w:pPr>
      <w:r w:rsidRPr="009F4C42">
        <w:t>Source:</w:t>
      </w:r>
      <w:r w:rsidR="00BF068A">
        <w:tab/>
        <w:t>AER analysis.</w:t>
      </w:r>
    </w:p>
    <w:p w:rsidR="00BF068A" w:rsidRDefault="00BF068A" w:rsidP="00BF068A">
      <w:pPr>
        <w:pStyle w:val="AERtablesource"/>
      </w:pPr>
      <w:r>
        <w:t>Note:</w:t>
      </w:r>
      <w:r>
        <w:tab/>
        <w:t>Includes debt raising costs</w:t>
      </w:r>
      <w:r w:rsidR="00C2312A">
        <w:t>.</w:t>
      </w:r>
    </w:p>
    <w:p w:rsidR="00A143DD" w:rsidRPr="008C7A10" w:rsidRDefault="004431B0" w:rsidP="00A143DD">
      <w:pPr>
        <w:pStyle w:val="AERbodytext"/>
        <w:rPr>
          <w:rStyle w:val="AERbody"/>
        </w:rPr>
      </w:pPr>
      <w:r>
        <w:rPr>
          <w:rStyle w:val="AERbody"/>
        </w:rPr>
        <w:fldChar w:fldCharType="begin"/>
      </w:r>
      <w:r>
        <w:rPr>
          <w:rStyle w:val="AERbody"/>
        </w:rPr>
        <w:instrText xml:space="preserve"> REF _Ref402866154 \h </w:instrText>
      </w:r>
      <w:r>
        <w:rPr>
          <w:rStyle w:val="AERbody"/>
        </w:rPr>
      </w:r>
      <w:r>
        <w:rPr>
          <w:rStyle w:val="AERbody"/>
        </w:rPr>
        <w:fldChar w:fldCharType="separate"/>
      </w:r>
      <w:r w:rsidR="00C71301">
        <w:t xml:space="preserve">Figure </w:t>
      </w:r>
      <w:r w:rsidR="00C71301">
        <w:rPr>
          <w:noProof/>
        </w:rPr>
        <w:t>8</w:t>
      </w:r>
      <w:r w:rsidR="00C71301">
        <w:noBreakHyphen/>
      </w:r>
      <w:r w:rsidR="00C71301">
        <w:rPr>
          <w:noProof/>
        </w:rPr>
        <w:t>4</w:t>
      </w:r>
      <w:r>
        <w:rPr>
          <w:rStyle w:val="AERbody"/>
        </w:rPr>
        <w:fldChar w:fldCharType="end"/>
      </w:r>
      <w:r w:rsidR="004B4F91">
        <w:rPr>
          <w:rStyle w:val="AERbody"/>
        </w:rPr>
        <w:t xml:space="preserve"> </w:t>
      </w:r>
      <w:r w:rsidR="00A143DD" w:rsidRPr="008C7A10">
        <w:rPr>
          <w:rStyle w:val="AERbody"/>
        </w:rPr>
        <w:t>show</w:t>
      </w:r>
      <w:r w:rsidR="00A143DD">
        <w:rPr>
          <w:rStyle w:val="AERbody"/>
        </w:rPr>
        <w:t>s our draft decision compared to TransGrid's proposal, its past allowances and past actual expenditure.</w:t>
      </w:r>
    </w:p>
    <w:p w:rsidR="00A143DD" w:rsidRDefault="00A143DD" w:rsidP="00731102">
      <w:pPr>
        <w:pStyle w:val="Caption"/>
      </w:pPr>
      <w:bookmarkStart w:id="88" w:name="_Ref402866154"/>
      <w:bookmarkStart w:id="89" w:name="_Ref402339483"/>
      <w:r>
        <w:lastRenderedPageBreak/>
        <w:t xml:space="preserve">Figure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75C12">
        <w:noBreakHyphen/>
      </w:r>
      <w:r w:rsidR="00864D56">
        <w:fldChar w:fldCharType="begin"/>
      </w:r>
      <w:r w:rsidR="00864D56">
        <w:instrText xml:space="preserve"> SEQ Figure \* ARABIC \s 1 </w:instrText>
      </w:r>
      <w:r w:rsidR="00864D56">
        <w:fldChar w:fldCharType="separate"/>
      </w:r>
      <w:r w:rsidR="00C71301">
        <w:rPr>
          <w:noProof/>
        </w:rPr>
        <w:t>4</w:t>
      </w:r>
      <w:r w:rsidR="00864D56">
        <w:rPr>
          <w:noProof/>
        </w:rPr>
        <w:fldChar w:fldCharType="end"/>
      </w:r>
      <w:bookmarkEnd w:id="88"/>
      <w:bookmarkEnd w:id="89"/>
      <w:r>
        <w:tab/>
        <w:t>AER draft decision compared to TransGrid's past and proposed opex ($million, 2013-14)</w:t>
      </w:r>
    </w:p>
    <w:p w:rsidR="00A143DD" w:rsidRDefault="00882D06" w:rsidP="00731102">
      <w:pPr>
        <w:pStyle w:val="AERbodytext"/>
        <w:keepNext/>
      </w:pPr>
      <w:r w:rsidRPr="00882D06">
        <w:rPr>
          <w:noProof/>
          <w:lang w:eastAsia="en-AU"/>
        </w:rPr>
        <w:drawing>
          <wp:inline distT="0" distB="0" distL="0" distR="0" wp14:anchorId="5439C242" wp14:editId="46DE538A">
            <wp:extent cx="5731510" cy="33665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366526"/>
                    </a:xfrm>
                    <a:prstGeom prst="rect">
                      <a:avLst/>
                    </a:prstGeom>
                    <a:noFill/>
                    <a:ln>
                      <a:noFill/>
                    </a:ln>
                  </pic:spPr>
                </pic:pic>
              </a:graphicData>
            </a:graphic>
          </wp:inline>
        </w:drawing>
      </w:r>
    </w:p>
    <w:p w:rsidR="00A143DD" w:rsidRPr="00A143DD" w:rsidRDefault="00A143DD" w:rsidP="00731102">
      <w:pPr>
        <w:pStyle w:val="AERtablesource"/>
        <w:keepNext/>
      </w:pPr>
      <w:r>
        <w:t>Source:</w:t>
      </w:r>
      <w:r>
        <w:tab/>
        <w:t>AER analysis</w:t>
      </w:r>
    </w:p>
    <w:p w:rsidR="0001634F" w:rsidRPr="009F4C42" w:rsidRDefault="0001634F" w:rsidP="0001634F">
      <w:pPr>
        <w:pStyle w:val="Heading3"/>
      </w:pPr>
      <w:bookmarkStart w:id="90" w:name="_Toc404437634"/>
      <w:r w:rsidRPr="009F4C42">
        <w:t xml:space="preserve">Summary of analysis </w:t>
      </w:r>
      <w:r w:rsidRPr="00E14922">
        <w:t>and</w:t>
      </w:r>
      <w:r w:rsidRPr="009F4C42">
        <w:t xml:space="preserve"> reasons</w:t>
      </w:r>
      <w:bookmarkEnd w:id="90"/>
    </w:p>
    <w:p w:rsidR="00250BBD" w:rsidRDefault="002556AD" w:rsidP="00250BBD">
      <w:pPr>
        <w:pStyle w:val="AERbodytext"/>
      </w:pPr>
      <w:r>
        <w:t>As noted above, w</w:t>
      </w:r>
      <w:r w:rsidR="00250BBD">
        <w:t xml:space="preserve">e are not satisfied that </w:t>
      </w:r>
      <w:r w:rsidR="00250BBD" w:rsidRPr="00896595">
        <w:t>TransGrid's t</w:t>
      </w:r>
      <w:r w:rsidR="00250BBD">
        <w:t xml:space="preserve">otal forecast opex reasonably reflects the opex criteria. </w:t>
      </w:r>
      <w:r w:rsidR="0046782F" w:rsidRPr="0046782F">
        <w:t xml:space="preserve">To assess </w:t>
      </w:r>
      <w:r w:rsidR="0046782F">
        <w:t>TransGrid's</w:t>
      </w:r>
      <w:r w:rsidR="0046782F" w:rsidRPr="0046782F">
        <w:t xml:space="preserve"> proposal we developed our own estimate of total forecast opex based on the methodology set out in our Expenditure Forecast Assessment Guideline.</w:t>
      </w:r>
      <w:r w:rsidR="0046782F" w:rsidRPr="0046782F">
        <w:rPr>
          <w:rStyle w:val="FootnoteReference"/>
        </w:rPr>
        <w:footnoteReference w:id="100"/>
      </w:r>
      <w:r w:rsidR="0046782F" w:rsidRPr="0046782F">
        <w:t xml:space="preserve"> We then assessed </w:t>
      </w:r>
      <w:r w:rsidR="0046782F">
        <w:t>TransGrid'</w:t>
      </w:r>
      <w:r w:rsidR="0046782F" w:rsidRPr="0046782F">
        <w:t>s opex forecast at an overall level in the context of the NER. Our forecast is based on taking an efficient base year of opex from the current regulatory control period, and adding any efficient costs for changes in inputs, outputs and forecast productivity over the regulatory control period.</w:t>
      </w:r>
      <w:r w:rsidR="005A7F37" w:rsidRPr="009F4C42">
        <w:t xml:space="preserve"> </w:t>
      </w:r>
      <w:r w:rsidR="001522DA">
        <w:t xml:space="preserve">We also add step changes to forecast opex for any other efficient expenditure that is not captured elsewhere in our guideline opex forecasting approach. </w:t>
      </w:r>
      <w:r w:rsidR="00250BBD">
        <w:t>When we compare</w:t>
      </w:r>
      <w:r w:rsidR="00250BBD" w:rsidRPr="00D75E6C">
        <w:t xml:space="preserve"> </w:t>
      </w:r>
      <w:r w:rsidR="00250BBD">
        <w:t>TransGrid's total forecast opex with our estimate of the efficient opex a prudent operator would require to achieve the opex objectives, its proposal is materially higher. TransGrid has not demonstrated that its higher forecast reasonably reflects the opex criteria</w:t>
      </w:r>
      <w:r w:rsidR="00FF4406">
        <w:t>,</w:t>
      </w:r>
      <w:r w:rsidR="00250BBD">
        <w:t xml:space="preserve"> so we have substituted our estimate.</w:t>
      </w:r>
    </w:p>
    <w:p w:rsidR="00250BBD" w:rsidRDefault="00250BBD" w:rsidP="00250BBD">
      <w:pPr>
        <w:pStyle w:val="AERbodytext"/>
      </w:pPr>
      <w:r>
        <w:t>The key areas of difference between our alternative estimate a</w:t>
      </w:r>
      <w:r w:rsidR="009D72E7">
        <w:t>nd TransGrid's proposal are</w:t>
      </w:r>
      <w:r>
        <w:t>:</w:t>
      </w:r>
    </w:p>
    <w:p w:rsidR="00250BBD" w:rsidRDefault="00250BBD" w:rsidP="00F02D30">
      <w:pPr>
        <w:pStyle w:val="AERbulletlistfirststyle"/>
      </w:pPr>
      <w:r>
        <w:t>forecasting method—TransGrid developed its forecast using a hybrid 'base-step-trend' approach</w:t>
      </w:r>
      <w:r w:rsidR="008609E3">
        <w:rPr>
          <w:rStyle w:val="FootnoteReference"/>
        </w:rPr>
        <w:footnoteReference w:id="101"/>
      </w:r>
      <w:r>
        <w:t xml:space="preserve"> which included 'bottom-up' or 'zero-based' forecasts of certain categories. The difference in forecasting method account</w:t>
      </w:r>
      <w:r w:rsidR="002556AD">
        <w:t>s</w:t>
      </w:r>
      <w:r>
        <w:t xml:space="preserve"> for $22.2 million (</w:t>
      </w:r>
      <w:r w:rsidR="008D08EC">
        <w:t>$</w:t>
      </w:r>
      <w:r>
        <w:t>2013–14) of the difference between TransGrid's proposed opex and our estimate.</w:t>
      </w:r>
    </w:p>
    <w:p w:rsidR="00250BBD" w:rsidRDefault="00250BBD" w:rsidP="00F02D30">
      <w:pPr>
        <w:pStyle w:val="AERbulletlistfirststyle"/>
      </w:pPr>
      <w:r>
        <w:lastRenderedPageBreak/>
        <w:t xml:space="preserve">base year opex—while </w:t>
      </w:r>
      <w:r w:rsidR="008609E3">
        <w:t xml:space="preserve">we </w:t>
      </w:r>
      <w:r w:rsidR="00547A54">
        <w:t>used TransGrid's</w:t>
      </w:r>
      <w:r>
        <w:t xml:space="preserve"> proposed 2012-13 base year opex</w:t>
      </w:r>
      <w:r w:rsidR="008609E3">
        <w:t xml:space="preserve"> for estimating our alternative </w:t>
      </w:r>
      <w:r w:rsidR="00547A54">
        <w:t>estimate</w:t>
      </w:r>
      <w:r>
        <w:t>,</w:t>
      </w:r>
      <w:r>
        <w:rPr>
          <w:rStyle w:val="FootnoteReference"/>
        </w:rPr>
        <w:footnoteReference w:id="102"/>
      </w:r>
      <w:r>
        <w:t xml:space="preserve"> we did not </w:t>
      </w:r>
      <w:r w:rsidR="001F75F1">
        <w:t xml:space="preserve">accept </w:t>
      </w:r>
      <w:r>
        <w:t xml:space="preserve">a number of TransGrid's proposed </w:t>
      </w:r>
      <w:r w:rsidR="00360C63">
        <w:t xml:space="preserve">base year </w:t>
      </w:r>
      <w:r>
        <w:t>adjustments.</w:t>
      </w:r>
    </w:p>
    <w:p w:rsidR="00250BBD" w:rsidRDefault="00250BBD" w:rsidP="00F02D30">
      <w:pPr>
        <w:pStyle w:val="AERbulletlistfirststyle"/>
      </w:pPr>
      <w:r>
        <w:t>rate of change—</w:t>
      </w:r>
      <w:r w:rsidR="005F2D21">
        <w:t>Trans</w:t>
      </w:r>
      <w:r w:rsidR="005374A3">
        <w:t>G</w:t>
      </w:r>
      <w:r w:rsidR="005F2D21">
        <w:t>rid sought a higher rate of change than our estimate suggested was necessary. The key drivers of this difference are Trans</w:t>
      </w:r>
      <w:r w:rsidR="005374A3">
        <w:t>G</w:t>
      </w:r>
      <w:r w:rsidR="005F2D21">
        <w:t>rid's higher output growth, and Trans</w:t>
      </w:r>
      <w:r w:rsidR="005374A3">
        <w:t>G</w:t>
      </w:r>
      <w:r w:rsidR="005F2D21">
        <w:t xml:space="preserve">rid's lower productivity forecast. </w:t>
      </w:r>
      <w:r w:rsidR="001C37CC">
        <w:t>The difference in rate of change accounts for $</w:t>
      </w:r>
      <w:r w:rsidR="001C37CC" w:rsidRPr="001C37CC">
        <w:t xml:space="preserve">11.6 million </w:t>
      </w:r>
      <w:r w:rsidR="001C37CC">
        <w:t xml:space="preserve">($2013–14) </w:t>
      </w:r>
      <w:r w:rsidR="001C37CC" w:rsidRPr="001C37CC">
        <w:t>of the difference between TransGrid's proposed opex and our estimate.</w:t>
      </w:r>
    </w:p>
    <w:p w:rsidR="0001634F" w:rsidRDefault="0001634F" w:rsidP="00F02D30">
      <w:pPr>
        <w:pStyle w:val="AERbulletlistfirststyle"/>
      </w:pPr>
      <w:r>
        <w:t>step changes</w:t>
      </w:r>
      <w:r w:rsidR="00360C63">
        <w:t>—</w:t>
      </w:r>
      <w:r>
        <w:t xml:space="preserve">TransGrid proposed a number of step changes which we </w:t>
      </w:r>
      <w:r w:rsidR="006D31F8">
        <w:t xml:space="preserve">have not </w:t>
      </w:r>
      <w:r w:rsidR="005F2D21">
        <w:t>included in our opex forecast</w:t>
      </w:r>
      <w:r>
        <w:t>.</w:t>
      </w:r>
      <w:r w:rsidR="005F2D21">
        <w:t xml:space="preserve"> </w:t>
      </w:r>
      <w:r w:rsidR="000664AA">
        <w:t>O</w:t>
      </w:r>
      <w:r w:rsidR="005F2D21">
        <w:t>ur productivity forecast includes a step change increment ($</w:t>
      </w:r>
      <w:r w:rsidR="00AA0D74">
        <w:t>7.5</w:t>
      </w:r>
      <w:r w:rsidR="005F2D21">
        <w:t xml:space="preserve"> million) that is higher than the amount we would otherwise have approved in step changes ($</w:t>
      </w:r>
      <w:r w:rsidR="00AA0D74">
        <w:t>2.8</w:t>
      </w:r>
      <w:r w:rsidR="005F2D21">
        <w:t xml:space="preserve"> million).</w:t>
      </w:r>
      <w:r>
        <w:t xml:space="preserve"> We</w:t>
      </w:r>
      <w:r w:rsidR="006D31F8">
        <w:t xml:space="preserve"> have, however, accepted TransGrid's proposed capex-opex trade-off step change of $6.4 million because it is a transfer of expenditure from opex to capex and does not change overall expenditure. </w:t>
      </w:r>
    </w:p>
    <w:p w:rsidR="0001634F" w:rsidRDefault="0001634F" w:rsidP="00F02D30">
      <w:pPr>
        <w:pStyle w:val="AERbulletlistfirststyle"/>
      </w:pPr>
      <w:r>
        <w:t>n</w:t>
      </w:r>
      <w:r w:rsidRPr="0001634F">
        <w:t>etwork support</w:t>
      </w:r>
      <w:r w:rsidR="00360C63">
        <w:t>—</w:t>
      </w:r>
      <w:r w:rsidRPr="0001634F">
        <w:t>TransGrid proposed $26.4m of pre-emptive procurement of network support over 2014–18</w:t>
      </w:r>
      <w:r w:rsidR="001F75F1">
        <w:t xml:space="preserve"> </w:t>
      </w:r>
      <w:r w:rsidR="00190BFB">
        <w:t xml:space="preserve">in the event network support could be used as an alternative to capex for the 'Powering Sydney's Future' </w:t>
      </w:r>
      <w:r w:rsidR="00D05F9A">
        <w:t xml:space="preserve">contingent </w:t>
      </w:r>
      <w:r w:rsidR="00190BFB">
        <w:t>project (a joint TransGrid-Ausgrid project)</w:t>
      </w:r>
      <w:r w:rsidRPr="0001634F">
        <w:t xml:space="preserve">. </w:t>
      </w:r>
      <w:r w:rsidR="00093F9C">
        <w:t>As noted above, we are not approving this contingent project</w:t>
      </w:r>
      <w:r w:rsidR="005A7F37">
        <w:t xml:space="preserve">. We </w:t>
      </w:r>
      <w:r w:rsidR="00093F9C">
        <w:t>have therefore</w:t>
      </w:r>
      <w:r w:rsidR="00676B21">
        <w:t xml:space="preserve"> also rejected this element of TransGrid's opex proposal</w:t>
      </w:r>
      <w:r w:rsidR="00D05F9A" w:rsidRPr="00D05F9A">
        <w:t>.</w:t>
      </w:r>
      <w:r w:rsidR="00D05F9A" w:rsidRPr="00D05F9A">
        <w:rPr>
          <w:rStyle w:val="FootnoteReference"/>
        </w:rPr>
        <w:footnoteReference w:id="103"/>
      </w:r>
    </w:p>
    <w:p w:rsidR="003B0D45" w:rsidRDefault="003B0D45" w:rsidP="00E14922">
      <w:pPr>
        <w:pStyle w:val="Heading2"/>
      </w:pPr>
      <w:bookmarkStart w:id="91" w:name="_Toc404437635"/>
      <w:r w:rsidRPr="00E14922">
        <w:t>Corporate</w:t>
      </w:r>
      <w:r>
        <w:t xml:space="preserve"> income tax</w:t>
      </w:r>
      <w:bookmarkEnd w:id="91"/>
    </w:p>
    <w:p w:rsidR="00FF4406" w:rsidRPr="00FF4406" w:rsidRDefault="00C862D1" w:rsidP="00F02D30">
      <w:pPr>
        <w:pStyle w:val="AERbodytext"/>
        <w:rPr>
          <w:b/>
          <w:bCs/>
          <w:color w:val="E36C0A"/>
          <w:sz w:val="24"/>
          <w:szCs w:val="26"/>
        </w:rPr>
      </w:pPr>
      <w:r w:rsidRPr="009F4C42">
        <w:t xml:space="preserve">The estimated cost of corporate income tax contributes to our determination of the total revenue </w:t>
      </w:r>
      <w:r w:rsidR="000D7DCF">
        <w:t>cap</w:t>
      </w:r>
      <w:r w:rsidRPr="009F4C42">
        <w:t xml:space="preserve"> for </w:t>
      </w:r>
      <w:r w:rsidR="00EA59DF">
        <w:t>TransG</w:t>
      </w:r>
      <w:r w:rsidRPr="009F4C42">
        <w:t>rid over the 2014–1</w:t>
      </w:r>
      <w:r w:rsidR="00EA59DF">
        <w:t>8</w:t>
      </w:r>
      <w:r w:rsidRPr="009F4C42">
        <w:t xml:space="preserve"> period. An allowance for corporate income tax enables </w:t>
      </w:r>
      <w:r w:rsidR="00EA59DF">
        <w:t>TransG</w:t>
      </w:r>
      <w:r w:rsidRPr="009F4C42">
        <w:t>rid to recover the costs associated with the estimated corporate income tax payable during th</w:t>
      </w:r>
      <w:r w:rsidR="00B96485">
        <w:t>at</w:t>
      </w:r>
      <w:r w:rsidRPr="009F4C42">
        <w:t xml:space="preserve"> period.</w:t>
      </w:r>
    </w:p>
    <w:p w:rsidR="003B0D45" w:rsidRPr="00FF4406" w:rsidRDefault="003B0D45" w:rsidP="00FF4406">
      <w:pPr>
        <w:pStyle w:val="Heading3"/>
      </w:pPr>
      <w:r w:rsidRPr="00FF4406">
        <w:t>Draft decision</w:t>
      </w:r>
    </w:p>
    <w:p w:rsidR="003B0D45" w:rsidRDefault="00102DC6" w:rsidP="0039524C">
      <w:pPr>
        <w:numPr>
          <w:ilvl w:val="0"/>
          <w:numId w:val="9"/>
        </w:numPr>
      </w:pPr>
      <w:r w:rsidRPr="00B96485">
        <w:t>We do</w:t>
      </w:r>
      <w:r w:rsidRPr="00DF0F03">
        <w:t xml:space="preserve"> not accept TransGrid's proposed </w:t>
      </w:r>
      <w:r>
        <w:t>cost of corporate income tax</w:t>
      </w:r>
      <w:r w:rsidRPr="00DF0F03">
        <w:t xml:space="preserve"> allowance </w:t>
      </w:r>
      <w:r w:rsidRPr="00E57171">
        <w:t>of $</w:t>
      </w:r>
      <w:r>
        <w:t>230.4</w:t>
      </w:r>
      <w:r w:rsidRPr="00B96485">
        <w:t xml:space="preserve"> million ($ nominal) for the</w:t>
      </w:r>
      <w:r>
        <w:t xml:space="preserve"> 2014–18</w:t>
      </w:r>
      <w:r w:rsidRPr="00B96485">
        <w:t xml:space="preserve"> period</w:t>
      </w:r>
      <w:r w:rsidRPr="00B63AFD">
        <w:t xml:space="preserve">. Instead, </w:t>
      </w:r>
      <w:r>
        <w:t>w</w:t>
      </w:r>
      <w:r w:rsidRPr="00F516A1">
        <w:t xml:space="preserve">e determine a </w:t>
      </w:r>
      <w:r>
        <w:t xml:space="preserve">cost of </w:t>
      </w:r>
      <w:r w:rsidRPr="00ED5127">
        <w:t xml:space="preserve">corporate income tax allowance </w:t>
      </w:r>
      <w:r w:rsidRPr="00F516A1">
        <w:t>of $</w:t>
      </w:r>
      <w:r>
        <w:t>118.4 </w:t>
      </w:r>
      <w:r w:rsidRPr="00F516A1">
        <w:t>million ($</w:t>
      </w:r>
      <w:r>
        <w:t> </w:t>
      </w:r>
      <w:r w:rsidRPr="00F516A1">
        <w:t>nominal).</w:t>
      </w:r>
      <w:r>
        <w:t xml:space="preserve"> </w:t>
      </w:r>
      <w:r w:rsidR="00B96485">
        <w:fldChar w:fldCharType="begin"/>
      </w:r>
      <w:r w:rsidR="00B96485">
        <w:instrText xml:space="preserve"> REF _Ref402248848 \h </w:instrText>
      </w:r>
      <w:r w:rsidR="00B96485">
        <w:fldChar w:fldCharType="separate"/>
      </w:r>
      <w:r w:rsidR="00C71301">
        <w:t xml:space="preserve">Table </w:t>
      </w:r>
      <w:r w:rsidR="00C71301">
        <w:rPr>
          <w:noProof/>
        </w:rPr>
        <w:t>8</w:t>
      </w:r>
      <w:r w:rsidR="00C71301">
        <w:noBreakHyphen/>
      </w:r>
      <w:r w:rsidR="00C71301">
        <w:rPr>
          <w:noProof/>
        </w:rPr>
        <w:t>7</w:t>
      </w:r>
      <w:r w:rsidR="00B96485">
        <w:fldChar w:fldCharType="end"/>
      </w:r>
      <w:r w:rsidR="00B96485">
        <w:t xml:space="preserve"> </w:t>
      </w:r>
      <w:r w:rsidR="00B96485" w:rsidRPr="009F4C42">
        <w:t xml:space="preserve">sets out our draft decision on </w:t>
      </w:r>
      <w:r w:rsidR="00C12B08">
        <w:t>TransGrid's</w:t>
      </w:r>
      <w:r w:rsidR="00B96485" w:rsidRPr="009F4C42">
        <w:t xml:space="preserve"> </w:t>
      </w:r>
      <w:r w:rsidR="00B96485">
        <w:t>corporate income tax</w:t>
      </w:r>
      <w:r w:rsidR="00B96485" w:rsidRPr="009F4C42">
        <w:t xml:space="preserve"> allowance for the 2014–1</w:t>
      </w:r>
      <w:r w:rsidR="00C12B08">
        <w:t>8</w:t>
      </w:r>
      <w:r w:rsidR="00B96485" w:rsidRPr="009F4C42">
        <w:t xml:space="preserve"> period.</w:t>
      </w:r>
      <w:r w:rsidR="00B96485">
        <w:t xml:space="preserve"> Our draft decision is </w:t>
      </w:r>
      <w:r w:rsidR="0058401D">
        <w:t xml:space="preserve">48.6 </w:t>
      </w:r>
      <w:r w:rsidR="00B96485" w:rsidRPr="009F4C42">
        <w:t xml:space="preserve">per cent </w:t>
      </w:r>
      <w:r w:rsidR="00B96485">
        <w:t>less</w:t>
      </w:r>
      <w:r w:rsidR="00B96485" w:rsidRPr="009F4C42">
        <w:t xml:space="preserve"> than the allowance </w:t>
      </w:r>
      <w:r w:rsidR="00B96485">
        <w:t xml:space="preserve">TransGrid </w:t>
      </w:r>
      <w:r w:rsidR="00B96485" w:rsidRPr="009F4C42">
        <w:t>proposed.</w:t>
      </w:r>
    </w:p>
    <w:p w:rsidR="001110F1" w:rsidRPr="001110F1" w:rsidRDefault="001110F1" w:rsidP="001110F1">
      <w:pPr>
        <w:pStyle w:val="Caption"/>
      </w:pPr>
      <w:bookmarkStart w:id="92" w:name="_Ref402248848"/>
      <w:r>
        <w:t xml:space="preserve">Table </w:t>
      </w:r>
      <w:r w:rsidR="00864D56">
        <w:fldChar w:fldCharType="begin"/>
      </w:r>
      <w:r w:rsidR="00864D56">
        <w:instrText xml:space="preserve"> STYLEREF 1 \s </w:instrText>
      </w:r>
      <w:r w:rsidR="00864D56">
        <w:fldChar w:fldCharType="separate"/>
      </w:r>
      <w:r w:rsidR="00C71301">
        <w:rPr>
          <w:noProof/>
        </w:rPr>
        <w:t>8</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7</w:t>
      </w:r>
      <w:r w:rsidR="00864D56">
        <w:rPr>
          <w:noProof/>
        </w:rPr>
        <w:fldChar w:fldCharType="end"/>
      </w:r>
      <w:bookmarkEnd w:id="92"/>
      <w:r>
        <w:tab/>
      </w:r>
      <w:r w:rsidRPr="001110F1">
        <w:t>AER's draft decision on TransGrid's cost of corporate income tax allowance for the 2014–18 period ($ million, nominal)</w:t>
      </w:r>
    </w:p>
    <w:tbl>
      <w:tblPr>
        <w:tblStyle w:val="AERtable-numbers"/>
        <w:tblW w:w="4981" w:type="pct"/>
        <w:tblLook w:val="01E0" w:firstRow="1" w:lastRow="1" w:firstColumn="1" w:lastColumn="1" w:noHBand="0" w:noVBand="0"/>
      </w:tblPr>
      <w:tblGrid>
        <w:gridCol w:w="3142"/>
        <w:gridCol w:w="1220"/>
        <w:gridCol w:w="1218"/>
        <w:gridCol w:w="1215"/>
        <w:gridCol w:w="1206"/>
        <w:gridCol w:w="1206"/>
      </w:tblGrid>
      <w:tr w:rsidR="001110F1" w:rsidRPr="00D405D5" w:rsidTr="00BA2BE8">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706" w:type="pct"/>
          </w:tcPr>
          <w:p w:rsidR="001110F1" w:rsidRPr="00DC58F1" w:rsidRDefault="001110F1" w:rsidP="001110F1"/>
        </w:tc>
        <w:tc>
          <w:tcPr>
            <w:tcW w:w="662" w:type="pct"/>
          </w:tcPr>
          <w:p w:rsidR="001110F1" w:rsidRPr="001110F1" w:rsidRDefault="001110F1" w:rsidP="001110F1">
            <w:pPr>
              <w:pStyle w:val="AERtabletextleft"/>
              <w:cnfStyle w:val="100000000000" w:firstRow="1" w:lastRow="0" w:firstColumn="0" w:lastColumn="0" w:oddVBand="0" w:evenVBand="0" w:oddHBand="0" w:evenHBand="0" w:firstRowFirstColumn="0" w:firstRowLastColumn="0" w:lastRowFirstColumn="0" w:lastRowLastColumn="0"/>
            </w:pPr>
            <w:r w:rsidRPr="00DC58F1">
              <w:t>2014–15</w:t>
            </w:r>
          </w:p>
        </w:tc>
        <w:tc>
          <w:tcPr>
            <w:tcW w:w="661" w:type="pct"/>
          </w:tcPr>
          <w:p w:rsidR="001110F1" w:rsidRPr="001110F1" w:rsidRDefault="001110F1" w:rsidP="001110F1">
            <w:pPr>
              <w:pStyle w:val="AERtabletextleft"/>
              <w:cnfStyle w:val="100000000000" w:firstRow="1" w:lastRow="0" w:firstColumn="0" w:lastColumn="0" w:oddVBand="0" w:evenVBand="0" w:oddHBand="0" w:evenHBand="0" w:firstRowFirstColumn="0" w:firstRowLastColumn="0" w:lastRowFirstColumn="0" w:lastRowLastColumn="0"/>
            </w:pPr>
            <w:r w:rsidRPr="00DC58F1">
              <w:t>2015–16</w:t>
            </w:r>
          </w:p>
        </w:tc>
        <w:tc>
          <w:tcPr>
            <w:tcW w:w="660" w:type="pct"/>
          </w:tcPr>
          <w:p w:rsidR="001110F1" w:rsidRPr="001110F1" w:rsidRDefault="001110F1" w:rsidP="001110F1">
            <w:pPr>
              <w:pStyle w:val="AERtabletextleft"/>
              <w:cnfStyle w:val="100000000000" w:firstRow="1" w:lastRow="0" w:firstColumn="0" w:lastColumn="0" w:oddVBand="0" w:evenVBand="0" w:oddHBand="0" w:evenHBand="0" w:firstRowFirstColumn="0" w:firstRowLastColumn="0" w:lastRowFirstColumn="0" w:lastRowLastColumn="0"/>
            </w:pPr>
            <w:r w:rsidRPr="00DC58F1">
              <w:t>2016–17</w:t>
            </w:r>
          </w:p>
        </w:tc>
        <w:tc>
          <w:tcPr>
            <w:tcW w:w="655" w:type="pct"/>
          </w:tcPr>
          <w:p w:rsidR="001110F1" w:rsidRPr="001110F1" w:rsidRDefault="001110F1" w:rsidP="001110F1">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655" w:type="pct"/>
          </w:tcPr>
          <w:p w:rsidR="001110F1" w:rsidRPr="001110F1" w:rsidRDefault="001110F1" w:rsidP="001110F1">
            <w:pPr>
              <w:pStyle w:val="AERtabletextleft"/>
              <w:cnfStyle w:val="100000000000" w:firstRow="1" w:lastRow="0" w:firstColumn="0" w:lastColumn="0" w:oddVBand="0" w:evenVBand="0" w:oddHBand="0" w:evenHBand="0" w:firstRowFirstColumn="0" w:firstRowLastColumn="0" w:lastRowFirstColumn="0" w:lastRowLastColumn="0"/>
            </w:pPr>
            <w:r w:rsidRPr="00DC58F1">
              <w:t>Total</w:t>
            </w:r>
          </w:p>
        </w:tc>
      </w:tr>
      <w:tr w:rsidR="001110F1" w:rsidRPr="00D405D5" w:rsidTr="00BA2BE8">
        <w:trPr>
          <w:trHeight w:val="460"/>
        </w:trPr>
        <w:tc>
          <w:tcPr>
            <w:cnfStyle w:val="001000000000" w:firstRow="0" w:lastRow="0" w:firstColumn="1" w:lastColumn="0" w:oddVBand="0" w:evenVBand="0" w:oddHBand="0" w:evenHBand="0" w:firstRowFirstColumn="0" w:firstRowLastColumn="0" w:lastRowFirstColumn="0" w:lastRowLastColumn="0"/>
            <w:tcW w:w="1706" w:type="pct"/>
          </w:tcPr>
          <w:p w:rsidR="001110F1" w:rsidRPr="001110F1" w:rsidRDefault="001110F1" w:rsidP="001110F1">
            <w:pPr>
              <w:pStyle w:val="AERtabletextleft"/>
            </w:pPr>
            <w:r w:rsidRPr="00DC58F1">
              <w:t>Tax payable</w:t>
            </w:r>
          </w:p>
        </w:tc>
        <w:tc>
          <w:tcPr>
            <w:tcW w:w="662"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35.2</w:t>
            </w:r>
          </w:p>
        </w:tc>
        <w:tc>
          <w:tcPr>
            <w:tcW w:w="661"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38.2</w:t>
            </w:r>
          </w:p>
        </w:tc>
        <w:tc>
          <w:tcPr>
            <w:tcW w:w="660"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61.5</w:t>
            </w:r>
          </w:p>
        </w:tc>
        <w:tc>
          <w:tcPr>
            <w:tcW w:w="655"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62.4</w:t>
            </w:r>
          </w:p>
        </w:tc>
        <w:tc>
          <w:tcPr>
            <w:tcW w:w="655"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197.3</w:t>
            </w:r>
          </w:p>
        </w:tc>
      </w:tr>
      <w:tr w:rsidR="001110F1" w:rsidRPr="00D405D5" w:rsidTr="00BA2BE8">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706" w:type="pct"/>
          </w:tcPr>
          <w:p w:rsidR="001110F1" w:rsidRPr="001110F1" w:rsidRDefault="001110F1" w:rsidP="001110F1">
            <w:pPr>
              <w:pStyle w:val="AERtabletextleft"/>
            </w:pPr>
            <w:r w:rsidRPr="00DC58F1">
              <w:rPr>
                <w:rStyle w:val="AERtextitalic"/>
              </w:rPr>
              <w:t>Less</w:t>
            </w:r>
            <w:r w:rsidRPr="001110F1">
              <w:t>: value of imputation credits</w:t>
            </w:r>
          </w:p>
        </w:tc>
        <w:tc>
          <w:tcPr>
            <w:tcW w:w="662" w:type="pct"/>
          </w:tcPr>
          <w:p w:rsidR="001110F1" w:rsidRPr="00DC58F1" w:rsidRDefault="004431B0" w:rsidP="001110F1">
            <w:pPr>
              <w:pStyle w:val="AERtabletextright"/>
              <w:cnfStyle w:val="000000010000" w:firstRow="0" w:lastRow="0" w:firstColumn="0" w:lastColumn="0" w:oddVBand="0" w:evenVBand="0" w:oddHBand="0" w:evenHBand="1" w:firstRowFirstColumn="0" w:firstRowLastColumn="0" w:lastRowFirstColumn="0" w:lastRowLastColumn="0"/>
            </w:pPr>
            <w:r>
              <w:t>14.1</w:t>
            </w:r>
          </w:p>
        </w:tc>
        <w:tc>
          <w:tcPr>
            <w:tcW w:w="661" w:type="pct"/>
          </w:tcPr>
          <w:p w:rsidR="001110F1" w:rsidRPr="00DC58F1" w:rsidRDefault="004431B0" w:rsidP="001110F1">
            <w:pPr>
              <w:pStyle w:val="AERtabletextright"/>
              <w:cnfStyle w:val="000000010000" w:firstRow="0" w:lastRow="0" w:firstColumn="0" w:lastColumn="0" w:oddVBand="0" w:evenVBand="0" w:oddHBand="0" w:evenHBand="1" w:firstRowFirstColumn="0" w:firstRowLastColumn="0" w:lastRowFirstColumn="0" w:lastRowLastColumn="0"/>
            </w:pPr>
            <w:r>
              <w:t>15.3</w:t>
            </w:r>
          </w:p>
        </w:tc>
        <w:tc>
          <w:tcPr>
            <w:tcW w:w="660" w:type="pct"/>
          </w:tcPr>
          <w:p w:rsidR="001110F1" w:rsidRPr="00DC58F1" w:rsidRDefault="004431B0" w:rsidP="001110F1">
            <w:pPr>
              <w:pStyle w:val="AERtabletextright"/>
              <w:cnfStyle w:val="000000010000" w:firstRow="0" w:lastRow="0" w:firstColumn="0" w:lastColumn="0" w:oddVBand="0" w:evenVBand="0" w:oddHBand="0" w:evenHBand="1" w:firstRowFirstColumn="0" w:firstRowLastColumn="0" w:lastRowFirstColumn="0" w:lastRowLastColumn="0"/>
            </w:pPr>
            <w:r>
              <w:t>24.6</w:t>
            </w:r>
          </w:p>
        </w:tc>
        <w:tc>
          <w:tcPr>
            <w:tcW w:w="655" w:type="pct"/>
          </w:tcPr>
          <w:p w:rsidR="001110F1" w:rsidRPr="00DC58F1" w:rsidRDefault="004431B0" w:rsidP="001110F1">
            <w:pPr>
              <w:pStyle w:val="AERtabletextright"/>
              <w:cnfStyle w:val="000000010000" w:firstRow="0" w:lastRow="0" w:firstColumn="0" w:lastColumn="0" w:oddVBand="0" w:evenVBand="0" w:oddHBand="0" w:evenHBand="1" w:firstRowFirstColumn="0" w:firstRowLastColumn="0" w:lastRowFirstColumn="0" w:lastRowLastColumn="0"/>
            </w:pPr>
            <w:r>
              <w:t>24.9</w:t>
            </w:r>
          </w:p>
        </w:tc>
        <w:tc>
          <w:tcPr>
            <w:tcW w:w="655" w:type="pct"/>
          </w:tcPr>
          <w:p w:rsidR="001110F1" w:rsidRPr="00DC58F1" w:rsidRDefault="004431B0" w:rsidP="001110F1">
            <w:pPr>
              <w:pStyle w:val="AERtabletextright"/>
              <w:cnfStyle w:val="000000010000" w:firstRow="0" w:lastRow="0" w:firstColumn="0" w:lastColumn="0" w:oddVBand="0" w:evenVBand="0" w:oddHBand="0" w:evenHBand="1" w:firstRowFirstColumn="0" w:firstRowLastColumn="0" w:lastRowFirstColumn="0" w:lastRowLastColumn="0"/>
            </w:pPr>
            <w:r>
              <w:t>78.9</w:t>
            </w:r>
          </w:p>
        </w:tc>
      </w:tr>
      <w:tr w:rsidR="001110F1" w:rsidRPr="00D405D5" w:rsidTr="00BA2BE8">
        <w:trPr>
          <w:trHeight w:val="468"/>
        </w:trPr>
        <w:tc>
          <w:tcPr>
            <w:cnfStyle w:val="001000000000" w:firstRow="0" w:lastRow="0" w:firstColumn="1" w:lastColumn="0" w:oddVBand="0" w:evenVBand="0" w:oddHBand="0" w:evenHBand="0" w:firstRowFirstColumn="0" w:firstRowLastColumn="0" w:lastRowFirstColumn="0" w:lastRowLastColumn="0"/>
            <w:tcW w:w="1706" w:type="pct"/>
          </w:tcPr>
          <w:p w:rsidR="001110F1" w:rsidRPr="001110F1" w:rsidRDefault="001110F1" w:rsidP="001110F1">
            <w:pPr>
              <w:pStyle w:val="AERtabletextleft"/>
            </w:pPr>
            <w:r w:rsidRPr="00DC58F1">
              <w:t>Net corporate income tax allowance</w:t>
            </w:r>
          </w:p>
        </w:tc>
        <w:tc>
          <w:tcPr>
            <w:tcW w:w="662"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21.1</w:t>
            </w:r>
          </w:p>
        </w:tc>
        <w:tc>
          <w:tcPr>
            <w:tcW w:w="661"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22.9</w:t>
            </w:r>
          </w:p>
        </w:tc>
        <w:tc>
          <w:tcPr>
            <w:tcW w:w="660"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36.9</w:t>
            </w:r>
          </w:p>
        </w:tc>
        <w:tc>
          <w:tcPr>
            <w:tcW w:w="655"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37.4</w:t>
            </w:r>
          </w:p>
        </w:tc>
        <w:tc>
          <w:tcPr>
            <w:tcW w:w="655" w:type="pct"/>
          </w:tcPr>
          <w:p w:rsidR="001110F1" w:rsidRPr="00DC58F1" w:rsidRDefault="004431B0" w:rsidP="001110F1">
            <w:pPr>
              <w:pStyle w:val="AERtabletextright"/>
              <w:cnfStyle w:val="000000000000" w:firstRow="0" w:lastRow="0" w:firstColumn="0" w:lastColumn="0" w:oddVBand="0" w:evenVBand="0" w:oddHBand="0" w:evenHBand="0" w:firstRowFirstColumn="0" w:firstRowLastColumn="0" w:lastRowFirstColumn="0" w:lastRowLastColumn="0"/>
            </w:pPr>
            <w:r>
              <w:t>118.4</w:t>
            </w:r>
          </w:p>
        </w:tc>
      </w:tr>
    </w:tbl>
    <w:p w:rsidR="001110F1" w:rsidRPr="001110F1" w:rsidRDefault="001110F1" w:rsidP="001110F1">
      <w:pPr>
        <w:pStyle w:val="AERtablesource"/>
      </w:pPr>
      <w:r w:rsidRPr="001110F1">
        <w:t>Source:</w:t>
      </w:r>
      <w:r w:rsidRPr="001110F1">
        <w:tab/>
        <w:t>AER analysis.</w:t>
      </w:r>
    </w:p>
    <w:p w:rsidR="003B0D45" w:rsidRDefault="003B0D45" w:rsidP="00E14922">
      <w:pPr>
        <w:pStyle w:val="Heading3"/>
      </w:pPr>
      <w:bookmarkStart w:id="93" w:name="_Toc404437636"/>
      <w:r>
        <w:lastRenderedPageBreak/>
        <w:t xml:space="preserve">Summary of analysis </w:t>
      </w:r>
      <w:r w:rsidRPr="00E14922">
        <w:t>and</w:t>
      </w:r>
      <w:r>
        <w:t xml:space="preserve"> reasons</w:t>
      </w:r>
      <w:bookmarkEnd w:id="93"/>
    </w:p>
    <w:p w:rsidR="00DF0F03" w:rsidRPr="006D7077" w:rsidRDefault="00DF0F03" w:rsidP="0058401D">
      <w:pPr>
        <w:pStyle w:val="AERbodytext"/>
      </w:pPr>
      <w:r>
        <w:t xml:space="preserve">Our </w:t>
      </w:r>
      <w:r w:rsidR="00370A71">
        <w:t xml:space="preserve">draft </w:t>
      </w:r>
      <w:r>
        <w:t xml:space="preserve">decision reflects our amendment to </w:t>
      </w:r>
      <w:r w:rsidR="00D53017">
        <w:t xml:space="preserve">the value </w:t>
      </w:r>
      <w:r w:rsidR="00D53017" w:rsidRPr="0058401D">
        <w:t xml:space="preserve">of imputation credits (gamma) as discussed in attachment </w:t>
      </w:r>
      <w:r w:rsidR="00B6513D" w:rsidRPr="0058401D">
        <w:rPr>
          <w:rStyle w:val="AERtexthighlight"/>
          <w:shd w:val="clear" w:color="auto" w:fill="auto"/>
        </w:rPr>
        <w:t>4</w:t>
      </w:r>
      <w:r w:rsidR="00D53017" w:rsidRPr="0058401D">
        <w:t>, which is a key input to calculating</w:t>
      </w:r>
      <w:r w:rsidR="00D53017">
        <w:t xml:space="preserve"> TransGrid's </w:t>
      </w:r>
      <w:r>
        <w:t xml:space="preserve">cost of </w:t>
      </w:r>
      <w:r w:rsidRPr="00F516A1">
        <w:t>corporate income tax</w:t>
      </w:r>
      <w:r w:rsidRPr="006D7077">
        <w:t>.</w:t>
      </w:r>
      <w:r w:rsidRPr="006D7077">
        <w:rPr>
          <w:rStyle w:val="FootnoteReference"/>
        </w:rPr>
        <w:footnoteReference w:id="104"/>
      </w:r>
      <w:r w:rsidRPr="006D7077">
        <w:t xml:space="preserve"> </w:t>
      </w:r>
      <w:r w:rsidR="00FF4406">
        <w:t>C</w:t>
      </w:r>
      <w:r w:rsidR="00D53017">
        <w:t>hanges to other building block components that affect revenues also impact the tax calculation.</w:t>
      </w:r>
    </w:p>
    <w:p w:rsidR="003B0D45" w:rsidRPr="00773FCC" w:rsidRDefault="00DF0F03" w:rsidP="0058401D">
      <w:pPr>
        <w:pStyle w:val="AERbodytext"/>
      </w:pPr>
      <w:r w:rsidRPr="009F4C42">
        <w:t xml:space="preserve">Details of our approach in deriving the value of the </w:t>
      </w:r>
      <w:r>
        <w:t>corporate income tax</w:t>
      </w:r>
      <w:r w:rsidRPr="009F4C42">
        <w:t xml:space="preserve"> </w:t>
      </w:r>
      <w:r>
        <w:t xml:space="preserve">allowance </w:t>
      </w:r>
      <w:r w:rsidRPr="009F4C42">
        <w:t xml:space="preserve">and relevant interrelationships are set out in </w:t>
      </w:r>
      <w:r w:rsidRPr="0058401D">
        <w:t xml:space="preserve">attachment </w:t>
      </w:r>
      <w:r w:rsidR="00B6513D" w:rsidRPr="0058401D">
        <w:rPr>
          <w:rStyle w:val="AERtexthighlight"/>
          <w:shd w:val="clear" w:color="auto" w:fill="auto"/>
        </w:rPr>
        <w:t>8</w:t>
      </w:r>
      <w:r w:rsidRPr="0058401D">
        <w:t>.</w:t>
      </w:r>
    </w:p>
    <w:p w:rsidR="003B0D45" w:rsidRDefault="003B0D45" w:rsidP="00E14922">
      <w:pPr>
        <w:pStyle w:val="Heading1"/>
      </w:pPr>
      <w:bookmarkStart w:id="94" w:name="_Toc404437637"/>
      <w:r>
        <w:lastRenderedPageBreak/>
        <w:t xml:space="preserve">Incentive </w:t>
      </w:r>
      <w:r w:rsidRPr="00E14922">
        <w:t>schemes</w:t>
      </w:r>
      <w:bookmarkEnd w:id="94"/>
    </w:p>
    <w:p w:rsidR="003B0D45" w:rsidRPr="009F4C42" w:rsidRDefault="003B0D45" w:rsidP="00E14922">
      <w:pPr>
        <w:pStyle w:val="Heading2"/>
      </w:pPr>
      <w:bookmarkStart w:id="95" w:name="_Toc404437638"/>
      <w:r w:rsidRPr="009F4C42">
        <w:t xml:space="preserve">Efficiency </w:t>
      </w:r>
      <w:r w:rsidRPr="00E14922">
        <w:t>benefit</w:t>
      </w:r>
      <w:r w:rsidRPr="009F4C42">
        <w:t xml:space="preserve"> sharing scheme</w:t>
      </w:r>
      <w:bookmarkEnd w:id="95"/>
    </w:p>
    <w:p w:rsidR="000071FE" w:rsidRPr="000071FE" w:rsidRDefault="000071FE" w:rsidP="000071FE">
      <w:pPr>
        <w:pStyle w:val="AERbodytext"/>
        <w:rPr>
          <w:rStyle w:val="AERbody"/>
        </w:rPr>
      </w:pPr>
      <w:r w:rsidRPr="000071FE">
        <w:rPr>
          <w:rStyle w:val="AERbody"/>
        </w:rPr>
        <w:t xml:space="preserve">The efficiency benefit sharing scheme (EBSS) provides an additional incentive for service providers to pursue efficiency improvements in opex. </w:t>
      </w:r>
    </w:p>
    <w:p w:rsidR="000071FE" w:rsidRPr="000071FE" w:rsidRDefault="000071FE" w:rsidP="000071FE">
      <w:pPr>
        <w:pStyle w:val="AERbodytext"/>
        <w:rPr>
          <w:rStyle w:val="AERbody"/>
        </w:rPr>
      </w:pPr>
      <w:r w:rsidRPr="000071FE">
        <w:rPr>
          <w:rStyle w:val="AERbody"/>
        </w:rPr>
        <w:t xml:space="preserve">To encourage a service provider to become more efficient it is allowed to keep any </w:t>
      </w:r>
      <w:r w:rsidRPr="000071FE">
        <w:t>difference between its approved forecast and its actual opex during</w:t>
      </w:r>
      <w:r w:rsidRPr="000071FE">
        <w:rPr>
          <w:rStyle w:val="AERbody"/>
        </w:rPr>
        <w:t xml:space="preserve"> a regulatory control period. </w:t>
      </w:r>
      <w:r w:rsidR="006349AA">
        <w:rPr>
          <w:rStyle w:val="AERbody"/>
        </w:rPr>
        <w:t xml:space="preserve">Conversely, if it overspends its allowed opex, it cannot seek to recover this. </w:t>
      </w:r>
      <w:r w:rsidRPr="000071FE">
        <w:rPr>
          <w:rStyle w:val="AERbody"/>
        </w:rPr>
        <w:t xml:space="preserve">This is supplemented by the EBSS which provides the service provider with an additional reward for reductions in opex it makes and additional penalties for increases in opex. In total these rewards and penalties work together to provide a constant incentive for a service provider to pursue efficiency gains over the regulatory control period. The EBSS also discourages a service provider from </w:t>
      </w:r>
      <w:r w:rsidR="006349AA">
        <w:t>overspending its</w:t>
      </w:r>
      <w:r w:rsidR="006349AA" w:rsidRPr="000071FE">
        <w:t xml:space="preserve"> </w:t>
      </w:r>
      <w:r w:rsidRPr="000071FE">
        <w:t xml:space="preserve">opex </w:t>
      </w:r>
      <w:r w:rsidR="006349AA">
        <w:t xml:space="preserve">allowance </w:t>
      </w:r>
      <w:r w:rsidRPr="000071FE">
        <w:rPr>
          <w:rStyle w:val="AERbody"/>
        </w:rPr>
        <w:t xml:space="preserve">in </w:t>
      </w:r>
      <w:r w:rsidR="006349AA">
        <w:rPr>
          <w:rStyle w:val="AERbody"/>
        </w:rPr>
        <w:t>what it expects will be the</w:t>
      </w:r>
      <w:r w:rsidRPr="000071FE">
        <w:rPr>
          <w:rStyle w:val="AERbody"/>
        </w:rPr>
        <w:t xml:space="preserve"> base year </w:t>
      </w:r>
      <w:r w:rsidR="006349AA">
        <w:rPr>
          <w:rStyle w:val="AERbody"/>
        </w:rPr>
        <w:t xml:space="preserve">for the following regulatory control period, </w:t>
      </w:r>
      <w:r w:rsidRPr="000071FE">
        <w:rPr>
          <w:rStyle w:val="AERbody"/>
        </w:rPr>
        <w:t xml:space="preserve">in order to receive a higher opex allowance in </w:t>
      </w:r>
      <w:r w:rsidR="006349AA">
        <w:rPr>
          <w:rStyle w:val="AERbody"/>
        </w:rPr>
        <w:t>that</w:t>
      </w:r>
      <w:r w:rsidRPr="000071FE">
        <w:rPr>
          <w:rStyle w:val="AERbody"/>
        </w:rPr>
        <w:t xml:space="preserve"> period.</w:t>
      </w:r>
    </w:p>
    <w:p w:rsidR="000071FE" w:rsidRPr="000B257E" w:rsidRDefault="000071FE" w:rsidP="000B257E">
      <w:pPr>
        <w:pStyle w:val="Heading3"/>
      </w:pPr>
      <w:bookmarkStart w:id="96" w:name="_Toc404437639"/>
      <w:r w:rsidRPr="000B257E">
        <w:t>Draft decision and reasons for decision</w:t>
      </w:r>
      <w:bookmarkEnd w:id="96"/>
    </w:p>
    <w:p w:rsidR="000071FE" w:rsidRPr="000071FE" w:rsidRDefault="000071FE" w:rsidP="000071FE">
      <w:pPr>
        <w:pStyle w:val="HeadingBoldBlue"/>
      </w:pPr>
      <w:r w:rsidRPr="000071FE">
        <w:t>Carryover amounts accrued during the 2009–14 regulatory control period</w:t>
      </w:r>
    </w:p>
    <w:p w:rsidR="000071FE" w:rsidRPr="000071FE" w:rsidRDefault="000071FE" w:rsidP="000071FE">
      <w:pPr>
        <w:pStyle w:val="AERbodytext"/>
        <w:rPr>
          <w:rStyle w:val="AERbody"/>
        </w:rPr>
      </w:pPr>
      <w:r w:rsidRPr="000071FE">
        <w:t>During the 2009–14 regulatory control period TransGrid operated under the EBSS released in September 2007 for TNSPs (version one of the EBSS).</w:t>
      </w:r>
      <w:r w:rsidRPr="000071FE">
        <w:rPr>
          <w:rStyle w:val="FootnoteReference"/>
        </w:rPr>
        <w:footnoteReference w:id="105"/>
      </w:r>
      <w:r w:rsidRPr="000071FE">
        <w:t xml:space="preserve"> </w:t>
      </w:r>
      <w:r w:rsidRPr="000071FE">
        <w:rPr>
          <w:rStyle w:val="AERbody"/>
        </w:rPr>
        <w:t xml:space="preserve"> Our draft decision is to apply EBSS </w:t>
      </w:r>
      <w:r w:rsidR="00C740D7">
        <w:rPr>
          <w:rStyle w:val="AERbody"/>
        </w:rPr>
        <w:t>rewards</w:t>
      </w:r>
      <w:r w:rsidRPr="000071FE">
        <w:rPr>
          <w:rStyle w:val="AERbody"/>
        </w:rPr>
        <w:t xml:space="preserve"> of $</w:t>
      </w:r>
      <w:r w:rsidR="000B257E">
        <w:rPr>
          <w:rStyle w:val="AERbody"/>
        </w:rPr>
        <w:t>45.6</w:t>
      </w:r>
      <w:r w:rsidR="004B4F91">
        <w:rPr>
          <w:rStyle w:val="AERbody"/>
        </w:rPr>
        <w:t xml:space="preserve"> </w:t>
      </w:r>
      <w:r w:rsidRPr="000071FE">
        <w:rPr>
          <w:rStyle w:val="AERbody"/>
        </w:rPr>
        <w:t>m</w:t>
      </w:r>
      <w:r w:rsidR="004B4F91">
        <w:rPr>
          <w:rStyle w:val="AERbody"/>
        </w:rPr>
        <w:t>illion</w:t>
      </w:r>
      <w:r w:rsidRPr="000071FE">
        <w:rPr>
          <w:rStyle w:val="AERbody"/>
        </w:rPr>
        <w:t xml:space="preserve"> from the application of the EBSS during the 2009–14 regulatory control period.</w:t>
      </w:r>
    </w:p>
    <w:p w:rsidR="000071FE" w:rsidRPr="000071FE" w:rsidRDefault="000071FE" w:rsidP="000071FE">
      <w:pPr>
        <w:rPr>
          <w:rStyle w:val="AERbody"/>
        </w:rPr>
      </w:pPr>
      <w:r w:rsidRPr="000071FE">
        <w:rPr>
          <w:rStyle w:val="AERbody"/>
        </w:rPr>
        <w:t>The difference between our proposed draft decision</w:t>
      </w:r>
      <w:r w:rsidR="00897117">
        <w:rPr>
          <w:rStyle w:val="AERbody"/>
        </w:rPr>
        <w:t xml:space="preserve"> </w:t>
      </w:r>
      <w:r w:rsidRPr="000071FE">
        <w:rPr>
          <w:rStyle w:val="AERbody"/>
        </w:rPr>
        <w:t>amount</w:t>
      </w:r>
      <w:r w:rsidR="006B50D4">
        <w:rPr>
          <w:rStyle w:val="AERbody"/>
        </w:rPr>
        <w:t>s</w:t>
      </w:r>
      <w:r w:rsidRPr="000071FE">
        <w:rPr>
          <w:rStyle w:val="AERbody"/>
        </w:rPr>
        <w:t xml:space="preserve"> and TransGrid’s proposed amount</w:t>
      </w:r>
      <w:r w:rsidR="006B50D4">
        <w:rPr>
          <w:rStyle w:val="AERbody"/>
        </w:rPr>
        <w:t>s</w:t>
      </w:r>
      <w:r w:rsidRPr="000071FE">
        <w:rPr>
          <w:rStyle w:val="AERbody"/>
        </w:rPr>
        <w:t xml:space="preserve"> is outlined in </w:t>
      </w:r>
      <w:r w:rsidR="0058401D">
        <w:rPr>
          <w:rStyle w:val="AERbody"/>
        </w:rPr>
        <w:fldChar w:fldCharType="begin"/>
      </w:r>
      <w:r w:rsidR="0058401D">
        <w:rPr>
          <w:rStyle w:val="AERbody"/>
        </w:rPr>
        <w:instrText xml:space="preserve"> REF _Ref402866894 \h </w:instrText>
      </w:r>
      <w:r w:rsidR="0058401D">
        <w:rPr>
          <w:rStyle w:val="AERbody"/>
        </w:rPr>
      </w:r>
      <w:r w:rsidR="0058401D">
        <w:rPr>
          <w:rStyle w:val="AERbody"/>
        </w:rPr>
        <w:fldChar w:fldCharType="separate"/>
      </w:r>
      <w:r w:rsidR="00C71301">
        <w:t xml:space="preserve">Table </w:t>
      </w:r>
      <w:r w:rsidR="00C71301">
        <w:rPr>
          <w:noProof/>
        </w:rPr>
        <w:t>9</w:t>
      </w:r>
      <w:r w:rsidR="00C71301">
        <w:noBreakHyphen/>
      </w:r>
      <w:r w:rsidR="00C71301">
        <w:rPr>
          <w:noProof/>
        </w:rPr>
        <w:t>1</w:t>
      </w:r>
      <w:r w:rsidR="0058401D">
        <w:rPr>
          <w:rStyle w:val="AERbody"/>
        </w:rPr>
        <w:fldChar w:fldCharType="end"/>
      </w:r>
      <w:r w:rsidRPr="000071FE">
        <w:rPr>
          <w:rStyle w:val="AERbody"/>
        </w:rPr>
        <w:t xml:space="preserve">. </w:t>
      </w:r>
    </w:p>
    <w:p w:rsidR="000071FE" w:rsidRPr="000071FE" w:rsidRDefault="0058401D" w:rsidP="00D7672E">
      <w:pPr>
        <w:pStyle w:val="Caption"/>
        <w:rPr>
          <w:rStyle w:val="AERtextbold"/>
        </w:rPr>
      </w:pPr>
      <w:bookmarkStart w:id="97" w:name="_Ref402866894"/>
      <w:r>
        <w:t xml:space="preserve">Table </w:t>
      </w:r>
      <w:r w:rsidR="00864D56">
        <w:fldChar w:fldCharType="begin"/>
      </w:r>
      <w:r w:rsidR="00864D56">
        <w:instrText xml:space="preserve"> STYLEREF 1 \s </w:instrText>
      </w:r>
      <w:r w:rsidR="00864D56">
        <w:fldChar w:fldCharType="separate"/>
      </w:r>
      <w:r w:rsidR="00C71301">
        <w:rPr>
          <w:noProof/>
        </w:rPr>
        <w:t>9</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1</w:t>
      </w:r>
      <w:r w:rsidR="00864D56">
        <w:rPr>
          <w:noProof/>
        </w:rPr>
        <w:fldChar w:fldCharType="end"/>
      </w:r>
      <w:bookmarkEnd w:id="97"/>
      <w:r>
        <w:tab/>
      </w:r>
      <w:r w:rsidR="000071FE" w:rsidRPr="0058401D">
        <w:rPr>
          <w:rStyle w:val="AERtextbold"/>
          <w:b/>
        </w:rPr>
        <w:t>AER's draft decision and TransGrid’s proposed EBSS carryovers ($ million, 2013–14)</w:t>
      </w:r>
      <w:r w:rsidR="000071FE" w:rsidRPr="000071FE">
        <w:rPr>
          <w:rStyle w:val="FootnoteReference"/>
        </w:rPr>
        <w:footnoteReference w:id="106"/>
      </w:r>
    </w:p>
    <w:tbl>
      <w:tblPr>
        <w:tblStyle w:val="AERtable-numbers"/>
        <w:tblW w:w="5000" w:type="pct"/>
        <w:tblLook w:val="04A0" w:firstRow="1" w:lastRow="0" w:firstColumn="1" w:lastColumn="0" w:noHBand="0" w:noVBand="1"/>
      </w:tblPr>
      <w:tblGrid>
        <w:gridCol w:w="3800"/>
        <w:gridCol w:w="1111"/>
        <w:gridCol w:w="1111"/>
        <w:gridCol w:w="1111"/>
        <w:gridCol w:w="1113"/>
        <w:gridCol w:w="996"/>
      </w:tblGrid>
      <w:tr w:rsidR="00547A54" w:rsidTr="00DA4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pct"/>
          </w:tcPr>
          <w:p w:rsidR="00547A54" w:rsidRPr="000071FE" w:rsidRDefault="00547A54" w:rsidP="000071FE">
            <w:pPr>
              <w:pStyle w:val="AERtabletextleft"/>
            </w:pPr>
            <w:r w:rsidRPr="000071FE">
              <w:t>Year ending 30 June</w:t>
            </w:r>
          </w:p>
        </w:tc>
        <w:tc>
          <w:tcPr>
            <w:tcW w:w="601" w:type="pct"/>
          </w:tcPr>
          <w:p w:rsidR="00547A54" w:rsidRPr="000071FE" w:rsidRDefault="00547A54" w:rsidP="000071FE">
            <w:pPr>
              <w:pStyle w:val="AERtabletextright"/>
              <w:cnfStyle w:val="100000000000" w:firstRow="1" w:lastRow="0" w:firstColumn="0" w:lastColumn="0" w:oddVBand="0" w:evenVBand="0" w:oddHBand="0" w:evenHBand="0" w:firstRowFirstColumn="0" w:firstRowLastColumn="0" w:lastRowFirstColumn="0" w:lastRowLastColumn="0"/>
            </w:pPr>
            <w:r w:rsidRPr="000071FE">
              <w:t>2014–15</w:t>
            </w:r>
          </w:p>
        </w:tc>
        <w:tc>
          <w:tcPr>
            <w:tcW w:w="601" w:type="pct"/>
          </w:tcPr>
          <w:p w:rsidR="00547A54" w:rsidRPr="000071FE" w:rsidRDefault="00547A54" w:rsidP="000071FE">
            <w:pPr>
              <w:pStyle w:val="AERtabletextright"/>
              <w:cnfStyle w:val="100000000000" w:firstRow="1" w:lastRow="0" w:firstColumn="0" w:lastColumn="0" w:oddVBand="0" w:evenVBand="0" w:oddHBand="0" w:evenHBand="0" w:firstRowFirstColumn="0" w:firstRowLastColumn="0" w:lastRowFirstColumn="0" w:lastRowLastColumn="0"/>
            </w:pPr>
            <w:r w:rsidRPr="000071FE">
              <w:t>2015–16</w:t>
            </w:r>
          </w:p>
        </w:tc>
        <w:tc>
          <w:tcPr>
            <w:tcW w:w="601" w:type="pct"/>
          </w:tcPr>
          <w:p w:rsidR="00547A54" w:rsidRPr="000071FE" w:rsidRDefault="00547A54" w:rsidP="000071FE">
            <w:pPr>
              <w:pStyle w:val="AERtabletextright"/>
              <w:cnfStyle w:val="100000000000" w:firstRow="1" w:lastRow="0" w:firstColumn="0" w:lastColumn="0" w:oddVBand="0" w:evenVBand="0" w:oddHBand="0" w:evenHBand="0" w:firstRowFirstColumn="0" w:firstRowLastColumn="0" w:lastRowFirstColumn="0" w:lastRowLastColumn="0"/>
            </w:pPr>
            <w:r w:rsidRPr="000071FE">
              <w:t>2016–17</w:t>
            </w:r>
          </w:p>
        </w:tc>
        <w:tc>
          <w:tcPr>
            <w:tcW w:w="602" w:type="pct"/>
          </w:tcPr>
          <w:p w:rsidR="00547A54" w:rsidRPr="000071FE" w:rsidRDefault="00547A54" w:rsidP="000071FE">
            <w:pPr>
              <w:pStyle w:val="AERtabletextright"/>
              <w:cnfStyle w:val="100000000000" w:firstRow="1" w:lastRow="0" w:firstColumn="0" w:lastColumn="0" w:oddVBand="0" w:evenVBand="0" w:oddHBand="0" w:evenHBand="0" w:firstRowFirstColumn="0" w:firstRowLastColumn="0" w:lastRowFirstColumn="0" w:lastRowLastColumn="0"/>
            </w:pPr>
            <w:r w:rsidRPr="000071FE">
              <w:t>2017–18</w:t>
            </w:r>
          </w:p>
        </w:tc>
        <w:tc>
          <w:tcPr>
            <w:tcW w:w="539" w:type="pct"/>
          </w:tcPr>
          <w:p w:rsidR="00547A54" w:rsidRPr="000071FE" w:rsidRDefault="00547A54" w:rsidP="000071FE">
            <w:pPr>
              <w:pStyle w:val="AERtabletextright"/>
              <w:cnfStyle w:val="100000000000" w:firstRow="1" w:lastRow="0" w:firstColumn="0" w:lastColumn="0" w:oddVBand="0" w:evenVBand="0" w:oddHBand="0" w:evenHBand="0" w:firstRowFirstColumn="0" w:firstRowLastColumn="0" w:lastRowFirstColumn="0" w:lastRowLastColumn="0"/>
            </w:pPr>
            <w:r w:rsidRPr="000071FE">
              <w:t>Total</w:t>
            </w:r>
          </w:p>
        </w:tc>
      </w:tr>
      <w:tr w:rsidR="00B231A7" w:rsidTr="00F02D30">
        <w:tc>
          <w:tcPr>
            <w:cnfStyle w:val="001000000000" w:firstRow="0" w:lastRow="0" w:firstColumn="1" w:lastColumn="0" w:oddVBand="0" w:evenVBand="0" w:oddHBand="0" w:evenHBand="0" w:firstRowFirstColumn="0" w:firstRowLastColumn="0" w:lastRowFirstColumn="0" w:lastRowLastColumn="0"/>
            <w:tcW w:w="2056" w:type="pct"/>
          </w:tcPr>
          <w:p w:rsidR="00B231A7" w:rsidRPr="00B231A7" w:rsidRDefault="00B231A7" w:rsidP="00B231A7">
            <w:pPr>
              <w:pStyle w:val="AERtabletextleft"/>
            </w:pPr>
            <w:r w:rsidRPr="000071FE">
              <w:t>TransGrid’s  proposal</w:t>
            </w:r>
          </w:p>
        </w:tc>
        <w:tc>
          <w:tcPr>
            <w:tcW w:w="601"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20.2</w:t>
            </w:r>
          </w:p>
        </w:tc>
        <w:tc>
          <w:tcPr>
            <w:tcW w:w="601"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6.5</w:t>
            </w:r>
          </w:p>
        </w:tc>
        <w:tc>
          <w:tcPr>
            <w:tcW w:w="601"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9.0</w:t>
            </w:r>
          </w:p>
        </w:tc>
        <w:tc>
          <w:tcPr>
            <w:tcW w:w="602"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14.5</w:t>
            </w:r>
          </w:p>
        </w:tc>
        <w:tc>
          <w:tcPr>
            <w:tcW w:w="539"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50.2</w:t>
            </w:r>
          </w:p>
        </w:tc>
      </w:tr>
      <w:tr w:rsidR="00B231A7" w:rsidTr="00F02D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pct"/>
          </w:tcPr>
          <w:p w:rsidR="00B231A7" w:rsidRPr="00B231A7" w:rsidRDefault="00B231A7" w:rsidP="00B231A7">
            <w:pPr>
              <w:pStyle w:val="AERtabletextleft"/>
            </w:pPr>
            <w:r w:rsidRPr="000071FE">
              <w:t>AER's draft decision</w:t>
            </w:r>
          </w:p>
        </w:tc>
        <w:tc>
          <w:tcPr>
            <w:tcW w:w="601" w:type="pct"/>
          </w:tcPr>
          <w:p w:rsidR="00B231A7" w:rsidRPr="00B231A7" w:rsidRDefault="00B231A7" w:rsidP="00B231A7">
            <w:pPr>
              <w:cnfStyle w:val="000000010000" w:firstRow="0" w:lastRow="0" w:firstColumn="0" w:lastColumn="0" w:oddVBand="0" w:evenVBand="0" w:oddHBand="0" w:evenHBand="1" w:firstRowFirstColumn="0" w:firstRowLastColumn="0" w:lastRowFirstColumn="0" w:lastRowLastColumn="0"/>
            </w:pPr>
            <w:r>
              <w:t>20.9</w:t>
            </w:r>
          </w:p>
        </w:tc>
        <w:tc>
          <w:tcPr>
            <w:tcW w:w="601" w:type="pct"/>
          </w:tcPr>
          <w:p w:rsidR="00B231A7" w:rsidRPr="00B231A7" w:rsidRDefault="00B231A7" w:rsidP="00B231A7">
            <w:pPr>
              <w:cnfStyle w:val="000000010000" w:firstRow="0" w:lastRow="0" w:firstColumn="0" w:lastColumn="0" w:oddVBand="0" w:evenVBand="0" w:oddHBand="0" w:evenHBand="1" w:firstRowFirstColumn="0" w:firstRowLastColumn="0" w:lastRowFirstColumn="0" w:lastRowLastColumn="0"/>
            </w:pPr>
            <w:r>
              <w:t>8.5</w:t>
            </w:r>
          </w:p>
        </w:tc>
        <w:tc>
          <w:tcPr>
            <w:tcW w:w="601" w:type="pct"/>
          </w:tcPr>
          <w:p w:rsidR="00B231A7" w:rsidRPr="00B231A7" w:rsidRDefault="00B231A7" w:rsidP="00B231A7">
            <w:pPr>
              <w:cnfStyle w:val="000000010000" w:firstRow="0" w:lastRow="0" w:firstColumn="0" w:lastColumn="0" w:oddVBand="0" w:evenVBand="0" w:oddHBand="0" w:evenHBand="1" w:firstRowFirstColumn="0" w:firstRowLastColumn="0" w:lastRowFirstColumn="0" w:lastRowLastColumn="0"/>
            </w:pPr>
            <w:r>
              <w:t>10.9</w:t>
            </w:r>
          </w:p>
        </w:tc>
        <w:tc>
          <w:tcPr>
            <w:tcW w:w="602" w:type="pct"/>
          </w:tcPr>
          <w:p w:rsidR="00B231A7" w:rsidRPr="00B231A7" w:rsidRDefault="00B231A7" w:rsidP="00B231A7">
            <w:pPr>
              <w:cnfStyle w:val="000000010000" w:firstRow="0" w:lastRow="0" w:firstColumn="0" w:lastColumn="0" w:oddVBand="0" w:evenVBand="0" w:oddHBand="0" w:evenHBand="1" w:firstRowFirstColumn="0" w:firstRowLastColumn="0" w:lastRowFirstColumn="0" w:lastRowLastColumn="0"/>
            </w:pPr>
            <w:r>
              <w:t>5.2</w:t>
            </w:r>
          </w:p>
        </w:tc>
        <w:tc>
          <w:tcPr>
            <w:tcW w:w="539" w:type="pct"/>
          </w:tcPr>
          <w:p w:rsidR="00B231A7" w:rsidRPr="00B231A7" w:rsidRDefault="00B231A7" w:rsidP="00B231A7">
            <w:pPr>
              <w:cnfStyle w:val="000000010000" w:firstRow="0" w:lastRow="0" w:firstColumn="0" w:lastColumn="0" w:oddVBand="0" w:evenVBand="0" w:oddHBand="0" w:evenHBand="1" w:firstRowFirstColumn="0" w:firstRowLastColumn="0" w:lastRowFirstColumn="0" w:lastRowLastColumn="0"/>
            </w:pPr>
            <w:r>
              <w:t>45.6</w:t>
            </w:r>
          </w:p>
        </w:tc>
      </w:tr>
      <w:tr w:rsidR="00B231A7" w:rsidTr="00F02D30">
        <w:tc>
          <w:tcPr>
            <w:cnfStyle w:val="001000000000" w:firstRow="0" w:lastRow="0" w:firstColumn="1" w:lastColumn="0" w:oddVBand="0" w:evenVBand="0" w:oddHBand="0" w:evenHBand="0" w:firstRowFirstColumn="0" w:firstRowLastColumn="0" w:lastRowFirstColumn="0" w:lastRowLastColumn="0"/>
            <w:tcW w:w="2056" w:type="pct"/>
          </w:tcPr>
          <w:p w:rsidR="00B231A7" w:rsidRPr="00B231A7" w:rsidRDefault="00B231A7" w:rsidP="00B231A7">
            <w:pPr>
              <w:pStyle w:val="AERtabletextleft"/>
            </w:pPr>
            <w:r w:rsidRPr="000071FE">
              <w:t>Difference</w:t>
            </w:r>
          </w:p>
        </w:tc>
        <w:tc>
          <w:tcPr>
            <w:tcW w:w="601"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0.7</w:t>
            </w:r>
          </w:p>
        </w:tc>
        <w:tc>
          <w:tcPr>
            <w:tcW w:w="601"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2.0</w:t>
            </w:r>
          </w:p>
        </w:tc>
        <w:tc>
          <w:tcPr>
            <w:tcW w:w="601"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1.9</w:t>
            </w:r>
          </w:p>
        </w:tc>
        <w:tc>
          <w:tcPr>
            <w:tcW w:w="602"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w:t>
            </w:r>
            <w:r w:rsidRPr="00B231A7">
              <w:t>9.0</w:t>
            </w:r>
          </w:p>
        </w:tc>
        <w:tc>
          <w:tcPr>
            <w:tcW w:w="539" w:type="pct"/>
          </w:tcPr>
          <w:p w:rsidR="00B231A7" w:rsidRPr="00B231A7" w:rsidRDefault="00B231A7" w:rsidP="00B231A7">
            <w:pPr>
              <w:cnfStyle w:val="000000000000" w:firstRow="0" w:lastRow="0" w:firstColumn="0" w:lastColumn="0" w:oddVBand="0" w:evenVBand="0" w:oddHBand="0" w:evenHBand="0" w:firstRowFirstColumn="0" w:firstRowLastColumn="0" w:lastRowFirstColumn="0" w:lastRowLastColumn="0"/>
            </w:pPr>
            <w:r>
              <w:t>-4.6</w:t>
            </w:r>
          </w:p>
        </w:tc>
      </w:tr>
    </w:tbl>
    <w:p w:rsidR="000071FE" w:rsidRPr="00F02D30" w:rsidRDefault="00CD5AD3" w:rsidP="00F02D30">
      <w:pPr>
        <w:pStyle w:val="AERtablesource"/>
        <w:rPr>
          <w:rStyle w:val="AERtextsize8"/>
        </w:rPr>
      </w:pPr>
      <w:r w:rsidRPr="00F02D30">
        <w:rPr>
          <w:rStyle w:val="AERtextsize8"/>
        </w:rPr>
        <w:t>Source: AER analysis</w:t>
      </w:r>
      <w:r w:rsidR="004D7D72">
        <w:rPr>
          <w:rStyle w:val="AERtextsize8"/>
        </w:rPr>
        <w:t>.</w:t>
      </w:r>
    </w:p>
    <w:p w:rsidR="000071FE" w:rsidRPr="000071FE" w:rsidRDefault="000071FE" w:rsidP="000071FE">
      <w:pPr>
        <w:pStyle w:val="AERbodytext"/>
        <w:rPr>
          <w:rStyle w:val="AERbody"/>
        </w:rPr>
      </w:pPr>
      <w:r w:rsidRPr="000071FE">
        <w:rPr>
          <w:rStyle w:val="AERbody"/>
        </w:rPr>
        <w:t>The difference between our draft decision EBSS carryover amounts and TransGrid’s proposal relates to different treatment of provisions.</w:t>
      </w:r>
      <w:r w:rsidR="00C740D7">
        <w:rPr>
          <w:rStyle w:val="AERbody"/>
        </w:rPr>
        <w:t xml:space="preserve"> </w:t>
      </w:r>
      <w:r w:rsidR="00096010">
        <w:rPr>
          <w:rStyle w:val="AERbody"/>
        </w:rPr>
        <w:t xml:space="preserve">Provisions affect the opex used to calculate the EBSS carryover amounts. </w:t>
      </w:r>
    </w:p>
    <w:p w:rsidR="000071FE" w:rsidRPr="000071FE" w:rsidRDefault="000071FE" w:rsidP="000071FE">
      <w:pPr>
        <w:pStyle w:val="AERbodytext"/>
        <w:rPr>
          <w:rStyle w:val="AERbody"/>
        </w:rPr>
      </w:pPr>
      <w:r w:rsidRPr="000071FE">
        <w:rPr>
          <w:rStyle w:val="AERbody"/>
        </w:rPr>
        <w:t>To calculate its EBSS carryover amounts</w:t>
      </w:r>
      <w:r w:rsidR="000B257E">
        <w:rPr>
          <w:rStyle w:val="AERbody"/>
        </w:rPr>
        <w:t xml:space="preserve"> </w:t>
      </w:r>
      <w:r w:rsidRPr="000071FE">
        <w:rPr>
          <w:rStyle w:val="AERbody"/>
        </w:rPr>
        <w:t>TransGrid included</w:t>
      </w:r>
      <w:r w:rsidR="000B257E" w:rsidRPr="000071FE">
        <w:rPr>
          <w:rStyle w:val="AERbody"/>
        </w:rPr>
        <w:t xml:space="preserve">, in its opex, </w:t>
      </w:r>
      <w:r w:rsidRPr="000071FE">
        <w:rPr>
          <w:rStyle w:val="AERbody"/>
        </w:rPr>
        <w:t>provisions it had recorded for employee entitlements such as long service leave and annual leave.</w:t>
      </w:r>
    </w:p>
    <w:p w:rsidR="00096010" w:rsidRDefault="000071FE" w:rsidP="000071FE">
      <w:pPr>
        <w:pStyle w:val="AERbodytext"/>
        <w:rPr>
          <w:rStyle w:val="AERbody"/>
        </w:rPr>
      </w:pPr>
      <w:r w:rsidRPr="000071FE">
        <w:rPr>
          <w:rStyle w:val="AERbody"/>
        </w:rPr>
        <w:lastRenderedPageBreak/>
        <w:t>We do not consider provisions to be actual costs</w:t>
      </w:r>
      <w:r w:rsidR="000B257E">
        <w:rPr>
          <w:rStyle w:val="AERbody"/>
        </w:rPr>
        <w:t>,</w:t>
      </w:r>
      <w:r w:rsidRPr="000071FE">
        <w:rPr>
          <w:rStyle w:val="AERbody"/>
        </w:rPr>
        <w:t xml:space="preserve"> so we have adjusted the EBSS carryover amounts accordingly. Provisions are a type of accounting adjustment which reflects revised estimates of future costs a business expect to incur. They are not actual costs. To reward or penalise a service provider for changes in provisions would reward or penalise it for changes in assumptions, not efficiency improvements. This would be contrary to the aims of an EBSS under the NER.</w:t>
      </w:r>
      <w:r w:rsidR="00096010" w:rsidRPr="00096010">
        <w:rPr>
          <w:rStyle w:val="AERbody"/>
        </w:rPr>
        <w:t xml:space="preserve"> </w:t>
      </w:r>
    </w:p>
    <w:p w:rsidR="000071FE" w:rsidRPr="000071FE" w:rsidRDefault="000071FE" w:rsidP="000071FE">
      <w:pPr>
        <w:pStyle w:val="HeadingBoldBlue"/>
      </w:pPr>
      <w:r w:rsidRPr="000071FE">
        <w:t>Application of the EBSS during the 2015–1</w:t>
      </w:r>
      <w:r w:rsidR="009F017F">
        <w:t>8</w:t>
      </w:r>
      <w:r w:rsidRPr="000071FE">
        <w:t xml:space="preserve"> regulatory control period</w:t>
      </w:r>
    </w:p>
    <w:p w:rsidR="000071FE" w:rsidRPr="000071FE" w:rsidRDefault="000071FE" w:rsidP="000071FE">
      <w:pPr>
        <w:pStyle w:val="AERbodytext"/>
      </w:pPr>
      <w:r w:rsidRPr="000071FE">
        <w:t xml:space="preserve">We propose to apply </w:t>
      </w:r>
      <w:r w:rsidR="006349AA">
        <w:t xml:space="preserve">version 2 of </w:t>
      </w:r>
      <w:r w:rsidRPr="000071FE">
        <w:t>the EBSS to TransGrid during the 2015–18 regulatory control period. We consider the EBSS is needed to:</w:t>
      </w:r>
    </w:p>
    <w:p w:rsidR="000071FE" w:rsidRPr="000071FE" w:rsidRDefault="000071FE" w:rsidP="000071FE">
      <w:pPr>
        <w:pStyle w:val="AERbulletlistfirststyle"/>
      </w:pPr>
      <w:r w:rsidRPr="000071FE">
        <w:t>continue to encourage TransGrid to pursue efficiency improvements in opex ,and</w:t>
      </w:r>
    </w:p>
    <w:p w:rsidR="000071FE" w:rsidRPr="000071FE" w:rsidRDefault="000071FE" w:rsidP="000071FE">
      <w:pPr>
        <w:pStyle w:val="AERbulletlistfirststyle"/>
      </w:pPr>
      <w:r w:rsidRPr="000071FE">
        <w:t>to discourage TransGrid from incurring opex to try and influence its opex forecasts in the regulatory control period beginning in 2018</w:t>
      </w:r>
      <w:r>
        <w:t>.</w:t>
      </w:r>
    </w:p>
    <w:p w:rsidR="000071FE" w:rsidRPr="000071FE" w:rsidRDefault="000071FE" w:rsidP="000071FE">
      <w:r w:rsidRPr="000071FE">
        <w:t xml:space="preserve">However our draft decision is to allow fewer exclusions from the EBSS than proposed by TransGrid. </w:t>
      </w:r>
    </w:p>
    <w:p w:rsidR="00DA4B0D" w:rsidRDefault="000071FE" w:rsidP="000071FE">
      <w:pPr>
        <w:pStyle w:val="AERbodytext"/>
      </w:pPr>
      <w:r w:rsidRPr="000071FE">
        <w:t xml:space="preserve">We do not accept TransGrid’s proposal to apply a different form </w:t>
      </w:r>
      <w:r w:rsidR="00DA4B0D">
        <w:t xml:space="preserve">of </w:t>
      </w:r>
      <w:r w:rsidRPr="000071FE">
        <w:t xml:space="preserve">EBSS to opex on major operating projects. </w:t>
      </w:r>
      <w:r w:rsidR="006349AA">
        <w:t xml:space="preserve">The effect of TransGrid's proposal would </w:t>
      </w:r>
      <w:r w:rsidR="006B50D4">
        <w:t xml:space="preserve">be </w:t>
      </w:r>
      <w:r w:rsidR="00096010">
        <w:t>that opex on major operating projects would be subject to a different form of EBSS t</w:t>
      </w:r>
      <w:r w:rsidR="006B50D4">
        <w:t>han</w:t>
      </w:r>
      <w:r w:rsidR="00096010">
        <w:t xml:space="preserve"> all other opex.</w:t>
      </w:r>
      <w:r w:rsidR="006349AA">
        <w:t xml:space="preserve"> </w:t>
      </w:r>
      <w:r w:rsidRPr="000071FE">
        <w:t xml:space="preserve">We do not consider there </w:t>
      </w:r>
      <w:r w:rsidR="00DA4B0D">
        <w:t>is</w:t>
      </w:r>
      <w:r w:rsidRPr="000071FE">
        <w:t xml:space="preserve"> a strong rationale </w:t>
      </w:r>
      <w:r w:rsidR="006B50D4">
        <w:t xml:space="preserve">to use a different type of incentive scheme for opex on major operating projects to other categories </w:t>
      </w:r>
      <w:r w:rsidR="005931BF">
        <w:t xml:space="preserve">of </w:t>
      </w:r>
      <w:r w:rsidR="006B50D4">
        <w:t>opex.</w:t>
      </w:r>
    </w:p>
    <w:p w:rsidR="000071FE" w:rsidRPr="000071FE" w:rsidRDefault="00DA4B0D" w:rsidP="000071FE">
      <w:pPr>
        <w:pStyle w:val="AERbodytext"/>
      </w:pPr>
      <w:r>
        <w:t>Attachment 9 sets out our detailed reasons for our draft decision on the EBSS.</w:t>
      </w:r>
      <w:r w:rsidR="000071FE" w:rsidRPr="000071FE">
        <w:t xml:space="preserve"> </w:t>
      </w:r>
    </w:p>
    <w:p w:rsidR="003B0D45" w:rsidRPr="003E7ED9" w:rsidRDefault="003B0D45" w:rsidP="003E7ED9">
      <w:pPr>
        <w:pStyle w:val="Heading2"/>
      </w:pPr>
      <w:bookmarkStart w:id="98" w:name="_Toc404437640"/>
      <w:r w:rsidRPr="003E7ED9">
        <w:t>Capital expenditure sharing scheme</w:t>
      </w:r>
      <w:bookmarkEnd w:id="98"/>
    </w:p>
    <w:p w:rsidR="003E7ED9" w:rsidRPr="003E7ED9" w:rsidRDefault="003E7ED9" w:rsidP="003E7ED9">
      <w:pPr>
        <w:pStyle w:val="AERbodytext"/>
      </w:pPr>
      <w:r w:rsidRPr="003E7ED9">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w:t>
      </w:r>
    </w:p>
    <w:p w:rsidR="003E7ED9" w:rsidRPr="003E7ED9" w:rsidRDefault="003E7ED9" w:rsidP="003E7ED9">
      <w:pPr>
        <w:pStyle w:val="AERbodytext"/>
      </w:pPr>
      <w:r w:rsidRPr="003E7ED9">
        <w:t xml:space="preserve">As part of the Better Regulation program we consulted on and published the capital expenditure incentive guideline, which sets out </w:t>
      </w:r>
      <w:r w:rsidR="004F231B">
        <w:t xml:space="preserve">version 1 of </w:t>
      </w:r>
      <w:r w:rsidRPr="003E7ED9">
        <w:t xml:space="preserve">the CESS. The CESS approximates efficiency gains and efficiency losses by calculating the difference between forecast and actual capex. It shares these gains or losses between service providers and consumers. </w:t>
      </w:r>
    </w:p>
    <w:p w:rsidR="003E7ED9" w:rsidRPr="003E7ED9" w:rsidRDefault="003E7ED9" w:rsidP="003E7ED9">
      <w:pPr>
        <w:pStyle w:val="AERbodytext"/>
      </w:pPr>
      <w:r w:rsidRPr="003E7ED9">
        <w:t xml:space="preserve">Under the CESS a service provider retains 30 per cent of </w:t>
      </w:r>
      <w:r w:rsidR="004F231B">
        <w:t xml:space="preserve">the benefit or cost of </w:t>
      </w:r>
      <w:r w:rsidRPr="003E7ED9">
        <w:t xml:space="preserve">an underspend or overspend, while consumers retain 70 per cent of the </w:t>
      </w:r>
      <w:r w:rsidR="004F231B">
        <w:t xml:space="preserve">benefit or cost of an </w:t>
      </w:r>
      <w:r w:rsidRPr="003E7ED9">
        <w:t>underspend o</w:t>
      </w:r>
      <w:r w:rsidR="004F231B">
        <w:t>r</w:t>
      </w:r>
      <w:r w:rsidRPr="003E7ED9">
        <w:t xml:space="preserve"> overspend. This means that for a one dollar saving in capex the service provider keeps 30 cents of the benefit while consumers keep 70 cents of the benefit.</w:t>
      </w:r>
      <w:r w:rsidR="004F231B">
        <w:t xml:space="preserve"> Conversely, in the case of an overspend, the service provider must bea</w:t>
      </w:r>
      <w:r w:rsidR="00D30E05">
        <w:t>r 30 cents of the cost and consumers 70 cents.</w:t>
      </w:r>
    </w:p>
    <w:p w:rsidR="003B0D45" w:rsidRPr="003E7ED9" w:rsidRDefault="003B0D45" w:rsidP="003E7ED9">
      <w:pPr>
        <w:pStyle w:val="Heading3"/>
      </w:pPr>
      <w:bookmarkStart w:id="99" w:name="_Toc404437641"/>
      <w:r w:rsidRPr="003E7ED9">
        <w:t>Draft decision</w:t>
      </w:r>
      <w:bookmarkEnd w:id="99"/>
    </w:p>
    <w:p w:rsidR="003E7ED9" w:rsidRPr="003E7ED9" w:rsidRDefault="003E7ED9" w:rsidP="003E7ED9">
      <w:pPr>
        <w:pStyle w:val="AERbodytext"/>
      </w:pPr>
      <w:r w:rsidRPr="003E7ED9">
        <w:t xml:space="preserve">We will apply </w:t>
      </w:r>
      <w:r w:rsidR="004F231B">
        <w:t xml:space="preserve">version 1 of </w:t>
      </w:r>
      <w:r w:rsidRPr="003E7ED9">
        <w:t xml:space="preserve">the CESS as set out the capital expenditure incentives guideline to </w:t>
      </w:r>
      <w:r>
        <w:t>TransGrid</w:t>
      </w:r>
      <w:r w:rsidRPr="003E7ED9">
        <w:t xml:space="preserve"> in the 2015–1</w:t>
      </w:r>
      <w:r w:rsidR="009F017F">
        <w:t>8</w:t>
      </w:r>
      <w:r w:rsidRPr="003E7ED9">
        <w:t xml:space="preserve"> regulatory control period.</w:t>
      </w:r>
      <w:r>
        <w:rPr>
          <w:rStyle w:val="FootnoteReference"/>
        </w:rPr>
        <w:footnoteReference w:id="107"/>
      </w:r>
      <w:r w:rsidRPr="003E7ED9">
        <w:t xml:space="preserve"> </w:t>
      </w:r>
    </w:p>
    <w:p w:rsidR="003B0D45" w:rsidRPr="00E14922" w:rsidRDefault="003B0D45" w:rsidP="00E14922">
      <w:pPr>
        <w:pStyle w:val="Heading3"/>
        <w:rPr>
          <w:rStyle w:val="AERbody"/>
          <w:color w:val="E36C0A"/>
          <w:sz w:val="24"/>
        </w:rPr>
      </w:pPr>
      <w:bookmarkStart w:id="100" w:name="_Toc404437642"/>
      <w:r w:rsidRPr="00E14922">
        <w:rPr>
          <w:rStyle w:val="AERbody"/>
          <w:color w:val="E36C0A"/>
          <w:sz w:val="24"/>
        </w:rPr>
        <w:lastRenderedPageBreak/>
        <w:t>Summary of analysis and reasons</w:t>
      </w:r>
      <w:bookmarkEnd w:id="100"/>
    </w:p>
    <w:p w:rsidR="003E7ED9" w:rsidRPr="003E7ED9" w:rsidRDefault="003E7ED9" w:rsidP="003E7ED9">
      <w:pPr>
        <w:rPr>
          <w:rStyle w:val="AERbody"/>
        </w:rPr>
      </w:pPr>
      <w:r>
        <w:rPr>
          <w:rStyle w:val="AERbody"/>
        </w:rPr>
        <w:t>TransGrid</w:t>
      </w:r>
      <w:r w:rsidRPr="003E7ED9">
        <w:rPr>
          <w:rStyle w:val="AERbody"/>
        </w:rPr>
        <w:t xml:space="preserve"> propos</w:t>
      </w:r>
      <w:r w:rsidR="004F231B">
        <w:rPr>
          <w:rStyle w:val="AERbody"/>
        </w:rPr>
        <w:t>ed</w:t>
      </w:r>
      <w:r w:rsidRPr="003E7ED9">
        <w:rPr>
          <w:rStyle w:val="AERbody"/>
        </w:rPr>
        <w:t xml:space="preserve"> to apply the CESS as set out in the capex incentives guideline</w:t>
      </w:r>
      <w:r w:rsidR="004F231B">
        <w:rPr>
          <w:rStyle w:val="AERbody"/>
        </w:rPr>
        <w:t>, but with additional exclusions</w:t>
      </w:r>
      <w:r w:rsidRPr="003E7ED9">
        <w:rPr>
          <w:rStyle w:val="AERbody"/>
        </w:rPr>
        <w:t xml:space="preserve">. </w:t>
      </w:r>
    </w:p>
    <w:p w:rsidR="003B0D45" w:rsidRDefault="003E7ED9" w:rsidP="003E7ED9">
      <w:pPr>
        <w:rPr>
          <w:rStyle w:val="AERbody"/>
        </w:rPr>
      </w:pPr>
      <w:r w:rsidRPr="003E7ED9">
        <w:rPr>
          <w:rStyle w:val="AERbody"/>
        </w:rPr>
        <w:t xml:space="preserve">We will apply the CESS to </w:t>
      </w:r>
      <w:r>
        <w:rPr>
          <w:rStyle w:val="AERbody"/>
        </w:rPr>
        <w:t>TransGrid</w:t>
      </w:r>
      <w:r w:rsidRPr="003E7ED9">
        <w:rPr>
          <w:rStyle w:val="AERbody"/>
        </w:rPr>
        <w:t xml:space="preserve"> as set out in the capex incentive guideline without any further exclusions. We are not satisfied </w:t>
      </w:r>
      <w:r>
        <w:rPr>
          <w:rStyle w:val="AERbody"/>
        </w:rPr>
        <w:t>TransGrid's</w:t>
      </w:r>
      <w:r w:rsidRPr="003E7ED9">
        <w:rPr>
          <w:rStyle w:val="AERbody"/>
        </w:rPr>
        <w:t xml:space="preserve"> reasons for its proposed exclusions raise new issues different to those we considered during our development of the capital expenditure incentive guideline.</w:t>
      </w:r>
    </w:p>
    <w:p w:rsidR="003B0D45" w:rsidRPr="00EA0540" w:rsidRDefault="003B0D45" w:rsidP="00EA0540">
      <w:pPr>
        <w:pStyle w:val="Heading2"/>
        <w:rPr>
          <w:rStyle w:val="AERbody"/>
          <w:color w:val="E36C0A"/>
          <w:sz w:val="28"/>
        </w:rPr>
      </w:pPr>
      <w:bookmarkStart w:id="101" w:name="_Toc404437643"/>
      <w:r w:rsidRPr="00EA0540">
        <w:rPr>
          <w:rStyle w:val="AERbody"/>
          <w:color w:val="E36C0A"/>
          <w:sz w:val="28"/>
        </w:rPr>
        <w:t>Service target performance incentive scheme</w:t>
      </w:r>
      <w:bookmarkEnd w:id="101"/>
    </w:p>
    <w:p w:rsidR="00EA0540" w:rsidRDefault="00EA0540" w:rsidP="00EA0540">
      <w:pPr>
        <w:pStyle w:val="AERbodytext"/>
      </w:pPr>
      <w:r>
        <w:t xml:space="preserve">The STPIS </w:t>
      </w:r>
      <w:r w:rsidR="005A1E9C">
        <w:t xml:space="preserve">has </w:t>
      </w:r>
      <w:r>
        <w:t xml:space="preserve">three components: </w:t>
      </w:r>
    </w:p>
    <w:p w:rsidR="005A1E9C" w:rsidRDefault="00EA0540" w:rsidP="00F02D30">
      <w:pPr>
        <w:pStyle w:val="AERbulletlistfirststyle"/>
      </w:pPr>
      <w:r>
        <w:t xml:space="preserve">The service component provides a financial incentive for the TNSP to improve and maintain its service performance. </w:t>
      </w:r>
    </w:p>
    <w:p w:rsidR="005A1E9C" w:rsidRDefault="00EA0540" w:rsidP="00F02D30">
      <w:pPr>
        <w:pStyle w:val="AERbulletlistfirststyle"/>
      </w:pPr>
      <w:r w:rsidRPr="003C1B71">
        <w:t xml:space="preserve">The </w:t>
      </w:r>
      <w:r>
        <w:t>market impact component</w:t>
      </w:r>
      <w:r w:rsidRPr="003C1B71">
        <w:t xml:space="preserve"> provides an incentive to TNSPs to minimise the impact of transmission outages that can affect</w:t>
      </w:r>
      <w:r>
        <w:t xml:space="preserve"> the NEM</w:t>
      </w:r>
      <w:r w:rsidRPr="003C1B71">
        <w:t xml:space="preserve"> </w:t>
      </w:r>
      <w:r>
        <w:t>spot price.</w:t>
      </w:r>
      <w:r w:rsidDel="00861EC5">
        <w:t xml:space="preserve"> </w:t>
      </w:r>
    </w:p>
    <w:p w:rsidR="00DA4B0D" w:rsidRDefault="00EA0540" w:rsidP="00F02D30">
      <w:pPr>
        <w:pStyle w:val="AERbulletlistfirststyle"/>
      </w:pPr>
      <w:r>
        <w:t>The network capability component funds and incentivises the TNSP to identify and implement incremental changes that would improve the capability of the network when it is most needed.</w:t>
      </w:r>
    </w:p>
    <w:p w:rsidR="00EA0540" w:rsidRPr="00EA0540" w:rsidRDefault="00EA0540" w:rsidP="00EA0540">
      <w:pPr>
        <w:pStyle w:val="AERbodytext"/>
      </w:pPr>
      <w:r>
        <w:t xml:space="preserve">Attachment 11 sets out </w:t>
      </w:r>
      <w:r w:rsidRPr="00AA56FF">
        <w:t>our detailed reasons for our draft decision on the STPIS.</w:t>
      </w:r>
    </w:p>
    <w:p w:rsidR="003B0D45" w:rsidRPr="00EA0540" w:rsidRDefault="003B0D45" w:rsidP="00EA0540">
      <w:pPr>
        <w:pStyle w:val="Heading3"/>
        <w:rPr>
          <w:rStyle w:val="AERbody"/>
          <w:color w:val="E36C0A"/>
          <w:sz w:val="24"/>
        </w:rPr>
      </w:pPr>
      <w:bookmarkStart w:id="102" w:name="_Toc404437644"/>
      <w:r w:rsidRPr="00EA0540">
        <w:rPr>
          <w:rStyle w:val="AERbody"/>
          <w:color w:val="E36C0A"/>
          <w:sz w:val="24"/>
        </w:rPr>
        <w:t>Draft decision</w:t>
      </w:r>
      <w:bookmarkEnd w:id="102"/>
    </w:p>
    <w:p w:rsidR="005A1E9C" w:rsidRDefault="005A1E9C" w:rsidP="00F02D30">
      <w:pPr>
        <w:pStyle w:val="AERbodytext"/>
      </w:pPr>
      <w:r>
        <w:t>Version 4.1 of the service target performance incentive scheme (STPIS) will apply to TransGrid for the 2015–18 regulatory control period.</w:t>
      </w:r>
    </w:p>
    <w:p w:rsidR="00EA0540" w:rsidRPr="00C85765" w:rsidRDefault="00EA0540" w:rsidP="00EA0540">
      <w:pPr>
        <w:pStyle w:val="HeadingBoldBlue"/>
      </w:pPr>
      <w:r w:rsidRPr="00C85765">
        <w:t>Service component</w:t>
      </w:r>
    </w:p>
    <w:p w:rsidR="00EA0540" w:rsidRPr="00C85765" w:rsidRDefault="00EA0540" w:rsidP="00EA0540">
      <w:pPr>
        <w:pStyle w:val="AERbodytext"/>
      </w:pPr>
      <w:r>
        <w:t>We accept TransGrid'</w:t>
      </w:r>
      <w:r w:rsidR="00DA4B0D">
        <w:t>s</w:t>
      </w:r>
      <w:r>
        <w:t xml:space="preserve"> </w:t>
      </w:r>
      <w:r w:rsidRPr="00C85765">
        <w:t xml:space="preserve">proposed </w:t>
      </w:r>
      <w:r>
        <w:t xml:space="preserve">performance targets for the </w:t>
      </w:r>
      <w:r w:rsidRPr="00C85765">
        <w:t>service component</w:t>
      </w:r>
      <w:r>
        <w:t>.</w:t>
      </w:r>
      <w:r w:rsidRPr="00C85765">
        <w:t xml:space="preserve"> </w:t>
      </w:r>
      <w:r>
        <w:t xml:space="preserve">However, we do not accept TransGrid's </w:t>
      </w:r>
      <w:r w:rsidRPr="00C85765">
        <w:t>proposed caps and collars</w:t>
      </w:r>
      <w:r>
        <w:t xml:space="preserve">. Table 11.1 of </w:t>
      </w:r>
      <w:r w:rsidR="004D7D72">
        <w:t>a</w:t>
      </w:r>
      <w:r>
        <w:t>ttachment 11 s</w:t>
      </w:r>
      <w:r w:rsidRPr="00C85765">
        <w:t xml:space="preserve">ets out our draft decision on </w:t>
      </w:r>
      <w:r>
        <w:t>TransGrid's</w:t>
      </w:r>
      <w:r w:rsidRPr="00C85765">
        <w:t xml:space="preserve"> service component parameter values. </w:t>
      </w:r>
    </w:p>
    <w:p w:rsidR="00EA0540" w:rsidRPr="00C85765" w:rsidRDefault="00EA0540" w:rsidP="00EA0540">
      <w:pPr>
        <w:pStyle w:val="HeadingBoldBlue"/>
      </w:pPr>
      <w:r>
        <w:t>Market impact component</w:t>
      </w:r>
    </w:p>
    <w:p w:rsidR="00EA0540" w:rsidRPr="00C267B7" w:rsidRDefault="00EA0540" w:rsidP="00EA0540">
      <w:pPr>
        <w:pStyle w:val="AERbodytext"/>
      </w:pPr>
      <w:r w:rsidRPr="008C5D76">
        <w:t xml:space="preserve">While we were not required to make a </w:t>
      </w:r>
      <w:r>
        <w:t>formal</w:t>
      </w:r>
      <w:r w:rsidRPr="008C5D76">
        <w:t xml:space="preserve"> decision on a market impact </w:t>
      </w:r>
      <w:r>
        <w:t xml:space="preserve">parameter </w:t>
      </w:r>
      <w:r w:rsidRPr="008C5D76">
        <w:t xml:space="preserve">performance target, we did audit and adjust </w:t>
      </w:r>
      <w:r>
        <w:t>TransGrid</w:t>
      </w:r>
      <w:r w:rsidRPr="008C5D76">
        <w:t>'s 2011</w:t>
      </w:r>
      <w:r>
        <w:t>,</w:t>
      </w:r>
      <w:r w:rsidRPr="008C5D76">
        <w:t xml:space="preserve"> 2012</w:t>
      </w:r>
      <w:r>
        <w:t xml:space="preserve"> and 2013 performance data which was submitted as part of TransGrid's revenue proposal</w:t>
      </w:r>
      <w:r w:rsidRPr="008C5D76">
        <w:t>.</w:t>
      </w:r>
      <w:r>
        <w:t xml:space="preserve"> The average performance over these three years is used to calculate TransGrid's 2014 market impact parameter performance target which we assessed as</w:t>
      </w:r>
      <w:r w:rsidRPr="00C20F1E">
        <w:t xml:space="preserve"> </w:t>
      </w:r>
      <w:r>
        <w:t>745</w:t>
      </w:r>
      <w:r w:rsidRPr="00C20F1E">
        <w:t xml:space="preserve"> dispatch intervals.</w:t>
      </w:r>
      <w:r>
        <w:rPr>
          <w:rStyle w:val="FootnoteReference"/>
        </w:rPr>
        <w:footnoteReference w:id="108"/>
      </w:r>
    </w:p>
    <w:p w:rsidR="00EA0540" w:rsidRDefault="00EA0540" w:rsidP="00EA0540">
      <w:pPr>
        <w:pStyle w:val="HeadingBoldBlue"/>
      </w:pPr>
      <w:r>
        <w:t>Network capability</w:t>
      </w:r>
      <w:r w:rsidRPr="00C85765">
        <w:t xml:space="preserve"> component</w:t>
      </w:r>
    </w:p>
    <w:p w:rsidR="00EA0540" w:rsidRPr="00EA0540" w:rsidRDefault="00EA0540" w:rsidP="00EA0540">
      <w:pPr>
        <w:pStyle w:val="AERbodytext"/>
      </w:pPr>
      <w:r>
        <w:t xml:space="preserve">We accept TransGrid's proposed priority projects and improvement targets. Table 11.2 of </w:t>
      </w:r>
      <w:r w:rsidR="004D7D72">
        <w:t>a</w:t>
      </w:r>
      <w:r>
        <w:t>ttachment 11 sets out our draft decision on TransGrid’s proposed priority projects, total costs and project ranking.</w:t>
      </w:r>
    </w:p>
    <w:p w:rsidR="003B0D45" w:rsidRPr="00EA0540" w:rsidRDefault="003B0D45" w:rsidP="00EA0540">
      <w:pPr>
        <w:pStyle w:val="Heading3"/>
        <w:rPr>
          <w:rStyle w:val="AERbody"/>
          <w:color w:val="E36C0A"/>
          <w:sz w:val="24"/>
        </w:rPr>
      </w:pPr>
      <w:bookmarkStart w:id="103" w:name="_Toc404437645"/>
      <w:r w:rsidRPr="00EA0540">
        <w:rPr>
          <w:rStyle w:val="AERbody"/>
          <w:color w:val="E36C0A"/>
          <w:sz w:val="24"/>
        </w:rPr>
        <w:lastRenderedPageBreak/>
        <w:t>Summary of analysis and reasons</w:t>
      </w:r>
      <w:bookmarkEnd w:id="103"/>
    </w:p>
    <w:p w:rsidR="00EA0540" w:rsidRPr="00C85765" w:rsidRDefault="00EA0540" w:rsidP="00EA0540">
      <w:pPr>
        <w:pStyle w:val="HeadingBoldBlue"/>
      </w:pPr>
      <w:r w:rsidRPr="00C85765">
        <w:t>Service component</w:t>
      </w:r>
    </w:p>
    <w:p w:rsidR="00EA0540" w:rsidRPr="00E02761" w:rsidRDefault="00EA0540" w:rsidP="00EA0540">
      <w:pPr>
        <w:pStyle w:val="AERbodytext"/>
        <w:rPr>
          <w:rStyle w:val="AERtexthighlight"/>
        </w:rPr>
      </w:pPr>
      <w:r>
        <w:t xml:space="preserve">We do not accept TransGrid's </w:t>
      </w:r>
      <w:r w:rsidRPr="00C85765">
        <w:t>proposed caps and collars</w:t>
      </w:r>
      <w:r w:rsidR="000B257E">
        <w:t>, which</w:t>
      </w:r>
      <w:r>
        <w:t xml:space="preserve"> do not comply with the requirements of clause 3.2(e) of the STPIS as the values are not based on a sound methodology. We applied our principle</w:t>
      </w:r>
      <w:r w:rsidR="000B257E">
        <w:t>s</w:t>
      </w:r>
      <w:r w:rsidR="00DA4B0D">
        <w:t>-</w:t>
      </w:r>
      <w:r>
        <w:t>based approach to test the reasonableness of TransGrid's proposed caps and collars. Our preferred approach results in caps and collars that provide a materially stronger incentive for the TNSP to improve and maintain service performance. This is consistent with the approach that we applied to SP AusNet in 2013 and is a conceptually sound method.</w:t>
      </w:r>
    </w:p>
    <w:p w:rsidR="00EA0540" w:rsidRPr="00C85765" w:rsidRDefault="00EA0540" w:rsidP="00EA0540">
      <w:pPr>
        <w:pStyle w:val="HeadingBoldBlue"/>
      </w:pPr>
      <w:r>
        <w:t>Market impact component</w:t>
      </w:r>
    </w:p>
    <w:p w:rsidR="00EA0540" w:rsidRPr="008C5D76" w:rsidRDefault="00EA0540" w:rsidP="00EA0540">
      <w:pPr>
        <w:pStyle w:val="AERbodytext"/>
      </w:pPr>
      <w:r>
        <w:t>W</w:t>
      </w:r>
      <w:r w:rsidRPr="008C5D76">
        <w:t xml:space="preserve">e are not required to determine a market impact parameter </w:t>
      </w:r>
      <w:r>
        <w:t xml:space="preserve">performance </w:t>
      </w:r>
      <w:r w:rsidRPr="008C5D76">
        <w:t xml:space="preserve">target because it will be set </w:t>
      </w:r>
      <w:r>
        <w:t xml:space="preserve">annually </w:t>
      </w:r>
      <w:r w:rsidRPr="008C5D76">
        <w:t>as a rolling average during the 201</w:t>
      </w:r>
      <w:r>
        <w:t>5</w:t>
      </w:r>
      <w:r w:rsidRPr="008C5D76">
        <w:t>–1</w:t>
      </w:r>
      <w:r>
        <w:t>8</w:t>
      </w:r>
      <w:r w:rsidRPr="008C5D76">
        <w:t xml:space="preserve"> regulatory control period. The target for the 201</w:t>
      </w:r>
      <w:r>
        <w:t>5</w:t>
      </w:r>
      <w:r w:rsidRPr="008C5D76">
        <w:t xml:space="preserve"> calendar year, for example, will be an average of </w:t>
      </w:r>
      <w:r>
        <w:t>TransGrid</w:t>
      </w:r>
      <w:r w:rsidRPr="008C5D76">
        <w:t>'s 201</w:t>
      </w:r>
      <w:r>
        <w:t>2</w:t>
      </w:r>
      <w:r w:rsidRPr="008C5D76">
        <w:t>, 201</w:t>
      </w:r>
      <w:r>
        <w:t>3</w:t>
      </w:r>
      <w:r w:rsidRPr="008C5D76">
        <w:t xml:space="preserve"> and 201</w:t>
      </w:r>
      <w:r>
        <w:t>4</w:t>
      </w:r>
      <w:r w:rsidRPr="008C5D76">
        <w:t xml:space="preserve"> market impact performance, while actual performance in 201</w:t>
      </w:r>
      <w:r>
        <w:t>5</w:t>
      </w:r>
      <w:r w:rsidRPr="008C5D76">
        <w:t xml:space="preserve"> will be measured as an average of </w:t>
      </w:r>
      <w:r>
        <w:t>its</w:t>
      </w:r>
      <w:r w:rsidRPr="008C5D76">
        <w:t xml:space="preserve"> 201</w:t>
      </w:r>
      <w:r>
        <w:t>4</w:t>
      </w:r>
      <w:r w:rsidRPr="008C5D76">
        <w:t xml:space="preserve"> and 201</w:t>
      </w:r>
      <w:r>
        <w:t>5</w:t>
      </w:r>
      <w:r w:rsidRPr="008C5D76">
        <w:t xml:space="preserve"> performance. </w:t>
      </w:r>
    </w:p>
    <w:p w:rsidR="00EA0540" w:rsidRDefault="00EA0540" w:rsidP="00EA0540">
      <w:pPr>
        <w:pStyle w:val="AERbodytext"/>
      </w:pPr>
      <w:r>
        <w:t>W</w:t>
      </w:r>
      <w:r w:rsidRPr="00C64E4B">
        <w:t xml:space="preserve">e audited </w:t>
      </w:r>
      <w:r>
        <w:t>TransGrid</w:t>
      </w:r>
      <w:r w:rsidRPr="00C64E4B">
        <w:t>'s 2011</w:t>
      </w:r>
      <w:r>
        <w:t>,</w:t>
      </w:r>
      <w:r w:rsidRPr="00C64E4B">
        <w:t xml:space="preserve"> 2012</w:t>
      </w:r>
      <w:r>
        <w:t xml:space="preserve"> and 2013</w:t>
      </w:r>
      <w:r w:rsidRPr="00C64E4B">
        <w:t xml:space="preserve"> performance</w:t>
      </w:r>
      <w:r>
        <w:t xml:space="preserve"> and averaged the performance over those three years to calculate TransGrid's 2014 performance target</w:t>
      </w:r>
      <w:r w:rsidRPr="00C64E4B">
        <w:t xml:space="preserve">. </w:t>
      </w:r>
      <w:r w:rsidRPr="004816E4">
        <w:t xml:space="preserve">We adjusted TransGrid's 2011 performance from </w:t>
      </w:r>
      <w:r w:rsidRPr="000D6724">
        <w:t>872</w:t>
      </w:r>
      <w:r w:rsidRPr="004816E4">
        <w:t xml:space="preserve"> to 870 dispatch intervals, its 2012 performance from 737 to 773 dispatch intervals and its 2013 performance remained at 593 dispatch intervals. The reasons for th</w:t>
      </w:r>
      <w:r w:rsidR="004D7D72">
        <w:t>ese adjustments are set out in t</w:t>
      </w:r>
      <w:r w:rsidRPr="004816E4">
        <w:t xml:space="preserve">able 11.7 of </w:t>
      </w:r>
      <w:r w:rsidR="004D7D72">
        <w:t>a</w:t>
      </w:r>
      <w:r>
        <w:t xml:space="preserve">ttachment 11. </w:t>
      </w:r>
      <w:r w:rsidRPr="000D6724">
        <w:t xml:space="preserve">Consequently, TransGrid's market impact </w:t>
      </w:r>
      <w:r>
        <w:t xml:space="preserve">parameter </w:t>
      </w:r>
      <w:r w:rsidRPr="000D6724">
        <w:t>pe</w:t>
      </w:r>
      <w:r>
        <w:t>rformance target for 2014 is 745</w:t>
      </w:r>
      <w:r w:rsidRPr="000D6724">
        <w:t xml:space="preserve"> dispatch intervals.</w:t>
      </w:r>
      <w:r>
        <w:rPr>
          <w:rStyle w:val="FootnoteReference"/>
        </w:rPr>
        <w:footnoteReference w:id="109"/>
      </w:r>
      <w:r>
        <w:t xml:space="preserve"> </w:t>
      </w:r>
    </w:p>
    <w:p w:rsidR="00EA0540" w:rsidRDefault="00EA0540" w:rsidP="00EA0540">
      <w:pPr>
        <w:pStyle w:val="HeadingBoldBlue"/>
      </w:pPr>
      <w:r>
        <w:t>Network capability</w:t>
      </w:r>
      <w:r w:rsidRPr="00C85765">
        <w:t xml:space="preserve"> component</w:t>
      </w:r>
    </w:p>
    <w:p w:rsidR="00EA0540" w:rsidRPr="00EA0540" w:rsidRDefault="00EA0540" w:rsidP="00EA0540">
      <w:pPr>
        <w:pStyle w:val="AERbodytext"/>
      </w:pPr>
      <w:r>
        <w:t xml:space="preserve">We accept TransGrid's proposed priority projects and priority project </w:t>
      </w:r>
      <w:r w:rsidRPr="00C23A9A">
        <w:t>improvement targets</w:t>
      </w:r>
      <w:r>
        <w:t>, as submitted on 30 May 2014</w:t>
      </w:r>
      <w:r w:rsidRPr="00C23A9A">
        <w:t xml:space="preserve">. </w:t>
      </w:r>
      <w:r>
        <w:t>We noted TransGrid has worked with AEMO to develop a ranking of the proposed network capability projects. Based on AEMO's recommendation and our review</w:t>
      </w:r>
      <w:r w:rsidRPr="00CE78F1">
        <w:t xml:space="preserve">, we </w:t>
      </w:r>
      <w:r>
        <w:t>consider TransGrid's</w:t>
      </w:r>
      <w:r w:rsidRPr="00CE78F1">
        <w:t xml:space="preserve"> proposed priority projects and priority project improvement targets are consistent with the STPIS </w:t>
      </w:r>
      <w:r>
        <w:t xml:space="preserve">requirements and </w:t>
      </w:r>
      <w:r w:rsidRPr="00CE78F1">
        <w:t xml:space="preserve">will </w:t>
      </w:r>
      <w:r>
        <w:t>result in</w:t>
      </w:r>
      <w:r w:rsidRPr="00CE78F1">
        <w:t xml:space="preserve"> a material benefit.</w:t>
      </w:r>
      <w:r w:rsidRPr="00CE78F1">
        <w:rPr>
          <w:rStyle w:val="FootnoteReference"/>
        </w:rPr>
        <w:footnoteReference w:id="110"/>
      </w:r>
    </w:p>
    <w:p w:rsidR="003B0D45" w:rsidRPr="009F4C42" w:rsidRDefault="003B0D45" w:rsidP="00E14922">
      <w:pPr>
        <w:pStyle w:val="Heading1"/>
      </w:pPr>
      <w:bookmarkStart w:id="104" w:name="_Toc404437646"/>
      <w:r w:rsidRPr="00E14922">
        <w:lastRenderedPageBreak/>
        <w:t>Consumer</w:t>
      </w:r>
      <w:r>
        <w:t xml:space="preserve"> engagement</w:t>
      </w:r>
      <w:bookmarkEnd w:id="104"/>
    </w:p>
    <w:p w:rsidR="005B2F9C" w:rsidRPr="005B2F9C" w:rsidRDefault="005B2F9C" w:rsidP="005B2F9C">
      <w:pPr>
        <w:pStyle w:val="HeadingBoldBlue"/>
      </w:pPr>
      <w:r w:rsidRPr="005B2F9C">
        <w:t>AER's views on effectiveness of TransGrid's consumer engagement</w:t>
      </w:r>
    </w:p>
    <w:p w:rsidR="005B2F9C" w:rsidRDefault="005B2F9C" w:rsidP="005B2F9C">
      <w:r>
        <w:t>The AEMC intended that the AER have regard to the nature of consumer engagement undertaken and the outcomes of that engagement.</w:t>
      </w:r>
      <w:r>
        <w:rPr>
          <w:rStyle w:val="FootnoteReference"/>
        </w:rPr>
        <w:footnoteReference w:id="111"/>
      </w:r>
      <w:r>
        <w:t xml:space="preserve"> </w:t>
      </w:r>
    </w:p>
    <w:p w:rsidR="005B2F9C" w:rsidRDefault="005B2F9C" w:rsidP="005B2F9C">
      <w:pPr>
        <w:rPr>
          <w:rStyle w:val="AERbody"/>
        </w:rPr>
      </w:pPr>
      <w:r>
        <w:rPr>
          <w:rStyle w:val="AERbody"/>
        </w:rPr>
        <w:t xml:space="preserve">It is clear that TransGrid put considerable time and effort in consumer engagement in the lead up to the submission of its revenue proposal. </w:t>
      </w:r>
      <w:r w:rsidR="004F231B">
        <w:rPr>
          <w:rStyle w:val="AERbody"/>
        </w:rPr>
        <w:t xml:space="preserve">Submissions from </w:t>
      </w:r>
      <w:r>
        <w:rPr>
          <w:rStyle w:val="AERbody"/>
        </w:rPr>
        <w:t xml:space="preserve">the CCP and </w:t>
      </w:r>
      <w:r w:rsidR="004F231B">
        <w:rPr>
          <w:rStyle w:val="AERbody"/>
        </w:rPr>
        <w:t xml:space="preserve">other </w:t>
      </w:r>
      <w:r>
        <w:rPr>
          <w:rStyle w:val="AERbody"/>
        </w:rPr>
        <w:t>stakeholder</w:t>
      </w:r>
      <w:r w:rsidR="004F231B">
        <w:rPr>
          <w:rStyle w:val="AERbody"/>
        </w:rPr>
        <w:t>s</w:t>
      </w:r>
      <w:r>
        <w:rPr>
          <w:rStyle w:val="AERbody"/>
        </w:rPr>
        <w:t xml:space="preserve"> </w:t>
      </w:r>
      <w:r w:rsidR="004F231B">
        <w:rPr>
          <w:rStyle w:val="AERbody"/>
        </w:rPr>
        <w:t>support this view</w:t>
      </w:r>
      <w:r>
        <w:rPr>
          <w:rStyle w:val="AERbody"/>
        </w:rPr>
        <w:t>.</w:t>
      </w:r>
      <w:r w:rsidRPr="005B2F9C">
        <w:rPr>
          <w:rStyle w:val="FootnoteReference"/>
        </w:rPr>
        <w:footnoteReference w:id="112"/>
      </w:r>
      <w:r>
        <w:rPr>
          <w:rStyle w:val="AERbody"/>
        </w:rPr>
        <w:t xml:space="preserve"> Where views depart is the reliability of the consumer preferences TransGrid cites in its revenue proposal as the results of its engagement, and the weight that we can and should give to these in assessing that proposal. It is also apparent that in a number of respects views put directly to the AER in stakeholder submissions on TransGrid's proposal are not necessarily consistent with those TransGrid has identified as resulting from its consumer engagement. These differing views are discussed below.</w:t>
      </w:r>
    </w:p>
    <w:p w:rsidR="005B2F9C" w:rsidRDefault="005B2F9C" w:rsidP="005B2F9C">
      <w:pPr>
        <w:pStyle w:val="HeadingBoldBlue"/>
      </w:pPr>
      <w:r>
        <w:t>AER consumer engagement guideline for service providers</w:t>
      </w:r>
    </w:p>
    <w:p w:rsidR="005B2F9C" w:rsidRDefault="005B2F9C" w:rsidP="005B2F9C">
      <w:r>
        <w:t>To assist service providers, we developed a consumer engagement guideline for network service providers.</w:t>
      </w:r>
      <w:r>
        <w:rPr>
          <w:rStyle w:val="FootnoteReference"/>
        </w:rPr>
        <w:footnoteReference w:id="113"/>
      </w:r>
      <w:r>
        <w:t xml:space="preserve"> Our consumer engagement guideline centres on best practice principles which seek to drive consumer engagement and a commitment from service providers to continuously improve engagement across all business operations. Our guideline is not prescriptive but rather places the onus on service providers to develop consumer engagement strategies and activities that best suit their business. Service providers can do this most appropriately because they are in the best position to understand their consumer base and its issues. </w:t>
      </w:r>
    </w:p>
    <w:p w:rsidR="005B2F9C" w:rsidRDefault="005B2F9C" w:rsidP="005B2F9C">
      <w:r>
        <w:t xml:space="preserve">We acknowledge that our consumer engagement guideline has only been in effect since November 2013. Therefore, most network service providers’ consumer engagement strategies are reflective of the consumer engagement approaches they already had in place. Since the release of the guideline, most service providers have made steps to improve and implement a consumer engagement strategy in line with our guideline to support their proposals. We encourage all service providers to continue in this positive direction. We also recommend that service providers review stakeholder and Consumer Challenge Panel submissions and consult with them on how their consumer engagement strategies can be improved to provide ongoing and genuine engagement and demonstrate how stakeholder input has shaped future proposals and broader business decisions. </w:t>
      </w:r>
    </w:p>
    <w:p w:rsidR="005B2F9C" w:rsidRDefault="005B2F9C" w:rsidP="005B2F9C">
      <w:r>
        <w:t>Ultimately, we expect service providers to undertake systematic, consistent and strategic engagement with consumers on issues significant to both parties. As set out in our consumer engagement guideline, we have considered how TransGrid:</w:t>
      </w:r>
    </w:p>
    <w:p w:rsidR="005B2F9C" w:rsidRDefault="005B2F9C" w:rsidP="005B2F9C">
      <w:pPr>
        <w:pStyle w:val="AERbulletlistfirststyle"/>
      </w:pPr>
      <w:r>
        <w:t>equipped consumers to participate in consultation</w:t>
      </w:r>
    </w:p>
    <w:p w:rsidR="005B2F9C" w:rsidRDefault="005B2F9C" w:rsidP="005B2F9C">
      <w:pPr>
        <w:pStyle w:val="AERbulletlistfirststyle"/>
      </w:pPr>
      <w:r>
        <w:t>made issues tangible to consumers</w:t>
      </w:r>
    </w:p>
    <w:p w:rsidR="005B2F9C" w:rsidRDefault="005B2F9C" w:rsidP="005B2F9C">
      <w:pPr>
        <w:pStyle w:val="AERbulletlistfirststyle"/>
      </w:pPr>
      <w:r>
        <w:t>obtained a cross section of views</w:t>
      </w:r>
    </w:p>
    <w:p w:rsidR="005B2F9C" w:rsidRDefault="005B2F9C" w:rsidP="005B2F9C">
      <w:pPr>
        <w:pStyle w:val="AERbulletlistfirststyle"/>
      </w:pPr>
      <w:r>
        <w:t>considered and responded to consumer views</w:t>
      </w:r>
    </w:p>
    <w:p w:rsidR="005B2F9C" w:rsidRDefault="005B2F9C" w:rsidP="005B2F9C">
      <w:r>
        <w:lastRenderedPageBreak/>
        <w:t>We have made this assessment drawing on TransGrid’s proposal and submissions</w:t>
      </w:r>
      <w:r w:rsidR="004F231B" w:rsidRPr="004F231B">
        <w:t xml:space="preserve"> </w:t>
      </w:r>
      <w:r w:rsidR="004F231B">
        <w:t>from the CCP and other stakeholders</w:t>
      </w:r>
      <w:r>
        <w:t xml:space="preserve">. We have also had regard to extent to which TransGrid’s opex and capex proposals </w:t>
      </w:r>
      <w:r w:rsidR="004F231B">
        <w:t>reflect</w:t>
      </w:r>
      <w:r>
        <w:t xml:space="preserve"> consumer concerns identified in the course of its engagement with them.</w:t>
      </w:r>
      <w:r>
        <w:rPr>
          <w:rStyle w:val="FootnoteReference"/>
        </w:rPr>
        <w:footnoteReference w:id="114"/>
      </w:r>
      <w:r>
        <w:t xml:space="preserve"> Our assessment of these opex and capex factors is </w:t>
      </w:r>
      <w:r w:rsidRPr="00E06622">
        <w:t>detailed in the respective opex and capex attachments.</w:t>
      </w:r>
    </w:p>
    <w:p w:rsidR="005B2F9C" w:rsidRDefault="005B2F9C" w:rsidP="005B2F9C">
      <w:pPr>
        <w:pStyle w:val="HeadingBoldBlue"/>
      </w:pPr>
      <w:r>
        <w:t>Equipped consumers to participate in consultation and made issues tangible to consumers</w:t>
      </w:r>
    </w:p>
    <w:p w:rsidR="005B2F9C" w:rsidRDefault="005B2F9C" w:rsidP="005B2F9C">
      <w:r>
        <w:t>TransGrid use</w:t>
      </w:r>
      <w:r w:rsidR="003642C2">
        <w:t>d</w:t>
      </w:r>
      <w:r>
        <w:t xml:space="preserve"> a range of approaches to consumer engagement. These were chosen to capture a representative a sample of views, understandings, priorities and concerns.</w:t>
      </w:r>
      <w:r>
        <w:rPr>
          <w:rStyle w:val="FootnoteReference"/>
        </w:rPr>
        <w:footnoteReference w:id="115"/>
      </w:r>
      <w:r>
        <w:t xml:space="preserve"> It began its engagement with relatively high level discussions to measure consumers’ understanding of TransGrid and the electricity industry, before moving on to specific topics relating to its revenue reset program.</w:t>
      </w:r>
      <w:r>
        <w:rPr>
          <w:rStyle w:val="FootnoteReference"/>
        </w:rPr>
        <w:footnoteReference w:id="116"/>
      </w:r>
    </w:p>
    <w:p w:rsidR="005B2F9C" w:rsidRDefault="005B2F9C" w:rsidP="005B2F9C">
      <w:r>
        <w:t>Different strategies were adopted for:</w:t>
      </w:r>
    </w:p>
    <w:p w:rsidR="005B2F9C" w:rsidRDefault="005B2F9C" w:rsidP="005B2F9C">
      <w:pPr>
        <w:pStyle w:val="AERbulletlistfirststyle"/>
      </w:pPr>
      <w:r>
        <w:t>Consumer, industry and business groups: workshops</w:t>
      </w:r>
      <w:r w:rsidRPr="008C0E9E">
        <w:t xml:space="preserve"> </w:t>
      </w:r>
      <w:r>
        <w:t>by direct invitation, presentations from external experts on pricing and rate of return, one-on-one meetings</w:t>
      </w:r>
      <w:r>
        <w:rPr>
          <w:rStyle w:val="FootnoteReference"/>
        </w:rPr>
        <w:footnoteReference w:id="117"/>
      </w:r>
    </w:p>
    <w:p w:rsidR="005B2F9C" w:rsidRDefault="005B2F9C" w:rsidP="005B2F9C">
      <w:pPr>
        <w:pStyle w:val="AERbulletlistfirststyle"/>
      </w:pPr>
      <w:r>
        <w:t>Large energy users: workshops by direct invitation, presentations from external experts on pricing and rate of return</w:t>
      </w:r>
      <w:r>
        <w:rPr>
          <w:rStyle w:val="FootnoteReference"/>
        </w:rPr>
        <w:footnoteReference w:id="118"/>
      </w:r>
    </w:p>
    <w:p w:rsidR="005B2F9C" w:rsidRDefault="005B2F9C" w:rsidP="005B2F9C">
      <w:pPr>
        <w:pStyle w:val="AERbulletlistfirststyle"/>
      </w:pPr>
      <w:r>
        <w:t>Residential and small business customers: consumer roundtables and deliberative forums (with participants recruited by a market research company), a consumer focussed website and online qualitative survey, and consumer behaviour survey. TransGrid used external market research companies for this part of its engagement.</w:t>
      </w:r>
      <w:r>
        <w:rPr>
          <w:rStyle w:val="FootnoteReference"/>
        </w:rPr>
        <w:footnoteReference w:id="119"/>
      </w:r>
    </w:p>
    <w:p w:rsidR="005B2F9C" w:rsidRDefault="005B2F9C" w:rsidP="005B2F9C">
      <w:r>
        <w:t>Engagement with residential and small business customers also appears to have started earlier, with the first consumer roundtables in May and June 2013.</w:t>
      </w:r>
      <w:r>
        <w:rPr>
          <w:rStyle w:val="FootnoteReference"/>
        </w:rPr>
        <w:footnoteReference w:id="120"/>
      </w:r>
      <w:r>
        <w:t xml:space="preserve"> The first workshops for consumer, industry and business groups and large users were in November 2013.</w:t>
      </w:r>
      <w:r>
        <w:rPr>
          <w:rStyle w:val="FootnoteReference"/>
        </w:rPr>
        <w:footnoteReference w:id="121"/>
      </w:r>
    </w:p>
    <w:p w:rsidR="005B2F9C" w:rsidRDefault="005B2F9C" w:rsidP="005B2F9C">
      <w:r>
        <w:t>Despite these efforts the CCP remains concerned that TransGrid’s engagement was more in the nature of informing consumers of its plans than involving or collaborating with them in the development of its proposal.</w:t>
      </w:r>
      <w:r>
        <w:rPr>
          <w:rStyle w:val="FootnoteReference"/>
        </w:rPr>
        <w:footnoteReference w:id="122"/>
      </w:r>
      <w:r>
        <w:t xml:space="preserve"> In support of this view it refers to submissions from large users to the AER. The Energy Markets Reform Forum described TransGrid’s interaction with consumers as</w:t>
      </w:r>
      <w:r w:rsidR="00111EE0">
        <w:t>:</w:t>
      </w:r>
      <w:r>
        <w:t xml:space="preserve"> </w:t>
      </w:r>
    </w:p>
    <w:p w:rsidR="005B2F9C" w:rsidRPr="005B2F9C" w:rsidRDefault="005B2F9C" w:rsidP="005B2F9C">
      <w:pPr>
        <w:pStyle w:val="AERquote"/>
      </w:pPr>
      <w:r>
        <w:t>…more of “this is what we have planned” and “the reliability and availability is this and this is what it costs” rather than “how can we provide the service you need which meets your ability to pay”.</w:t>
      </w:r>
      <w:r w:rsidRPr="005B2F9C">
        <w:rPr>
          <w:rStyle w:val="AERsuperscript"/>
        </w:rPr>
        <w:footnoteReference w:id="123"/>
      </w:r>
    </w:p>
    <w:p w:rsidR="005B2F9C" w:rsidRDefault="005B2F9C" w:rsidP="005B2F9C">
      <w:r>
        <w:t>Submissions also express reservations about elements of TransGrid’s proposal and the way that they were presented in TransGrid’s engagement with consumers. For example, as an illustration of its consideration of consumer feedback in its proposal, TransGrid notes that outcomes of consumer engagement support a slight price increase, within CPI, to maintain the same reliability as now.</w:t>
      </w:r>
      <w:r>
        <w:rPr>
          <w:rStyle w:val="FootnoteReference"/>
        </w:rPr>
        <w:footnoteReference w:id="124"/>
      </w:r>
      <w:r>
        <w:t xml:space="preserve"> </w:t>
      </w:r>
      <w:r>
        <w:lastRenderedPageBreak/>
        <w:t>Less support was cited for options of paying the same for slightly lower reliability, and slightly less for lower reliability. TransGrid concludes that:</w:t>
      </w:r>
    </w:p>
    <w:p w:rsidR="005B2F9C" w:rsidRPr="005B2F9C" w:rsidRDefault="005B2F9C" w:rsidP="005B2F9C">
      <w:pPr>
        <w:pStyle w:val="AERquote"/>
      </w:pPr>
      <w:r>
        <w:t>Given that the majority are willing to pay a slight increase to maintain the reliability of the transmission network, and that transmission outages can have widespread effects and significant economic impact, it appears that TransGrid’s replacement program is appropriate and aligned with consumers’ expectations that TransGrid should maintain the reliability of the network at its current level.</w:t>
      </w:r>
      <w:r w:rsidRPr="005B2F9C">
        <w:rPr>
          <w:rStyle w:val="AERsuperscript"/>
        </w:rPr>
        <w:footnoteReference w:id="125"/>
      </w:r>
    </w:p>
    <w:p w:rsidR="005B2F9C" w:rsidRDefault="005B2F9C" w:rsidP="005B2F9C">
      <w:r>
        <w:t>Submissions from large users and their representatives challenge both the assumption that prices must increase in order to maintain current reliability levels (and that the same or lower prices would result in lower reliability), and TransGrid’s approach in using this assumption as the premise for its questions.</w:t>
      </w:r>
      <w:r>
        <w:rPr>
          <w:rStyle w:val="FootnoteReference"/>
        </w:rPr>
        <w:footnoteReference w:id="126"/>
      </w:r>
    </w:p>
    <w:p w:rsidR="005B2F9C" w:rsidRDefault="005B2F9C" w:rsidP="005B2F9C">
      <w:pPr>
        <w:pStyle w:val="AERbodytext"/>
      </w:pPr>
      <w:r>
        <w:t>In contrast, feedback on TransGrid’s engagement on its pricing methodology</w:t>
      </w:r>
      <w:r w:rsidR="00676B21">
        <w:rPr>
          <w:rStyle w:val="FootnoteReference"/>
        </w:rPr>
        <w:footnoteReference w:id="127"/>
      </w:r>
      <w:r>
        <w:t xml:space="preserve"> was consistently positive. The same parties found it a good and constructive dialogue, commending in particular TransGrid’s release of a consultation paper to help consumers understand how pricing is undertaken.</w:t>
      </w:r>
      <w:r>
        <w:rPr>
          <w:rStyle w:val="FootnoteReference"/>
        </w:rPr>
        <w:footnoteReference w:id="128"/>
      </w:r>
      <w:r>
        <w:t xml:space="preserve"> This aspect of TransGrid’ engagement was described as “a good example where current resources and expertise have been able to have an open dialogue where the ideas and views of all parties have been considered”</w:t>
      </w:r>
      <w:r>
        <w:rPr>
          <w:rStyle w:val="FootnoteReference"/>
        </w:rPr>
        <w:footnoteReference w:id="129"/>
      </w:r>
      <w:r>
        <w:t>.</w:t>
      </w:r>
    </w:p>
    <w:p w:rsidR="005B2F9C" w:rsidRDefault="005B2F9C" w:rsidP="005B2F9C">
      <w:pPr>
        <w:pStyle w:val="HeadingBoldBlue"/>
      </w:pPr>
      <w:r>
        <w:t>Obtained, considered and responded to a cross section of stakeholder views</w:t>
      </w:r>
    </w:p>
    <w:p w:rsidR="005B2F9C" w:rsidRDefault="005B2F9C" w:rsidP="005B2F9C">
      <w:r>
        <w:t>As noted above, the range of approaches TransGrid used as part of its consumer engagement strategy were chosen to gather a representative sample of consumer views.</w:t>
      </w:r>
      <w:r>
        <w:rPr>
          <w:rStyle w:val="FootnoteReference"/>
        </w:rPr>
        <w:footnoteReference w:id="130"/>
      </w:r>
      <w:r>
        <w:t xml:space="preserve"> For example, participants in TransGrid’s consumer roundtables and deliberative forums were recruited by a market research company to be representative of the demographics of electricity consumers.</w:t>
      </w:r>
      <w:r>
        <w:rPr>
          <w:rStyle w:val="FootnoteReference"/>
        </w:rPr>
        <w:footnoteReference w:id="131"/>
      </w:r>
    </w:p>
    <w:p w:rsidR="005B2F9C" w:rsidRDefault="005B2F9C" w:rsidP="005B2F9C">
      <w:pPr>
        <w:pStyle w:val="AERbodytext"/>
      </w:pPr>
      <w:r>
        <w:t>For consumer, industry and business groups and large energy users, TransGrid held an initial workshop or forum in November 2013 to gather opinions on key elements of its draft proposal and a second workshop on April to explain how feedback had been taken into account and seek further comment.</w:t>
      </w:r>
      <w:r>
        <w:rPr>
          <w:rStyle w:val="FootnoteReference"/>
        </w:rPr>
        <w:footnoteReference w:id="132"/>
      </w:r>
      <w:r>
        <w:t xml:space="preserve"> Some participants felt these forums were more about TransGrid providing its views than about detailed discussion about the issues, and that their comments would have had little impact on TransGrid’s revenue proposal.</w:t>
      </w:r>
      <w:r>
        <w:rPr>
          <w:rStyle w:val="FootnoteReference"/>
        </w:rPr>
        <w:footnoteReference w:id="133"/>
      </w:r>
      <w:r>
        <w:t xml:space="preserve"> </w:t>
      </w:r>
    </w:p>
    <w:p w:rsidR="005B2F9C" w:rsidRDefault="005B2F9C" w:rsidP="005B2F9C">
      <w:pPr>
        <w:pStyle w:val="AERbodytext"/>
      </w:pPr>
      <w:r>
        <w:t>TransGrid’s proposed pricing methodology again stands out in this respect, and was described in the same submissions as reflecting considerable consumer input.</w:t>
      </w:r>
      <w:r>
        <w:rPr>
          <w:rStyle w:val="FootnoteReference"/>
        </w:rPr>
        <w:footnoteReference w:id="134"/>
      </w:r>
    </w:p>
    <w:p w:rsidR="003B0D45" w:rsidRPr="009F4C42" w:rsidRDefault="003B0D45" w:rsidP="00E14922">
      <w:pPr>
        <w:pStyle w:val="Heading1"/>
      </w:pPr>
      <w:bookmarkStart w:id="105" w:name="_Toc404437647"/>
      <w:r w:rsidRPr="009F4C42">
        <w:lastRenderedPageBreak/>
        <w:t>Next steps</w:t>
      </w:r>
      <w:bookmarkEnd w:id="105"/>
    </w:p>
    <w:p w:rsidR="001B76EB" w:rsidRPr="009F4C42" w:rsidRDefault="00D270E0" w:rsidP="001B76EB">
      <w:pPr>
        <w:pStyle w:val="AERbodytext"/>
      </w:pPr>
      <w:r>
        <w:t>TransGrid</w:t>
      </w:r>
      <w:r w:rsidRPr="009F4C42">
        <w:t xml:space="preserve"> </w:t>
      </w:r>
      <w:r w:rsidR="001B76EB" w:rsidRPr="009F4C42">
        <w:t>may submit a revised regulatory proposal in response to our draft decision</w:t>
      </w:r>
      <w:r w:rsidR="001B76EB" w:rsidRPr="009F4C42">
        <w:rPr>
          <w:rStyle w:val="FootnoteReference"/>
        </w:rPr>
        <w:footnoteReference w:id="135"/>
      </w:r>
      <w:r w:rsidR="001B76EB" w:rsidRPr="009F4C42">
        <w:t xml:space="preserve"> within 30 business days of </w:t>
      </w:r>
      <w:r w:rsidR="00111EE0">
        <w:t xml:space="preserve">its </w:t>
      </w:r>
      <w:r w:rsidR="001B76EB" w:rsidRPr="009F4C42">
        <w:t>publication.</w:t>
      </w:r>
      <w:r w:rsidR="001B76EB" w:rsidRPr="009F4C42">
        <w:rPr>
          <w:rStyle w:val="FootnoteReference"/>
        </w:rPr>
        <w:footnoteReference w:id="136"/>
      </w:r>
      <w:r w:rsidR="001B76EB" w:rsidRPr="009F4C42">
        <w:t xml:space="preserve"> We must invite written submissions on the draft decision once we publish that decision, a notice of the making of that draft decision, and a notice of a predetermination conference.</w:t>
      </w:r>
      <w:r w:rsidR="001B76EB" w:rsidRPr="009F4C42">
        <w:rPr>
          <w:rStyle w:val="FootnoteReference"/>
        </w:rPr>
        <w:footnoteReference w:id="137"/>
      </w:r>
      <w:r w:rsidR="001B76EB" w:rsidRPr="009F4C42">
        <w:t xml:space="preserve"> Any person may attend the predetermination conference and make a written submission on our draft decision. The due date for written submissions must not be earlier than 30 business days after the </w:t>
      </w:r>
      <w:r w:rsidR="001B76EB">
        <w:t>holding of the pre-determination conference</w:t>
      </w:r>
      <w:r w:rsidR="001B76EB" w:rsidRPr="009F4C42">
        <w:t>.</w:t>
      </w:r>
      <w:r w:rsidR="001B76EB" w:rsidRPr="009F4C42">
        <w:rPr>
          <w:rStyle w:val="FootnoteReference"/>
        </w:rPr>
        <w:footnoteReference w:id="138"/>
      </w:r>
    </w:p>
    <w:p w:rsidR="001B76EB" w:rsidRPr="009F4C42" w:rsidRDefault="001B76EB" w:rsidP="001B76EB">
      <w:pPr>
        <w:pStyle w:val="AERbodytext"/>
      </w:pPr>
      <w:r w:rsidRPr="009F4C42">
        <w:t xml:space="preserve">After considering submissions made on the draft decision and any revised revenue proposal, we must make a final decision and </w:t>
      </w:r>
      <w:r w:rsidR="009F017F">
        <w:t>transmission</w:t>
      </w:r>
      <w:r w:rsidR="009F017F" w:rsidRPr="009F4C42">
        <w:t xml:space="preserve"> </w:t>
      </w:r>
      <w:r w:rsidRPr="009F4C42">
        <w:t>determination.</w:t>
      </w:r>
      <w:r w:rsidRPr="009F4C42">
        <w:rPr>
          <w:rStyle w:val="FootnoteReference"/>
        </w:rPr>
        <w:footnoteReference w:id="139"/>
      </w:r>
      <w:r w:rsidRPr="009F4C42">
        <w:t xml:space="preserve"> Key dates for our assessment process are set out in</w:t>
      </w:r>
      <w:r>
        <w:t xml:space="preserve"> </w:t>
      </w:r>
      <w:r w:rsidR="0058401D">
        <w:fldChar w:fldCharType="begin"/>
      </w:r>
      <w:r w:rsidR="0058401D">
        <w:instrText xml:space="preserve"> REF _Ref402866955 \h </w:instrText>
      </w:r>
      <w:r w:rsidR="0058401D">
        <w:fldChar w:fldCharType="separate"/>
      </w:r>
      <w:r w:rsidR="00C71301">
        <w:t xml:space="preserve">Table </w:t>
      </w:r>
      <w:r w:rsidR="00C71301">
        <w:rPr>
          <w:noProof/>
        </w:rPr>
        <w:t>11</w:t>
      </w:r>
      <w:r w:rsidR="00C71301">
        <w:noBreakHyphen/>
      </w:r>
      <w:r w:rsidR="00C71301">
        <w:rPr>
          <w:noProof/>
        </w:rPr>
        <w:t>1</w:t>
      </w:r>
      <w:r w:rsidR="0058401D">
        <w:fldChar w:fldCharType="end"/>
      </w:r>
      <w:r w:rsidRPr="009F4C42">
        <w:t>.</w:t>
      </w:r>
    </w:p>
    <w:p w:rsidR="001B76EB" w:rsidRPr="009F4C42" w:rsidRDefault="0058401D" w:rsidP="001B76EB">
      <w:pPr>
        <w:pStyle w:val="Caption"/>
      </w:pPr>
      <w:bookmarkStart w:id="106" w:name="_Ref402866955"/>
      <w:r>
        <w:t xml:space="preserve">Table </w:t>
      </w:r>
      <w:r w:rsidR="00864D56">
        <w:fldChar w:fldCharType="begin"/>
      </w:r>
      <w:r w:rsidR="00864D56">
        <w:instrText xml:space="preserve"> STYLEREF 1 \s </w:instrText>
      </w:r>
      <w:r w:rsidR="00864D56">
        <w:fldChar w:fldCharType="separate"/>
      </w:r>
      <w:r w:rsidR="00C71301">
        <w:rPr>
          <w:noProof/>
        </w:rPr>
        <w:t>11</w:t>
      </w:r>
      <w:r w:rsidR="00864D56">
        <w:rPr>
          <w:noProof/>
        </w:rPr>
        <w:fldChar w:fldCharType="end"/>
      </w:r>
      <w:r w:rsidR="00B65644">
        <w:noBreakHyphen/>
      </w:r>
      <w:r w:rsidR="00864D56">
        <w:fldChar w:fldCharType="begin"/>
      </w:r>
      <w:r w:rsidR="00864D56">
        <w:instrText xml:space="preserve"> SEQ Table \* ARABIC \s 1 </w:instrText>
      </w:r>
      <w:r w:rsidR="00864D56">
        <w:fldChar w:fldCharType="separate"/>
      </w:r>
      <w:r w:rsidR="00C71301">
        <w:rPr>
          <w:noProof/>
        </w:rPr>
        <w:t>1</w:t>
      </w:r>
      <w:r w:rsidR="00864D56">
        <w:rPr>
          <w:noProof/>
        </w:rPr>
        <w:fldChar w:fldCharType="end"/>
      </w:r>
      <w:bookmarkEnd w:id="106"/>
      <w:r>
        <w:tab/>
      </w:r>
      <w:r w:rsidR="001B76EB" w:rsidRPr="009F4C42">
        <w:t>Key dates for our assessment process</w:t>
      </w:r>
    </w:p>
    <w:tbl>
      <w:tblPr>
        <w:tblStyle w:val="AERtable-text"/>
        <w:tblW w:w="0" w:type="auto"/>
        <w:tblLayout w:type="fixed"/>
        <w:tblLook w:val="04A0" w:firstRow="1" w:lastRow="0" w:firstColumn="1" w:lastColumn="0" w:noHBand="0" w:noVBand="1"/>
      </w:tblPr>
      <w:tblGrid>
        <w:gridCol w:w="5070"/>
        <w:gridCol w:w="4110"/>
      </w:tblGrid>
      <w:tr w:rsidR="001B76EB" w:rsidRPr="00787AE3" w:rsidTr="00F340D4">
        <w:trPr>
          <w:cnfStyle w:val="100000000000" w:firstRow="1" w:lastRow="0" w:firstColumn="0" w:lastColumn="0" w:oddVBand="0" w:evenVBand="0" w:oddHBand="0" w:evenHBand="0" w:firstRowFirstColumn="0" w:firstRowLastColumn="0" w:lastRowFirstColumn="0" w:lastRowLastColumn="0"/>
        </w:trPr>
        <w:tc>
          <w:tcPr>
            <w:tcW w:w="5070" w:type="dxa"/>
            <w:noWrap/>
          </w:tcPr>
          <w:p w:rsidR="001B76EB" w:rsidRPr="001B76EB" w:rsidRDefault="001B76EB" w:rsidP="001B76EB">
            <w:r w:rsidRPr="009F4C42">
              <w:t>Task</w:t>
            </w:r>
          </w:p>
        </w:tc>
        <w:tc>
          <w:tcPr>
            <w:tcW w:w="4110" w:type="dxa"/>
            <w:noWrap/>
          </w:tcPr>
          <w:p w:rsidR="001B76EB" w:rsidRPr="001B76EB" w:rsidRDefault="001B76EB" w:rsidP="001B76EB">
            <w:r w:rsidRPr="009F4C42">
              <w:t>Date</w:t>
            </w:r>
          </w:p>
        </w:tc>
      </w:tr>
      <w:tr w:rsidR="001B76EB" w:rsidRPr="00787AE3" w:rsidTr="00F340D4">
        <w:tc>
          <w:tcPr>
            <w:tcW w:w="5070" w:type="dxa"/>
            <w:noWrap/>
            <w:vAlign w:val="top"/>
          </w:tcPr>
          <w:p w:rsidR="001B76EB" w:rsidRPr="001B76EB" w:rsidRDefault="009340F2" w:rsidP="001B76EB">
            <w:r>
              <w:t>TransGrid</w:t>
            </w:r>
            <w:r w:rsidR="001B76EB" w:rsidRPr="001B76EB">
              <w:t>'s regulatory proposal submitted to AER</w:t>
            </w:r>
          </w:p>
        </w:tc>
        <w:tc>
          <w:tcPr>
            <w:tcW w:w="4110" w:type="dxa"/>
            <w:noWrap/>
            <w:vAlign w:val="top"/>
          </w:tcPr>
          <w:p w:rsidR="001B76EB" w:rsidRPr="001B76EB" w:rsidRDefault="001B76EB" w:rsidP="001B76EB">
            <w:r w:rsidRPr="009F4C42">
              <w:t>2 June 2014</w:t>
            </w:r>
          </w:p>
        </w:tc>
      </w:tr>
      <w:tr w:rsidR="001B76EB" w:rsidRPr="00787AE3" w:rsidTr="00F340D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1B76EB" w:rsidRPr="001B76EB" w:rsidRDefault="001B76EB" w:rsidP="001B76EB">
            <w:r w:rsidRPr="009F4C42">
              <w:t>Published regulatory proposal and supporting documents</w:t>
            </w:r>
          </w:p>
        </w:tc>
        <w:tc>
          <w:tcPr>
            <w:tcW w:w="4110" w:type="dxa"/>
            <w:noWrap/>
            <w:vAlign w:val="top"/>
          </w:tcPr>
          <w:p w:rsidR="001B76EB" w:rsidRPr="001B76EB" w:rsidRDefault="001B76EB" w:rsidP="001B76EB">
            <w:r w:rsidRPr="009F4C42">
              <w:t>20 June 2014</w:t>
            </w:r>
          </w:p>
        </w:tc>
      </w:tr>
      <w:tr w:rsidR="001B76EB" w:rsidRPr="00787AE3" w:rsidTr="00F340D4">
        <w:tc>
          <w:tcPr>
            <w:tcW w:w="5070" w:type="dxa"/>
            <w:noWrap/>
            <w:vAlign w:val="top"/>
          </w:tcPr>
          <w:p w:rsidR="001B76EB" w:rsidRPr="001B76EB" w:rsidRDefault="001B76EB" w:rsidP="001B76EB">
            <w:r w:rsidRPr="009F4C42">
              <w:t>AER public forum</w:t>
            </w:r>
          </w:p>
        </w:tc>
        <w:tc>
          <w:tcPr>
            <w:tcW w:w="4110" w:type="dxa"/>
            <w:noWrap/>
            <w:vAlign w:val="top"/>
          </w:tcPr>
          <w:p w:rsidR="001B76EB" w:rsidRPr="001B76EB" w:rsidRDefault="001B76EB" w:rsidP="001B76EB">
            <w:r w:rsidRPr="009F4C42">
              <w:t>10 July 2014</w:t>
            </w:r>
          </w:p>
        </w:tc>
      </w:tr>
      <w:tr w:rsidR="001B76EB" w:rsidRPr="00787AE3" w:rsidTr="00F340D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1B76EB" w:rsidRPr="001B76EB" w:rsidRDefault="001B76EB" w:rsidP="001B76EB">
            <w:r w:rsidRPr="009F4C42">
              <w:t xml:space="preserve">Stakeholder submissions on regulatory </w:t>
            </w:r>
            <w:r w:rsidRPr="001B76EB">
              <w:t>proposal close</w:t>
            </w:r>
          </w:p>
        </w:tc>
        <w:tc>
          <w:tcPr>
            <w:tcW w:w="4110" w:type="dxa"/>
            <w:noWrap/>
            <w:vAlign w:val="top"/>
          </w:tcPr>
          <w:p w:rsidR="001B76EB" w:rsidRPr="001B76EB" w:rsidRDefault="001B76EB" w:rsidP="001B76EB">
            <w:r w:rsidRPr="009F4C42">
              <w:t>8 August 2014</w:t>
            </w:r>
          </w:p>
        </w:tc>
      </w:tr>
      <w:tr w:rsidR="001B76EB" w:rsidRPr="00787AE3" w:rsidTr="00F340D4">
        <w:tc>
          <w:tcPr>
            <w:tcW w:w="5070" w:type="dxa"/>
            <w:noWrap/>
            <w:vAlign w:val="top"/>
          </w:tcPr>
          <w:p w:rsidR="001B76EB" w:rsidRPr="001B76EB" w:rsidRDefault="001B76EB" w:rsidP="001B76EB">
            <w:r w:rsidRPr="009F4C42">
              <w:t>AER issues draft decision</w:t>
            </w:r>
          </w:p>
        </w:tc>
        <w:tc>
          <w:tcPr>
            <w:tcW w:w="4110" w:type="dxa"/>
            <w:noWrap/>
            <w:vAlign w:val="top"/>
          </w:tcPr>
          <w:p w:rsidR="001B76EB" w:rsidRPr="001B76EB" w:rsidRDefault="002C695A" w:rsidP="001B76EB">
            <w:r>
              <w:t xml:space="preserve">27 </w:t>
            </w:r>
            <w:r w:rsidR="001B76EB" w:rsidRPr="001B76EB">
              <w:t>November 2014</w:t>
            </w:r>
          </w:p>
        </w:tc>
      </w:tr>
      <w:tr w:rsidR="001B76EB" w:rsidRPr="00787AE3" w:rsidTr="00F340D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1B76EB" w:rsidRPr="001B76EB" w:rsidRDefault="00161B1C" w:rsidP="001B76EB">
            <w:r>
              <w:t>TransG</w:t>
            </w:r>
            <w:r w:rsidR="001B76EB">
              <w:t>rid</w:t>
            </w:r>
            <w:r w:rsidR="001B76EB" w:rsidRPr="001B76EB">
              <w:t xml:space="preserve"> submits revised regulatory proposal</w:t>
            </w:r>
          </w:p>
        </w:tc>
        <w:tc>
          <w:tcPr>
            <w:tcW w:w="4110" w:type="dxa"/>
            <w:noWrap/>
            <w:vAlign w:val="top"/>
          </w:tcPr>
          <w:p w:rsidR="001B76EB" w:rsidRPr="001B76EB" w:rsidRDefault="002C695A" w:rsidP="00CF23CB">
            <w:pPr>
              <w:rPr>
                <w:sz w:val="20"/>
              </w:rPr>
            </w:pPr>
            <w:r w:rsidRPr="002C695A">
              <w:t>1</w:t>
            </w:r>
            <w:r>
              <w:t xml:space="preserve">3 </w:t>
            </w:r>
            <w:r w:rsidR="001B76EB" w:rsidRPr="001B76EB">
              <w:t>January 2015</w:t>
            </w:r>
          </w:p>
        </w:tc>
      </w:tr>
      <w:tr w:rsidR="001B76EB" w:rsidRPr="00787AE3" w:rsidTr="00F340D4">
        <w:tc>
          <w:tcPr>
            <w:tcW w:w="5070" w:type="dxa"/>
            <w:noWrap/>
            <w:vAlign w:val="top"/>
          </w:tcPr>
          <w:p w:rsidR="001B76EB" w:rsidRPr="001B76EB" w:rsidRDefault="001B76EB" w:rsidP="001B76EB">
            <w:r w:rsidRPr="009F4C42">
              <w:t xml:space="preserve">Stakeholder submissions on </w:t>
            </w:r>
            <w:r w:rsidRPr="001B76EB">
              <w:t>draft decision close</w:t>
            </w:r>
          </w:p>
        </w:tc>
        <w:tc>
          <w:tcPr>
            <w:tcW w:w="4110" w:type="dxa"/>
            <w:noWrap/>
            <w:vAlign w:val="top"/>
          </w:tcPr>
          <w:p w:rsidR="001B76EB" w:rsidRPr="001B76EB" w:rsidRDefault="002C695A" w:rsidP="00CF23CB">
            <w:pPr>
              <w:rPr>
                <w:sz w:val="20"/>
              </w:rPr>
            </w:pPr>
            <w:r>
              <w:t>6 February</w:t>
            </w:r>
            <w:r w:rsidR="001B76EB" w:rsidRPr="001B76EB">
              <w:t xml:space="preserve"> 2015 </w:t>
            </w:r>
          </w:p>
        </w:tc>
      </w:tr>
      <w:tr w:rsidR="001B76EB" w:rsidRPr="00787AE3" w:rsidTr="00F340D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1B76EB" w:rsidRPr="001B76EB" w:rsidRDefault="001B76EB" w:rsidP="001B76EB">
            <w:r w:rsidRPr="009F4C42">
              <w:t xml:space="preserve">AER </w:t>
            </w:r>
            <w:r w:rsidRPr="001B76EB">
              <w:t>issues final decision</w:t>
            </w:r>
          </w:p>
        </w:tc>
        <w:tc>
          <w:tcPr>
            <w:tcW w:w="4110" w:type="dxa"/>
            <w:noWrap/>
            <w:vAlign w:val="top"/>
          </w:tcPr>
          <w:p w:rsidR="001B76EB" w:rsidRPr="001B76EB" w:rsidRDefault="001B76EB" w:rsidP="001B76EB">
            <w:r w:rsidRPr="009F4C42">
              <w:t>April 2015</w:t>
            </w:r>
          </w:p>
        </w:tc>
      </w:tr>
    </w:tbl>
    <w:p w:rsidR="003B0D45" w:rsidRDefault="003B0D45" w:rsidP="00FC4904">
      <w:pPr>
        <w:pStyle w:val="UnnumberedHeading"/>
        <w:numPr>
          <w:ilvl w:val="0"/>
          <w:numId w:val="9"/>
        </w:numPr>
      </w:pPr>
      <w:bookmarkStart w:id="107" w:name="_Toc404437648"/>
      <w:r>
        <w:lastRenderedPageBreak/>
        <w:t xml:space="preserve">Appendix A </w:t>
      </w:r>
      <w:r w:rsidRPr="003B0D45">
        <w:t>–</w:t>
      </w:r>
      <w:r>
        <w:t xml:space="preserve"> Constituent </w:t>
      </w:r>
      <w:r w:rsidR="00551C54">
        <w:t>components</w:t>
      </w:r>
      <w:bookmarkEnd w:id="107"/>
    </w:p>
    <w:p w:rsidR="00551C54" w:rsidRDefault="00551C54" w:rsidP="00551C54">
      <w:pPr>
        <w:pStyle w:val="AERbodytext"/>
      </w:pPr>
      <w:r>
        <w:t>Our draft transmission decision includes the following constituent components:</w:t>
      </w:r>
      <w:r>
        <w:rPr>
          <w:rStyle w:val="FootnoteReference"/>
        </w:rPr>
        <w:footnoteReference w:id="140"/>
      </w:r>
    </w:p>
    <w:tbl>
      <w:tblPr>
        <w:tblStyle w:val="AERtable-numbers"/>
        <w:tblW w:w="0" w:type="auto"/>
        <w:tblLook w:val="04A0" w:firstRow="1" w:lastRow="0" w:firstColumn="1" w:lastColumn="0" w:noHBand="0" w:noVBand="1"/>
      </w:tblPr>
      <w:tblGrid>
        <w:gridCol w:w="9242"/>
      </w:tblGrid>
      <w:tr w:rsidR="00551C54" w:rsidTr="00F340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tcPr>
          <w:p w:rsidR="00551C54" w:rsidRDefault="00551C54" w:rsidP="00551C54">
            <w:pPr>
              <w:pStyle w:val="AERbodytext"/>
            </w:pPr>
            <w:r>
              <w:t>Constituent component</w:t>
            </w:r>
          </w:p>
        </w:tc>
      </w:tr>
      <w:tr w:rsidR="003A240C"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Default="003A240C" w:rsidP="00CF23CB">
            <w:pPr>
              <w:pStyle w:val="AERbodytext"/>
              <w:rPr>
                <w:sz w:val="20"/>
              </w:rPr>
            </w:pPr>
            <w:r w:rsidRPr="009C0A2B">
              <w:t xml:space="preserve">In accordance with clause 6A.14.1(i) of the NER, </w:t>
            </w:r>
            <w:r w:rsidRPr="004F77BE">
              <w:t xml:space="preserve">the AER </w:t>
            </w:r>
            <w:r w:rsidR="004A0DEF">
              <w:t>has</w:t>
            </w:r>
            <w:r w:rsidR="00C71301">
              <w:t xml:space="preserve"> not </w:t>
            </w:r>
            <w:r w:rsidRPr="004F77BE">
              <w:t>approve</w:t>
            </w:r>
            <w:r w:rsidR="004A0DEF">
              <w:t>d</w:t>
            </w:r>
            <w:r w:rsidRPr="004F77BE">
              <w:t xml:space="preserve"> the total revenue cap set out in </w:t>
            </w:r>
            <w:r w:rsidR="00FC4904">
              <w:t>TransGrid's</w:t>
            </w:r>
            <w:r w:rsidRPr="004F77BE">
              <w:t xml:space="preserve"> building block proposal</w:t>
            </w:r>
            <w:r>
              <w:t xml:space="preserve">. Our draft decision on </w:t>
            </w:r>
            <w:r w:rsidR="00CD6255">
              <w:t>TransGrid's</w:t>
            </w:r>
            <w:r>
              <w:t xml:space="preserve"> total revenue cap over the 2015–1</w:t>
            </w:r>
            <w:r w:rsidR="00E26E6A">
              <w:t>8</w:t>
            </w:r>
            <w:r>
              <w:t xml:space="preserve"> regulatory control period is $</w:t>
            </w:r>
            <w:r w:rsidR="00820136">
              <w:t>2310.5</w:t>
            </w:r>
            <w:r>
              <w:t xml:space="preserve"> million ($ nominal). This decision is discussed in Attachment 1 of </w:t>
            </w:r>
            <w:r w:rsidR="00111EE0">
              <w:t xml:space="preserve">this </w:t>
            </w:r>
            <w:r>
              <w:t>draft decision.</w:t>
            </w:r>
          </w:p>
        </w:tc>
      </w:tr>
      <w:tr w:rsidR="003A240C" w:rsidTr="003A2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A240C" w:rsidRPr="0014223F" w:rsidRDefault="003A240C" w:rsidP="00CF23CB">
            <w:pPr>
              <w:pStyle w:val="AERbodytext"/>
              <w:rPr>
                <w:sz w:val="20"/>
              </w:rPr>
            </w:pPr>
            <w:r>
              <w:t xml:space="preserve">In accordance with clause 6A.14.1(ii) of the NER, </w:t>
            </w:r>
            <w:r w:rsidRPr="004F77BE">
              <w:t xml:space="preserve">the AER </w:t>
            </w:r>
            <w:r w:rsidR="00FC2C3F">
              <w:t>has</w:t>
            </w:r>
            <w:r w:rsidR="00C71301">
              <w:t xml:space="preserve"> not</w:t>
            </w:r>
            <w:r w:rsidRPr="004F77BE">
              <w:t xml:space="preserve"> approve</w:t>
            </w:r>
            <w:r w:rsidR="004A0DEF">
              <w:t>d</w:t>
            </w:r>
            <w:r w:rsidRPr="004F77BE">
              <w:t xml:space="preserve"> the maximum allowed revenue for each regulatory year of the regulatory control period set out in </w:t>
            </w:r>
            <w:r w:rsidR="00D12107">
              <w:t>TransGrid's</w:t>
            </w:r>
            <w:r w:rsidRPr="004F77BE">
              <w:t xml:space="preserve"> building block proposal</w:t>
            </w:r>
            <w:r>
              <w:t>.</w:t>
            </w:r>
            <w:r w:rsidRPr="004F77BE">
              <w:t xml:space="preserve"> </w:t>
            </w:r>
            <w:r>
              <w:t xml:space="preserve">Our draft decision on </w:t>
            </w:r>
            <w:r w:rsidR="00D12107">
              <w:t>TransGrid's</w:t>
            </w:r>
            <w:r>
              <w:t xml:space="preserve"> maximum allowed revenue (MAR) for each year of the 2014–1</w:t>
            </w:r>
            <w:r w:rsidR="00AF64EC">
              <w:t>8</w:t>
            </w:r>
            <w:r>
              <w:t xml:space="preserve"> period is set out in Attachment 1 of </w:t>
            </w:r>
            <w:r w:rsidR="00111EE0">
              <w:t xml:space="preserve">this </w:t>
            </w:r>
            <w:r>
              <w:t xml:space="preserve">draft decision. </w:t>
            </w:r>
          </w:p>
        </w:tc>
      </w:tr>
      <w:tr w:rsidR="003A240C"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Pr="003A240C" w:rsidRDefault="003A240C" w:rsidP="00CF23CB">
            <w:pPr>
              <w:rPr>
                <w:sz w:val="20"/>
              </w:rPr>
            </w:pPr>
            <w:r w:rsidRPr="00341FEB">
              <w:t>In accordance with clause 6A.14.1(1)(iii)</w:t>
            </w:r>
            <w:r w:rsidRPr="003A240C">
              <w:t xml:space="preserve"> of the NER, the AER </w:t>
            </w:r>
            <w:r w:rsidR="00796FA5">
              <w:t>has decided</w:t>
            </w:r>
            <w:r w:rsidRPr="003A240C">
              <w:t xml:space="preserve"> to apply the service component, network capability component and market impact component of Version 4.1 of the service target performance incentive scheme (STPIS) to </w:t>
            </w:r>
            <w:r w:rsidR="00AF64EC">
              <w:t>TransGrid</w:t>
            </w:r>
            <w:r w:rsidRPr="003A240C">
              <w:t xml:space="preserve"> for the 2015–1</w:t>
            </w:r>
            <w:r w:rsidR="00AF64EC">
              <w:t>8</w:t>
            </w:r>
            <w:r w:rsidRPr="003A240C">
              <w:t xml:space="preserve"> regulatory control period. The values and parameters of the STPIS are set out in section 1.1 of Attachment 11 of </w:t>
            </w:r>
            <w:r w:rsidR="00111EE0">
              <w:t>this</w:t>
            </w:r>
            <w:r w:rsidR="00111EE0" w:rsidRPr="003A240C">
              <w:t xml:space="preserve"> </w:t>
            </w:r>
            <w:r w:rsidRPr="003A240C">
              <w:t>draft decision.</w:t>
            </w:r>
          </w:p>
        </w:tc>
      </w:tr>
      <w:tr w:rsidR="003A240C" w:rsidRPr="00820136" w:rsidTr="003A2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A240C" w:rsidRPr="00820136" w:rsidRDefault="003A240C" w:rsidP="00CF23CB">
            <w:pPr>
              <w:pStyle w:val="AERbodytext"/>
              <w:rPr>
                <w:sz w:val="20"/>
              </w:rPr>
            </w:pPr>
            <w:r w:rsidRPr="00820136">
              <w:t xml:space="preserve">In accordance with clause 6A.14.1(1)(iv), the AER's decision on the values that are to be attributed to the parameters for the efficiency benefit sharing scheme </w:t>
            </w:r>
            <w:r w:rsidRPr="003257F4">
              <w:t xml:space="preserve">(EBSS) that will apply to </w:t>
            </w:r>
            <w:r w:rsidR="0025356A" w:rsidRPr="003257F4">
              <w:t>TransGrid</w:t>
            </w:r>
            <w:r w:rsidRPr="003257F4">
              <w:t xml:space="preserve"> in respect of the 2015–</w:t>
            </w:r>
            <w:r w:rsidR="0025356A" w:rsidRPr="003257F4">
              <w:t>18</w:t>
            </w:r>
            <w:r w:rsidRPr="003257F4">
              <w:t xml:space="preserve"> regulatory control period are set out in section </w:t>
            </w:r>
            <w:r w:rsidR="00820136" w:rsidRPr="001522DA">
              <w:rPr>
                <w:rStyle w:val="AERtexthighlight"/>
                <w:shd w:val="clear" w:color="auto" w:fill="auto"/>
              </w:rPr>
              <w:t>9.1</w:t>
            </w:r>
            <w:r w:rsidR="00820136" w:rsidRPr="00820136">
              <w:t xml:space="preserve"> </w:t>
            </w:r>
            <w:r w:rsidRPr="00820136">
              <w:t xml:space="preserve">of Attachment 9 of </w:t>
            </w:r>
            <w:r w:rsidR="00111EE0">
              <w:t>this</w:t>
            </w:r>
            <w:r w:rsidR="00111EE0" w:rsidRPr="00820136">
              <w:t xml:space="preserve"> </w:t>
            </w:r>
            <w:r w:rsidRPr="00820136">
              <w:t>draft decision.</w:t>
            </w:r>
          </w:p>
        </w:tc>
      </w:tr>
      <w:tr w:rsidR="003A240C"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Pr="0014223F" w:rsidRDefault="003A240C" w:rsidP="00C71301">
            <w:pPr>
              <w:pStyle w:val="AERbodytext"/>
            </w:pPr>
            <w:r>
              <w:t xml:space="preserve">In accordance with clause 6A.14.1(1)(v) of the NER, the AER </w:t>
            </w:r>
            <w:r w:rsidR="00C71301">
              <w:t xml:space="preserve">has </w:t>
            </w:r>
            <w:r>
              <w:t>approve</w:t>
            </w:r>
            <w:r w:rsidR="00FC2C3F">
              <w:t>d</w:t>
            </w:r>
            <w:r>
              <w:t xml:space="preserve"> the commencement and length of the </w:t>
            </w:r>
            <w:r w:rsidR="00204D6B">
              <w:t xml:space="preserve">subsequent </w:t>
            </w:r>
            <w:r>
              <w:t xml:space="preserve">regulatory control period as </w:t>
            </w:r>
            <w:r w:rsidR="00204D6B">
              <w:t>TransGrid</w:t>
            </w:r>
            <w:r>
              <w:t xml:space="preserve"> proposed in its revenue proposal. The subsequent regulatory control period will commence on 1 July 2015 and the length of this period is </w:t>
            </w:r>
            <w:r w:rsidR="00204D6B">
              <w:t>three</w:t>
            </w:r>
            <w:r>
              <w:t xml:space="preserve"> years from 1 July 2015 to 30 June 201</w:t>
            </w:r>
            <w:r w:rsidR="00204D6B">
              <w:t>8</w:t>
            </w:r>
            <w:r>
              <w:t xml:space="preserve">. </w:t>
            </w:r>
          </w:p>
        </w:tc>
      </w:tr>
      <w:tr w:rsidR="003A240C" w:rsidRPr="009E69C0" w:rsidTr="003A2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A240C" w:rsidRPr="004B144D" w:rsidRDefault="003A240C" w:rsidP="00CF23CB">
            <w:pPr>
              <w:pStyle w:val="AERbodytext"/>
              <w:rPr>
                <w:sz w:val="20"/>
              </w:rPr>
            </w:pPr>
            <w:r w:rsidRPr="009E69C0">
              <w:t xml:space="preserve">In accordance with clause 6A.14.1(2) and acting in accordance with clause </w:t>
            </w:r>
            <w:r w:rsidRPr="004B144D">
              <w:t xml:space="preserve">6A.6.7(d), the AER </w:t>
            </w:r>
            <w:r w:rsidR="00FC2C3F">
              <w:t>has</w:t>
            </w:r>
            <w:r w:rsidR="00C71301" w:rsidRPr="004B144D">
              <w:t xml:space="preserve"> </w:t>
            </w:r>
            <w:r w:rsidRPr="004B144D">
              <w:t xml:space="preserve">not </w:t>
            </w:r>
            <w:r w:rsidR="00796FA5">
              <w:t>accepted</w:t>
            </w:r>
            <w:r w:rsidR="00C71301" w:rsidRPr="004B144D">
              <w:t xml:space="preserve"> </w:t>
            </w:r>
            <w:r w:rsidR="00776382" w:rsidRPr="004B144D">
              <w:t>TransGrid's</w:t>
            </w:r>
            <w:r w:rsidRPr="009E69C0">
              <w:t xml:space="preserve"> total forecast capital expenditure </w:t>
            </w:r>
            <w:r w:rsidR="009E69C0" w:rsidRPr="009E69C0">
              <w:t xml:space="preserve">of </w:t>
            </w:r>
            <w:r w:rsidR="009E69C0" w:rsidRPr="00CC5C12">
              <w:rPr>
                <w:rStyle w:val="AERtexthighlight"/>
                <w:shd w:val="clear" w:color="auto" w:fill="auto"/>
              </w:rPr>
              <w:t>$</w:t>
            </w:r>
            <w:r w:rsidR="009E69C0" w:rsidRPr="009E69C0">
              <w:t>1,387.</w:t>
            </w:r>
            <w:r w:rsidR="00820136">
              <w:t>4</w:t>
            </w:r>
            <w:r w:rsidR="009E69C0" w:rsidRPr="00CC5C12">
              <w:rPr>
                <w:rStyle w:val="AERtexthighlight"/>
                <w:shd w:val="clear" w:color="auto" w:fill="auto"/>
              </w:rPr>
              <w:t xml:space="preserve"> million ($</w:t>
            </w:r>
            <w:r w:rsidR="009E69C0" w:rsidRPr="0020258B">
              <w:rPr>
                <w:rStyle w:val="AERbody"/>
                <w:sz w:val="16"/>
              </w:rPr>
              <w:t>2013</w:t>
            </w:r>
            <w:r w:rsidR="009E69C0" w:rsidRPr="001F7B8C">
              <w:rPr>
                <w:rStyle w:val="AERbody"/>
                <w:rFonts w:hint="eastAsia"/>
                <w:sz w:val="16"/>
              </w:rPr>
              <w:t>–</w:t>
            </w:r>
            <w:r w:rsidR="009E69C0" w:rsidRPr="00F907DB">
              <w:rPr>
                <w:rStyle w:val="AERbody"/>
                <w:sz w:val="16"/>
              </w:rPr>
              <w:t>14)</w:t>
            </w:r>
            <w:r w:rsidRPr="009E69C0">
              <w:t xml:space="preserve">. Our substitute estimate of </w:t>
            </w:r>
            <w:r w:rsidR="00F46DC3" w:rsidRPr="004B144D">
              <w:t>TransGrid's</w:t>
            </w:r>
            <w:r w:rsidRPr="004B144D">
              <w:t xml:space="preserve"> total forecast capex for the 201</w:t>
            </w:r>
            <w:r w:rsidR="00F46DC3" w:rsidRPr="004B144D">
              <w:t>5</w:t>
            </w:r>
            <w:r w:rsidRPr="004B144D">
              <w:t>–1</w:t>
            </w:r>
            <w:r w:rsidR="00F46DC3" w:rsidRPr="004B144D">
              <w:t>8</w:t>
            </w:r>
            <w:r w:rsidRPr="009E69C0">
              <w:t xml:space="preserve"> period is </w:t>
            </w:r>
            <w:r w:rsidRPr="00CC5C12">
              <w:rPr>
                <w:rStyle w:val="AERtexthighlight"/>
                <w:shd w:val="clear" w:color="auto" w:fill="auto"/>
              </w:rPr>
              <w:t>$</w:t>
            </w:r>
            <w:r w:rsidR="009E69C0" w:rsidRPr="009E69C0">
              <w:t>922.</w:t>
            </w:r>
            <w:r w:rsidR="00981542">
              <w:t>3</w:t>
            </w:r>
            <w:r w:rsidR="009E69C0" w:rsidRPr="004B144D">
              <w:t xml:space="preserve"> million ($2013–14)</w:t>
            </w:r>
            <w:r w:rsidRPr="009E69C0">
              <w:t xml:space="preserve">. This is discussed in Attachment 6 of </w:t>
            </w:r>
            <w:r w:rsidR="00111EE0">
              <w:t>this</w:t>
            </w:r>
            <w:r w:rsidR="00111EE0" w:rsidRPr="009E69C0">
              <w:t xml:space="preserve"> </w:t>
            </w:r>
            <w:r w:rsidRPr="009E69C0">
              <w:t>draft decision.</w:t>
            </w:r>
          </w:p>
        </w:tc>
      </w:tr>
      <w:tr w:rsidR="003A240C" w:rsidRPr="003257F4"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Pr="00F02D30" w:rsidRDefault="003A240C" w:rsidP="00CF23CB">
            <w:pPr>
              <w:pStyle w:val="AERbodytext"/>
              <w:rPr>
                <w:sz w:val="20"/>
              </w:rPr>
            </w:pPr>
            <w:r w:rsidRPr="003257F4">
              <w:t xml:space="preserve">In accordance with clause 6A.14.1(3) and acting in accordance with clause 6A.6.6(d), the AER </w:t>
            </w:r>
            <w:r w:rsidR="00C71301">
              <w:t>has</w:t>
            </w:r>
            <w:r w:rsidR="00C71301" w:rsidRPr="003257F4">
              <w:t xml:space="preserve"> </w:t>
            </w:r>
            <w:r w:rsidR="001D1EB1" w:rsidRPr="003257F4">
              <w:t xml:space="preserve">not </w:t>
            </w:r>
            <w:r w:rsidR="00796FA5">
              <w:t>accepted</w:t>
            </w:r>
            <w:r w:rsidR="00C71301" w:rsidRPr="003257F4">
              <w:t xml:space="preserve"> </w:t>
            </w:r>
            <w:r w:rsidR="001D1EB1" w:rsidRPr="003257F4">
              <w:t>TransGrid</w:t>
            </w:r>
            <w:r w:rsidR="00DB4F36" w:rsidRPr="003257F4">
              <w:t>'s</w:t>
            </w:r>
            <w:r w:rsidRPr="003257F4">
              <w:t xml:space="preserve"> total forecast operating expenditure of $</w:t>
            </w:r>
            <w:r w:rsidR="003257F4" w:rsidRPr="003257F4">
              <w:t>784.5</w:t>
            </w:r>
            <w:r w:rsidRPr="003257F4">
              <w:t xml:space="preserve"> million ($2013–14). </w:t>
            </w:r>
            <w:r w:rsidR="00DB4F36" w:rsidRPr="003257F4">
              <w:t xml:space="preserve">Our substitute estimate of TransGrid's total forecast opex for the 2015–18 period is </w:t>
            </w:r>
            <w:r w:rsidR="00DB4F36" w:rsidRPr="003257F4">
              <w:rPr>
                <w:rStyle w:val="AERtexthighlight"/>
                <w:shd w:val="clear" w:color="auto" w:fill="auto"/>
              </w:rPr>
              <w:t>$</w:t>
            </w:r>
            <w:r w:rsidR="003257F4" w:rsidRPr="00F02D30">
              <w:rPr>
                <w:rStyle w:val="AERtexthighlight"/>
                <w:shd w:val="clear" w:color="auto" w:fill="auto"/>
              </w:rPr>
              <w:t>659.7</w:t>
            </w:r>
            <w:r w:rsidR="00DB4F36" w:rsidRPr="003257F4">
              <w:rPr>
                <w:rStyle w:val="AERtexthighlight"/>
                <w:shd w:val="clear" w:color="auto" w:fill="auto"/>
              </w:rPr>
              <w:t xml:space="preserve"> million </w:t>
            </w:r>
            <w:r w:rsidR="00DB4F36" w:rsidRPr="003257F4">
              <w:t>($2013–14).</w:t>
            </w:r>
            <w:r w:rsidRPr="003257F4">
              <w:t xml:space="preserve">This is discussed in Attachment 7 of </w:t>
            </w:r>
            <w:r w:rsidR="00111EE0">
              <w:t>this</w:t>
            </w:r>
            <w:r w:rsidRPr="003257F4">
              <w:t xml:space="preserve"> draft decision.</w:t>
            </w:r>
          </w:p>
        </w:tc>
      </w:tr>
      <w:tr w:rsidR="00371154" w:rsidTr="00CD5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1154" w:rsidRPr="00371154" w:rsidRDefault="00371154" w:rsidP="00C71301">
            <w:pPr>
              <w:pStyle w:val="AERbodytext"/>
            </w:pPr>
            <w:r>
              <w:t xml:space="preserve">In accordance with clause </w:t>
            </w:r>
            <w:r w:rsidR="00A87C32">
              <w:t>6A.14.1(4)(i)</w:t>
            </w:r>
            <w:r w:rsidR="000B2828">
              <w:t>,</w:t>
            </w:r>
            <w:r>
              <w:t xml:space="preserve"> the AER </w:t>
            </w:r>
            <w:r w:rsidR="00FC2C3F">
              <w:t xml:space="preserve">has </w:t>
            </w:r>
            <w:r>
              <w:t>determine</w:t>
            </w:r>
            <w:r w:rsidR="00C71301">
              <w:t>d</w:t>
            </w:r>
            <w:r w:rsidR="00A87C32">
              <w:t xml:space="preserve"> that the proposed </w:t>
            </w:r>
            <w:r w:rsidR="00C15553">
              <w:t>'</w:t>
            </w:r>
            <w:r w:rsidR="00A87C32">
              <w:t>Reinforcement Capacity in Southern New South Wales</w:t>
            </w:r>
            <w:r w:rsidR="00C15553">
              <w:t>'</w:t>
            </w:r>
            <w:r w:rsidR="00A87C32">
              <w:t xml:space="preserve"> is a </w:t>
            </w:r>
            <w:r>
              <w:t>contingent project</w:t>
            </w:r>
            <w:r w:rsidR="00A87C32">
              <w:t xml:space="preserve"> for the purposes of the revenue determination.</w:t>
            </w:r>
          </w:p>
        </w:tc>
      </w:tr>
      <w:tr w:rsidR="00187E09" w:rsidTr="00CD54FB">
        <w:tc>
          <w:tcPr>
            <w:cnfStyle w:val="001000000000" w:firstRow="0" w:lastRow="0" w:firstColumn="1" w:lastColumn="0" w:oddVBand="0" w:evenVBand="0" w:oddHBand="0" w:evenHBand="0" w:firstRowFirstColumn="0" w:firstRowLastColumn="0" w:lastRowFirstColumn="0" w:lastRowLastColumn="0"/>
            <w:tcW w:w="9242" w:type="dxa"/>
          </w:tcPr>
          <w:p w:rsidR="00187E09" w:rsidRPr="00187E09" w:rsidRDefault="00187E09" w:rsidP="00DB4827">
            <w:pPr>
              <w:pStyle w:val="AERbodytext"/>
            </w:pPr>
            <w:r>
              <w:t xml:space="preserve">In accordance with clause </w:t>
            </w:r>
            <w:r w:rsidR="00405E68">
              <w:t>6A.14.1(4)(ii),</w:t>
            </w:r>
            <w:r>
              <w:t xml:space="preserve"> the AER </w:t>
            </w:r>
            <w:r w:rsidR="00405E68">
              <w:t>is</w:t>
            </w:r>
            <w:r>
              <w:t xml:space="preserve"> satisfied that the capital expenditure </w:t>
            </w:r>
            <w:r w:rsidR="00497FAC">
              <w:t xml:space="preserve">of </w:t>
            </w:r>
            <w:r w:rsidR="00497FAC" w:rsidRPr="00C0783B">
              <w:rPr>
                <w:rStyle w:val="AERtexthighlight"/>
                <w:shd w:val="clear" w:color="auto" w:fill="auto"/>
              </w:rPr>
              <w:t>$</w:t>
            </w:r>
            <w:r w:rsidR="00C0783B" w:rsidRPr="00C0783B">
              <w:rPr>
                <w:rStyle w:val="AERtexthighlight"/>
                <w:shd w:val="clear" w:color="auto" w:fill="auto"/>
              </w:rPr>
              <w:t xml:space="preserve">309 </w:t>
            </w:r>
            <w:r w:rsidR="00497FAC" w:rsidRPr="00C0783B">
              <w:rPr>
                <w:rStyle w:val="AERtexthighlight"/>
                <w:shd w:val="clear" w:color="auto" w:fill="auto"/>
              </w:rPr>
              <w:t>million</w:t>
            </w:r>
            <w:r w:rsidR="00497FAC">
              <w:t xml:space="preserve"> ($2013-14) </w:t>
            </w:r>
            <w:r w:rsidR="00DB4827">
              <w:t>for the 'Reinforcement Capacity in Southern New South Wales' contingent project as described in TransGrid's current regulatory proposal</w:t>
            </w:r>
            <w:r w:rsidR="00DB4827" w:rsidRPr="00DB4827">
              <w:t xml:space="preserve"> </w:t>
            </w:r>
            <w:r>
              <w:t>reasonably reflects the capital expenditure criteria, taking into account the capital expenditure factors</w:t>
            </w:r>
            <w:r w:rsidR="00DB4827">
              <w:t>.</w:t>
            </w:r>
          </w:p>
        </w:tc>
      </w:tr>
      <w:tr w:rsidR="00371154" w:rsidTr="00CD5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1154" w:rsidRPr="00371154" w:rsidRDefault="00371154" w:rsidP="00FC2C3F">
            <w:pPr>
              <w:pStyle w:val="AERbodytext"/>
            </w:pPr>
            <w:r>
              <w:t>In accordance with clause</w:t>
            </w:r>
            <w:r w:rsidR="004E27AF">
              <w:t xml:space="preserve"> 6A.14.1(4)(iii),</w:t>
            </w:r>
            <w:r w:rsidR="00A571AB">
              <w:t xml:space="preserve"> </w:t>
            </w:r>
            <w:r>
              <w:t xml:space="preserve">the AER </w:t>
            </w:r>
            <w:r w:rsidR="00FC2C3F">
              <w:t xml:space="preserve">has </w:t>
            </w:r>
            <w:r>
              <w:t>determine</w:t>
            </w:r>
            <w:r w:rsidR="00FC2C3F">
              <w:t>d that</w:t>
            </w:r>
            <w:r>
              <w:t xml:space="preserve"> </w:t>
            </w:r>
            <w:r w:rsidR="00DA560B">
              <w:t xml:space="preserve">the triggers proposed </w:t>
            </w:r>
            <w:r w:rsidR="006105AE">
              <w:t xml:space="preserve">by TransGrid </w:t>
            </w:r>
            <w:r w:rsidR="00DA560B">
              <w:t xml:space="preserve">for the proposed </w:t>
            </w:r>
            <w:r w:rsidR="00C15553">
              <w:t>'</w:t>
            </w:r>
            <w:r w:rsidR="00DA560B">
              <w:t>Reinforcement Capacity in Southern New South Wales</w:t>
            </w:r>
            <w:r w:rsidR="00C15553">
              <w:t>'</w:t>
            </w:r>
            <w:r w:rsidR="00DA560B">
              <w:t xml:space="preserve"> contingent project </w:t>
            </w:r>
            <w:r w:rsidR="00FC2C3F">
              <w:t xml:space="preserve">are </w:t>
            </w:r>
            <w:r w:rsidR="00DA560B">
              <w:t xml:space="preserve">inconsistent with the NER. Our draft decision includes revised triggers to provide greater certainty as to our approach should TransGrid seek to act on this contingent project. </w:t>
            </w:r>
          </w:p>
        </w:tc>
      </w:tr>
      <w:tr w:rsidR="00187E09" w:rsidTr="00CD54FB">
        <w:tc>
          <w:tcPr>
            <w:cnfStyle w:val="001000000000" w:firstRow="0" w:lastRow="0" w:firstColumn="1" w:lastColumn="0" w:oddVBand="0" w:evenVBand="0" w:oddHBand="0" w:evenHBand="0" w:firstRowFirstColumn="0" w:firstRowLastColumn="0" w:lastRowFirstColumn="0" w:lastRowLastColumn="0"/>
            <w:tcW w:w="9242" w:type="dxa"/>
          </w:tcPr>
          <w:p w:rsidR="00187E09" w:rsidRPr="00187E09" w:rsidRDefault="00187E09" w:rsidP="00FC2C3F">
            <w:pPr>
              <w:pStyle w:val="AERbodytext"/>
            </w:pPr>
            <w:r>
              <w:t>In accordance with clause</w:t>
            </w:r>
            <w:r w:rsidR="000B2828">
              <w:t xml:space="preserve"> 6A.14.1(4)(iv)</w:t>
            </w:r>
            <w:r>
              <w:t xml:space="preserve">, the AER </w:t>
            </w:r>
            <w:r w:rsidR="00FC2C3F">
              <w:t xml:space="preserve">has </w:t>
            </w:r>
            <w:r>
              <w:t>determine</w:t>
            </w:r>
            <w:r w:rsidR="00FC2C3F">
              <w:t>d</w:t>
            </w:r>
            <w:r>
              <w:t xml:space="preserve"> that</w:t>
            </w:r>
            <w:r w:rsidR="000B2828">
              <w:t xml:space="preserve"> the proposed </w:t>
            </w:r>
            <w:r w:rsidR="00C15553">
              <w:t>'</w:t>
            </w:r>
            <w:r w:rsidR="000B2828">
              <w:t>Powering Sydney's Future</w:t>
            </w:r>
            <w:r w:rsidR="00C15553">
              <w:t>'</w:t>
            </w:r>
            <w:r w:rsidR="00405E68">
              <w:t xml:space="preserve"> project is </w:t>
            </w:r>
            <w:r>
              <w:t>not a contingent project</w:t>
            </w:r>
            <w:r w:rsidR="0039524C">
              <w:t>.</w:t>
            </w:r>
          </w:p>
        </w:tc>
      </w:tr>
      <w:tr w:rsidR="003A240C" w:rsidTr="003A2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A240C" w:rsidRDefault="003A240C" w:rsidP="00CF23CB">
            <w:pPr>
              <w:pStyle w:val="AERbodytext"/>
              <w:rPr>
                <w:sz w:val="20"/>
              </w:rPr>
            </w:pPr>
            <w:r w:rsidRPr="00341FEB">
              <w:t>In accordance with clause 6A.14.1(</w:t>
            </w:r>
            <w:r>
              <w:t>5A</w:t>
            </w:r>
            <w:r w:rsidRPr="00341FEB">
              <w:t xml:space="preserve">), the AER </w:t>
            </w:r>
            <w:r w:rsidR="00FC2C3F">
              <w:t xml:space="preserve">has </w:t>
            </w:r>
            <w:r w:rsidRPr="00341FEB">
              <w:t>determine</w:t>
            </w:r>
            <w:r w:rsidR="00FC2C3F">
              <w:t xml:space="preserve">d that version 1 of </w:t>
            </w:r>
            <w:r w:rsidRPr="00FF3539">
              <w:t xml:space="preserve">the </w:t>
            </w:r>
            <w:r>
              <w:t xml:space="preserve">capital expenditure sharing scheme </w:t>
            </w:r>
            <w:r>
              <w:lastRenderedPageBreak/>
              <w:t>(</w:t>
            </w:r>
            <w:r w:rsidRPr="00FF3539">
              <w:t>CESS</w:t>
            </w:r>
            <w:r>
              <w:t>)</w:t>
            </w:r>
            <w:r w:rsidRPr="00FF3539">
              <w:t xml:space="preserve"> as set out the capital expenditure incentives guideline </w:t>
            </w:r>
            <w:r w:rsidR="00FC2C3F">
              <w:t xml:space="preserve">will apply </w:t>
            </w:r>
            <w:r w:rsidRPr="00FF3539">
              <w:t xml:space="preserve">to </w:t>
            </w:r>
            <w:r w:rsidR="00FD7987">
              <w:t>TransGrid</w:t>
            </w:r>
            <w:r w:rsidRPr="00FF3539">
              <w:t xml:space="preserve"> in the 2015–1</w:t>
            </w:r>
            <w:r w:rsidR="00FD7987">
              <w:t>8</w:t>
            </w:r>
            <w:r w:rsidRPr="00FF3539">
              <w:t xml:space="preserve"> regulatory control period</w:t>
            </w:r>
            <w:r>
              <w:t xml:space="preserve">. This is discussed in Attachment 10 of </w:t>
            </w:r>
            <w:r w:rsidR="00111EE0">
              <w:t>this</w:t>
            </w:r>
            <w:r>
              <w:t xml:space="preserve"> draft decision.</w:t>
            </w:r>
          </w:p>
        </w:tc>
      </w:tr>
      <w:tr w:rsidR="003A240C"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Pr="0014223F" w:rsidRDefault="003A240C" w:rsidP="00796FA5">
            <w:pPr>
              <w:pStyle w:val="AERbodytext"/>
            </w:pPr>
            <w:r>
              <w:lastRenderedPageBreak/>
              <w:t>In accordance with clause 6A.14.1(5B) the AER</w:t>
            </w:r>
            <w:r w:rsidR="00FC2C3F">
              <w:t xml:space="preserve"> has </w:t>
            </w:r>
            <w:r w:rsidR="00796FA5">
              <w:t>decided</w:t>
            </w:r>
            <w:r w:rsidR="00FC2C3F">
              <w:t xml:space="preserve"> that </w:t>
            </w:r>
            <w:r>
              <w:t xml:space="preserve">the allowed rate or return for the </w:t>
            </w:r>
            <w:r w:rsidR="004731DB">
              <w:t>2015–18</w:t>
            </w:r>
            <w:r>
              <w:t xml:space="preserve"> regulatory </w:t>
            </w:r>
            <w:r w:rsidRPr="0014223F">
              <w:t xml:space="preserve">control period in accordance with clause </w:t>
            </w:r>
            <w:r>
              <w:t>6A.6.2</w:t>
            </w:r>
            <w:r w:rsidRPr="0014223F">
              <w:t xml:space="preserve"> is</w:t>
            </w:r>
            <w:r>
              <w:t xml:space="preserve"> </w:t>
            </w:r>
            <w:r w:rsidR="004731DB">
              <w:t>7.24</w:t>
            </w:r>
            <w:r w:rsidRPr="005405AD">
              <w:t xml:space="preserve"> per cent</w:t>
            </w:r>
            <w:r w:rsidR="004731DB">
              <w:t xml:space="preserve"> (nominal vanilla)</w:t>
            </w:r>
            <w:r w:rsidRPr="005405AD">
              <w:t xml:space="preserve">, as set out in Table 1 of </w:t>
            </w:r>
            <w:r>
              <w:t>A</w:t>
            </w:r>
            <w:r w:rsidRPr="005405AD">
              <w:t>ttachment</w:t>
            </w:r>
            <w:r>
              <w:t xml:space="preserve"> 3 of the draft decision</w:t>
            </w:r>
            <w:r w:rsidRPr="005405AD">
              <w:t xml:space="preserve">. This rate of return will be updated annually because our </w:t>
            </w:r>
            <w:r w:rsidR="009D481E">
              <w:t xml:space="preserve">draft </w:t>
            </w:r>
            <w:r w:rsidRPr="005405AD">
              <w:t>decision is to apply a trailing average portfolio approach to estimating debt which incorporates annual updating of the allowed return on debt.</w:t>
            </w:r>
          </w:p>
        </w:tc>
      </w:tr>
      <w:tr w:rsidR="003A240C" w:rsidRPr="00820136" w:rsidTr="003A2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A240C" w:rsidRPr="00820136" w:rsidRDefault="003A240C" w:rsidP="00CF23CB">
            <w:pPr>
              <w:pStyle w:val="AERbodytext"/>
              <w:rPr>
                <w:sz w:val="20"/>
              </w:rPr>
            </w:pPr>
            <w:r w:rsidRPr="00820136">
              <w:t>In accordance with clause 6A.14.1(5C) the AER</w:t>
            </w:r>
            <w:r w:rsidR="00FC2C3F">
              <w:t xml:space="preserve"> has </w:t>
            </w:r>
            <w:r w:rsidR="00796FA5">
              <w:t>decided</w:t>
            </w:r>
            <w:r w:rsidR="00FC2C3F">
              <w:t xml:space="preserve"> </w:t>
            </w:r>
            <w:r w:rsidRPr="00820136">
              <w:t xml:space="preserve">that the return on debt is to be estimated using a methodology referred to in clause </w:t>
            </w:r>
            <w:r w:rsidRPr="003257F4">
              <w:t xml:space="preserve">6A.6.2(i)(2), </w:t>
            </w:r>
            <w:r w:rsidR="002E6543" w:rsidRPr="00820136">
              <w:t xml:space="preserve">and using the formula to be applied in accordance with clause 6A.6.2(l). The methodology and formula are </w:t>
            </w:r>
            <w:r w:rsidRPr="00820136">
              <w:t xml:space="preserve">set out in section </w:t>
            </w:r>
            <w:r w:rsidR="00820136" w:rsidRPr="001522DA">
              <w:rPr>
                <w:rStyle w:val="AERtexthighlight"/>
                <w:shd w:val="clear" w:color="auto" w:fill="auto"/>
              </w:rPr>
              <w:t>3.1</w:t>
            </w:r>
            <w:r w:rsidR="00820136" w:rsidRPr="00820136">
              <w:t xml:space="preserve"> </w:t>
            </w:r>
            <w:r w:rsidRPr="00820136">
              <w:t>of Attachment 3 of th</w:t>
            </w:r>
            <w:r w:rsidR="00111EE0">
              <w:t>is</w:t>
            </w:r>
            <w:r w:rsidRPr="00820136">
              <w:t xml:space="preserve"> draft decision.</w:t>
            </w:r>
          </w:p>
        </w:tc>
      </w:tr>
      <w:tr w:rsidR="003A240C"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Pr="0014223F" w:rsidRDefault="003A240C" w:rsidP="00CF23CB">
            <w:pPr>
              <w:pStyle w:val="AERbodytext"/>
              <w:rPr>
                <w:sz w:val="20"/>
              </w:rPr>
            </w:pPr>
            <w:r>
              <w:t>In accordanc</w:t>
            </w:r>
            <w:r w:rsidRPr="0014223F">
              <w:t xml:space="preserve">e with clause </w:t>
            </w:r>
            <w:r>
              <w:t>6A.14.1(5D)</w:t>
            </w:r>
            <w:r w:rsidRPr="0014223F">
              <w:t xml:space="preserve"> the AER</w:t>
            </w:r>
            <w:r w:rsidR="00796FA5">
              <w:t xml:space="preserve"> has decided that</w:t>
            </w:r>
            <w:r w:rsidRPr="0014223F">
              <w:t xml:space="preserve"> the value of imputation credits as referred to in clause </w:t>
            </w:r>
            <w:r>
              <w:t>6A.6.4 is 0.4. This is set out in section</w:t>
            </w:r>
            <w:r w:rsidR="00820136">
              <w:t xml:space="preserve"> 4.1</w:t>
            </w:r>
            <w:r>
              <w:t xml:space="preserve"> of Attachment 4 of th</w:t>
            </w:r>
            <w:r w:rsidR="00111EE0">
              <w:t>is</w:t>
            </w:r>
            <w:r>
              <w:t xml:space="preserve"> draft decision.</w:t>
            </w:r>
          </w:p>
        </w:tc>
      </w:tr>
      <w:tr w:rsidR="003A240C" w:rsidTr="003A2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A240C" w:rsidRPr="0014223F" w:rsidRDefault="003A240C" w:rsidP="00796FA5">
            <w:pPr>
              <w:pStyle w:val="AERbodytext"/>
            </w:pPr>
            <w:r>
              <w:t>I</w:t>
            </w:r>
            <w:r w:rsidRPr="0014223F">
              <w:t xml:space="preserve">n accordance with clause </w:t>
            </w:r>
            <w:r>
              <w:t>6A.14.1(5E)</w:t>
            </w:r>
            <w:r w:rsidRPr="0014223F">
              <w:t xml:space="preserve"> the AER</w:t>
            </w:r>
            <w:r w:rsidR="00796FA5">
              <w:t xml:space="preserve"> had decided,</w:t>
            </w:r>
            <w:r w:rsidR="00796FA5" w:rsidRPr="0014223F">
              <w:t xml:space="preserve"> in accordance with clause </w:t>
            </w:r>
            <w:r w:rsidR="00796FA5">
              <w:t>6A.6.1</w:t>
            </w:r>
            <w:r w:rsidR="00796FA5" w:rsidRPr="0014223F">
              <w:t xml:space="preserve"> and schedule </w:t>
            </w:r>
            <w:r w:rsidR="00796FA5">
              <w:t xml:space="preserve">6A.2, that </w:t>
            </w:r>
            <w:r w:rsidRPr="0014223F">
              <w:t xml:space="preserve">the </w:t>
            </w:r>
            <w:r w:rsidR="00C32996">
              <w:t xml:space="preserve">opening </w:t>
            </w:r>
            <w:r w:rsidRPr="0014223F">
              <w:t xml:space="preserve">regulatory asset base </w:t>
            </w:r>
            <w:r>
              <w:t xml:space="preserve">(RAB) </w:t>
            </w:r>
            <w:r w:rsidR="00485D72">
              <w:t xml:space="preserve">as at 1 July 2014 </w:t>
            </w:r>
            <w:r>
              <w:t xml:space="preserve">is </w:t>
            </w:r>
            <w:r w:rsidRPr="00BA10B2">
              <w:t>$</w:t>
            </w:r>
            <w:r w:rsidR="006B7207">
              <w:t>6146.7</w:t>
            </w:r>
            <w:r w:rsidRPr="00BA10B2">
              <w:t xml:space="preserve"> million</w:t>
            </w:r>
            <w:r>
              <w:t>. This is set out in Attachment 2 of th</w:t>
            </w:r>
            <w:r w:rsidR="00111EE0">
              <w:t>is</w:t>
            </w:r>
            <w:r>
              <w:t xml:space="preserve"> draft decision.</w:t>
            </w:r>
          </w:p>
        </w:tc>
      </w:tr>
      <w:tr w:rsidR="003A240C"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Default="003A240C" w:rsidP="00CF23CB">
            <w:pPr>
              <w:pStyle w:val="AERbodytext"/>
              <w:rPr>
                <w:sz w:val="20"/>
              </w:rPr>
            </w:pPr>
            <w:r w:rsidRPr="00FD29CE">
              <w:t>In accordance with clause 6A.14.1(5F) the AER</w:t>
            </w:r>
            <w:r w:rsidR="00796FA5">
              <w:t xml:space="preserve"> has decided </w:t>
            </w:r>
            <w:r w:rsidRPr="004E3E6B">
              <w:t xml:space="preserve">that the forecast depreciation approach is to be used to establish the RAB at the commencement of </w:t>
            </w:r>
            <w:r w:rsidR="00563EA0">
              <w:t>TransGrid's</w:t>
            </w:r>
            <w:r w:rsidR="00563EA0" w:rsidRPr="004E3E6B">
              <w:t xml:space="preserve"> </w:t>
            </w:r>
            <w:r w:rsidRPr="004E3E6B">
              <w:t xml:space="preserve">regulatory control period </w:t>
            </w:r>
            <w:r w:rsidR="00485D72">
              <w:t>(1</w:t>
            </w:r>
            <w:r w:rsidRPr="004E3E6B">
              <w:t xml:space="preserve"> July 201</w:t>
            </w:r>
            <w:r w:rsidR="00563EA0">
              <w:t>8</w:t>
            </w:r>
            <w:r w:rsidR="00485D72">
              <w:t>)</w:t>
            </w:r>
            <w:r>
              <w:t>. This is discussed in Attachment 5 of th</w:t>
            </w:r>
            <w:r w:rsidR="00111EE0">
              <w:t>is</w:t>
            </w:r>
            <w:r>
              <w:t xml:space="preserve"> draft decision.</w:t>
            </w:r>
          </w:p>
        </w:tc>
      </w:tr>
      <w:tr w:rsidR="003A240C" w:rsidTr="003A2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A240C" w:rsidRDefault="003A240C" w:rsidP="00FC2C3F">
            <w:pPr>
              <w:pStyle w:val="AERbodytext"/>
            </w:pPr>
            <w:r w:rsidRPr="00FD29CE">
              <w:t xml:space="preserve">In accordance with clause 6A.14.1(6) the </w:t>
            </w:r>
            <w:r w:rsidR="00FC2C3F">
              <w:t xml:space="preserve">AER has approved TransGrid's proposed negotiating framework. </w:t>
            </w:r>
            <w:r>
              <w:t>.</w:t>
            </w:r>
          </w:p>
        </w:tc>
      </w:tr>
      <w:tr w:rsidR="003A240C"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Default="003A240C" w:rsidP="00CF23CB">
            <w:pPr>
              <w:pStyle w:val="AERbodytext"/>
              <w:rPr>
                <w:sz w:val="20"/>
              </w:rPr>
            </w:pPr>
            <w:r w:rsidRPr="00FD29CE">
              <w:t>In accordance with clause 6A.14.1(7) the AER</w:t>
            </w:r>
            <w:r w:rsidR="00796FA5">
              <w:t xml:space="preserve"> has specified </w:t>
            </w:r>
            <w:r w:rsidRPr="00FD29CE">
              <w:t>the negotiated transmission services criteria</w:t>
            </w:r>
            <w:r>
              <w:t xml:space="preserve"> </w:t>
            </w:r>
            <w:r w:rsidR="00796FA5">
              <w:t xml:space="preserve">for TransGrid </w:t>
            </w:r>
            <w:r w:rsidR="00D33430">
              <w:t xml:space="preserve">in` </w:t>
            </w:r>
            <w:r>
              <w:t>Attachment 14 of th</w:t>
            </w:r>
            <w:r w:rsidR="00111EE0">
              <w:t>is</w:t>
            </w:r>
            <w:r>
              <w:t xml:space="preserve"> draft decision</w:t>
            </w:r>
            <w:r w:rsidRPr="00FD29CE">
              <w:t xml:space="preserve"> </w:t>
            </w:r>
            <w:r>
              <w:t>.</w:t>
            </w:r>
          </w:p>
        </w:tc>
      </w:tr>
      <w:tr w:rsidR="003A240C" w:rsidTr="003A2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A240C" w:rsidRDefault="003A240C" w:rsidP="000006B8">
            <w:pPr>
              <w:pStyle w:val="AERbodytext"/>
            </w:pPr>
            <w:r w:rsidRPr="00FD29CE">
              <w:t xml:space="preserve">In accordance with clause 6A.14.1(8) the AER </w:t>
            </w:r>
            <w:r w:rsidR="00FC2C3F">
              <w:t>has</w:t>
            </w:r>
            <w:r>
              <w:t xml:space="preserve"> </w:t>
            </w:r>
            <w:r w:rsidR="006A0952">
              <w:t xml:space="preserve">not </w:t>
            </w:r>
            <w:r>
              <w:t>approve</w:t>
            </w:r>
            <w:r w:rsidR="00FC2C3F">
              <w:t>d</w:t>
            </w:r>
            <w:r>
              <w:t xml:space="preserve"> </w:t>
            </w:r>
            <w:r w:rsidR="006A0952">
              <w:t xml:space="preserve">TransGrid's proposed </w:t>
            </w:r>
            <w:r>
              <w:t>pricing methodology for the 2015–1</w:t>
            </w:r>
            <w:r w:rsidR="009F017F">
              <w:t>8</w:t>
            </w:r>
            <w:r>
              <w:t xml:space="preserve"> regulatory control period. </w:t>
            </w:r>
          </w:p>
        </w:tc>
      </w:tr>
      <w:tr w:rsidR="003A240C" w:rsidTr="003A240C">
        <w:tc>
          <w:tcPr>
            <w:cnfStyle w:val="001000000000" w:firstRow="0" w:lastRow="0" w:firstColumn="1" w:lastColumn="0" w:oddVBand="0" w:evenVBand="0" w:oddHBand="0" w:evenHBand="0" w:firstRowFirstColumn="0" w:firstRowLastColumn="0" w:lastRowFirstColumn="0" w:lastRowLastColumn="0"/>
            <w:tcW w:w="9242" w:type="dxa"/>
          </w:tcPr>
          <w:p w:rsidR="003A240C" w:rsidRPr="003A240C" w:rsidRDefault="003A240C" w:rsidP="00CF23CB">
            <w:pPr>
              <w:pStyle w:val="AERbodytext"/>
              <w:rPr>
                <w:sz w:val="20"/>
              </w:rPr>
            </w:pPr>
            <w:r w:rsidRPr="00FD29CE">
              <w:t>In accordance with clause 6A.14.1(9) the AER</w:t>
            </w:r>
            <w:r w:rsidR="00FC2C3F">
              <w:t xml:space="preserve"> has not approved </w:t>
            </w:r>
            <w:r w:rsidRPr="00FD29CE">
              <w:t xml:space="preserve">the additional pass through events </w:t>
            </w:r>
            <w:r w:rsidR="00FC2C3F">
              <w:t xml:space="preserve">TransGrid proposed would </w:t>
            </w:r>
            <w:r w:rsidRPr="00FD29CE">
              <w:t xml:space="preserve"> apply in accordance with clause 6A.6.9</w:t>
            </w:r>
            <w:r w:rsidR="00FC2C3F">
              <w:t xml:space="preserve">. </w:t>
            </w:r>
          </w:p>
          <w:p w:rsidR="00F97BB0" w:rsidRDefault="00F97BB0" w:rsidP="003A240C">
            <w:pPr>
              <w:pStyle w:val="AERbodytext"/>
            </w:pPr>
            <w:r>
              <w:t>We do not accept the following proposed pass through events:</w:t>
            </w:r>
          </w:p>
          <w:p w:rsidR="00F97BB0" w:rsidRDefault="00F97BB0" w:rsidP="000E69AC">
            <w:pPr>
              <w:pStyle w:val="AERbulletlistsecondstyle"/>
            </w:pPr>
            <w:r>
              <w:t>insurer default event</w:t>
            </w:r>
          </w:p>
          <w:p w:rsidR="00F97BB0" w:rsidRDefault="00F97BB0" w:rsidP="000E69AC">
            <w:pPr>
              <w:pStyle w:val="AERbulletlistsecondstyle"/>
            </w:pPr>
            <w:r>
              <w:t>cyber-related external attack</w:t>
            </w:r>
          </w:p>
          <w:p w:rsidR="00F97BB0" w:rsidRDefault="00F97BB0" w:rsidP="000E69AC">
            <w:pPr>
              <w:pStyle w:val="AERbulletlistsecondstyle"/>
            </w:pPr>
            <w:r>
              <w:t>gradual environmental contamination event.</w:t>
            </w:r>
          </w:p>
          <w:p w:rsidR="00FC2C3F" w:rsidRDefault="00FC2C3F" w:rsidP="00FC2C3F">
            <w:pPr>
              <w:pStyle w:val="AERbodytext"/>
            </w:pPr>
            <w:r>
              <w:t>We have proposed substitute definitions for the following two events should TransGrid seek to address this in its revised proposal:</w:t>
            </w:r>
          </w:p>
          <w:p w:rsidR="00FC2C3F" w:rsidRPr="003A240C" w:rsidRDefault="00FC2C3F" w:rsidP="00FC2C3F">
            <w:pPr>
              <w:pStyle w:val="AERbulletlistfirststyle"/>
            </w:pPr>
            <w:r>
              <w:t>i</w:t>
            </w:r>
            <w:r w:rsidRPr="003A240C">
              <w:t>nsurance cap event</w:t>
            </w:r>
          </w:p>
          <w:p w:rsidR="00FC2C3F" w:rsidRPr="003A240C" w:rsidRDefault="00FC2C3F" w:rsidP="00FC2C3F">
            <w:pPr>
              <w:pStyle w:val="AERbulletlistfirststyle"/>
            </w:pPr>
            <w:r>
              <w:t>t</w:t>
            </w:r>
            <w:r w:rsidRPr="003A240C">
              <w:t>errorism event</w:t>
            </w:r>
          </w:p>
          <w:p w:rsidR="003A240C" w:rsidRDefault="003A240C" w:rsidP="00CF23CB">
            <w:pPr>
              <w:pStyle w:val="AERbodytext"/>
              <w:rPr>
                <w:sz w:val="20"/>
              </w:rPr>
            </w:pPr>
            <w:r>
              <w:t>This is set out in Attachment 13 of th</w:t>
            </w:r>
            <w:r w:rsidR="00111EE0">
              <w:t>is</w:t>
            </w:r>
            <w:r>
              <w:t xml:space="preserve"> draft decision.</w:t>
            </w:r>
          </w:p>
        </w:tc>
      </w:tr>
    </w:tbl>
    <w:p w:rsidR="00551C54" w:rsidRDefault="00551C54" w:rsidP="00551C54">
      <w:pPr>
        <w:pStyle w:val="AERbodytext"/>
      </w:pPr>
    </w:p>
    <w:p w:rsidR="003B0D45" w:rsidRDefault="0048366A" w:rsidP="0048366A">
      <w:pPr>
        <w:pStyle w:val="UnnumberedHeading"/>
      </w:pPr>
      <w:bookmarkStart w:id="108" w:name="_Toc404437649"/>
      <w:r>
        <w:lastRenderedPageBreak/>
        <w:t>Appendix B - Arrangements for transitional period</w:t>
      </w:r>
      <w:bookmarkEnd w:id="108"/>
    </w:p>
    <w:p w:rsidR="0048366A" w:rsidRPr="00BC29A8" w:rsidRDefault="0048366A" w:rsidP="0048366A">
      <w:pPr>
        <w:pStyle w:val="HeadingBoldBlue"/>
      </w:pPr>
      <w:bookmarkStart w:id="109" w:name="_Toc387916906"/>
      <w:r w:rsidRPr="00BC29A8">
        <w:t>New rules</w:t>
      </w:r>
    </w:p>
    <w:p w:rsidR="0048366A" w:rsidRPr="00BD7821" w:rsidRDefault="0048366A" w:rsidP="0048366A">
      <w:pPr>
        <w:pStyle w:val="AERbodytext"/>
      </w:pPr>
      <w:r w:rsidRPr="00BD7821">
        <w:t xml:space="preserve">In November 2012, the Australian Energy Market Commission (AEMC) introduced major changes to the economic regulation of </w:t>
      </w:r>
      <w:r w:rsidR="002055F1">
        <w:t>T</w:t>
      </w:r>
      <w:r w:rsidRPr="00BD7821">
        <w:t>NSPs under chapters 6</w:t>
      </w:r>
      <w:r w:rsidR="002055F1">
        <w:t>A</w:t>
      </w:r>
      <w:r w:rsidRPr="00BD7821">
        <w:t xml:space="preserve"> of the NER</w:t>
      </w:r>
      <w:r>
        <w:t xml:space="preserve"> (the new rules)</w:t>
      </w:r>
      <w:r w:rsidRPr="00BD7821">
        <w:t>.</w:t>
      </w:r>
      <w:r>
        <w:rPr>
          <w:rStyle w:val="FootnoteReference"/>
        </w:rPr>
        <w:footnoteReference w:id="141"/>
      </w:r>
    </w:p>
    <w:p w:rsidR="0048366A" w:rsidRDefault="0048366A" w:rsidP="0048366A">
      <w:pPr>
        <w:pStyle w:val="AERbodytext"/>
      </w:pPr>
      <w:r>
        <w:t>Prior to the making</w:t>
      </w:r>
      <w:r w:rsidRPr="00BD7821">
        <w:t xml:space="preserve"> of the new rules, </w:t>
      </w:r>
      <w:r w:rsidR="002148BF">
        <w:t>TransGrid's transmission determination was</w:t>
      </w:r>
      <w:r w:rsidRPr="00BD7821">
        <w:t xml:space="preserve"> due to commence on 1 July 2014 and would apply for a period of five years. </w:t>
      </w:r>
      <w:r w:rsidRPr="00661629">
        <w:t>However, the process was delayed so consumers</w:t>
      </w:r>
      <w:r>
        <w:t xml:space="preserve"> </w:t>
      </w:r>
      <w:r w:rsidRPr="00661629">
        <w:t>would receive the benefit of the new rules</w:t>
      </w:r>
      <w:r>
        <w:t xml:space="preserve">.  </w:t>
      </w:r>
    </w:p>
    <w:p w:rsidR="0048366A" w:rsidRPr="00BD7821" w:rsidRDefault="0048366A" w:rsidP="0048366A">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w:t>
      </w:r>
      <w:r w:rsidR="002055F1">
        <w:t xml:space="preserve"> following</w:t>
      </w:r>
      <w:r>
        <w:t xml:space="preserve"> period</w:t>
      </w:r>
      <w:r w:rsidR="00A6284B">
        <w:t>s</w:t>
      </w:r>
      <w:r>
        <w:t>:</w:t>
      </w:r>
      <w:r w:rsidRPr="00777064">
        <w:rPr>
          <w:rStyle w:val="FootnoteReference"/>
        </w:rPr>
        <w:footnoteReference w:id="142"/>
      </w:r>
    </w:p>
    <w:p w:rsidR="0048366A" w:rsidRPr="00BD7821" w:rsidRDefault="0048366A" w:rsidP="0048366A">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48366A" w:rsidRPr="00BD7821" w:rsidRDefault="0048366A" w:rsidP="0048366A">
      <w:pPr>
        <w:pStyle w:val="AERbulletlistfirststyle"/>
      </w:pPr>
      <w:r>
        <w:t>a regulatory control period covering the period from 1 July 2015 to 30 June 201</w:t>
      </w:r>
      <w:r w:rsidR="002148BF">
        <w:t>8</w:t>
      </w:r>
      <w:r w:rsidR="008B5329">
        <w:rPr>
          <w:rStyle w:val="FootnoteReference"/>
        </w:rPr>
        <w:footnoteReference w:id="143"/>
      </w:r>
      <w:r>
        <w:t xml:space="preserve"> referred to in the NER as 'the subsequent regulatory control period'.</w:t>
      </w:r>
      <w:r>
        <w:rPr>
          <w:rStyle w:val="FootnoteReference"/>
        </w:rPr>
        <w:footnoteReference w:id="144"/>
      </w:r>
    </w:p>
    <w:p w:rsidR="0048366A" w:rsidRDefault="0048366A" w:rsidP="0048366A">
      <w:pPr>
        <w:pStyle w:val="AERbodytext"/>
      </w:pPr>
      <w:r>
        <w:t>T</w:t>
      </w:r>
      <w:r w:rsidRPr="00661629">
        <w:t xml:space="preserve">he two periods are </w:t>
      </w:r>
      <w:r>
        <w:t xml:space="preserve">separate and </w:t>
      </w:r>
      <w:r w:rsidRPr="00661629">
        <w:t>distinct</w:t>
      </w:r>
      <w:r>
        <w:t>,</w:t>
      </w:r>
      <w:r>
        <w:rPr>
          <w:rStyle w:val="FootnoteReference"/>
        </w:rPr>
        <w:footnoteReference w:id="145"/>
      </w:r>
      <w:r>
        <w:t xml:space="preserve"> however, our decisions concerning these two periods interact in important ways. This appendix explains why and how.</w:t>
      </w:r>
    </w:p>
    <w:p w:rsidR="0048366A" w:rsidRPr="00BC29A8" w:rsidRDefault="0048366A" w:rsidP="0048366A">
      <w:pPr>
        <w:pStyle w:val="HeadingBoldBlue"/>
      </w:pPr>
      <w:r w:rsidRPr="00BC29A8">
        <w:t xml:space="preserve">The </w:t>
      </w:r>
      <w:r>
        <w:t>transitional determination</w:t>
      </w:r>
    </w:p>
    <w:p w:rsidR="0048366A" w:rsidRDefault="0048366A" w:rsidP="0048366A">
      <w:pPr>
        <w:pStyle w:val="AERbodytext"/>
      </w:pPr>
      <w:r>
        <w:t xml:space="preserve">For the transitional regulatory control period, we made a fast-tracked placeholder determination on </w:t>
      </w:r>
      <w:r w:rsidR="002148BF">
        <w:t>28 March</w:t>
      </w:r>
      <w:r>
        <w:t xml:space="preserve"> 2014 for </w:t>
      </w:r>
      <w:r w:rsidR="002148BF">
        <w:t>TransGrid</w:t>
      </w:r>
      <w:r>
        <w:t xml:space="preserve">. It was made following an abbreviated consultation period and was intended to act as a temporary placeholder for 2014–15 to allow for an expedited transition to the new rules.  </w:t>
      </w:r>
    </w:p>
    <w:p w:rsidR="0048366A" w:rsidRDefault="0048366A" w:rsidP="0048366A">
      <w:pPr>
        <w:pStyle w:val="AERbodytext"/>
      </w:pPr>
      <w:r>
        <w:t xml:space="preserve">In a typical </w:t>
      </w:r>
      <w:r w:rsidR="002148BF">
        <w:t>transmission</w:t>
      </w:r>
      <w:r>
        <w:t xml:space="preserve"> determination </w:t>
      </w:r>
      <w:r w:rsidR="002148BF">
        <w:t>there are many constituent components relating to</w:t>
      </w:r>
      <w:r>
        <w:t xml:space="preserve"> the efficient costs of a service provider. In the placeholder determination these </w:t>
      </w:r>
      <w:r w:rsidR="002148BF">
        <w:t>components</w:t>
      </w:r>
      <w:r>
        <w:t xml:space="preserve"> were not subject to our usual detailed assessment to fast track the decision-making process. Some of the decisions in our placeholder determination therefore merely maintained the status quo that had been operating during the previous regulatory control period of 2009–14. For instance, the NER stipulated that although new regulations had introduced a capital efficiency sharing scheme, no new capital efficiency sharing scheme should apply during the transitional regulatory control period. Similarly, any pass through events that had applied during the 2009–14 regulatory control period should continue to apply during the 2014–15 transitional year. Maintaining the status quo in this way was intended to facilitate making a placeholder determination in the short period of time available to allow the transition to the full operation of the rules for the 2015–1</w:t>
      </w:r>
      <w:r w:rsidR="00EB3BA3">
        <w:t>8</w:t>
      </w:r>
      <w:r>
        <w:t xml:space="preserve"> regulatory control period.  </w:t>
      </w:r>
    </w:p>
    <w:p w:rsidR="0048366A" w:rsidRPr="00BD7821" w:rsidRDefault="0048366A" w:rsidP="0048366A">
      <w:pPr>
        <w:pStyle w:val="AERbodytext"/>
      </w:pPr>
      <w:r>
        <w:t xml:space="preserve">Our most complex, and arguably most important, task when we make a </w:t>
      </w:r>
      <w:r w:rsidR="002B05E3">
        <w:t>transmission</w:t>
      </w:r>
      <w:r>
        <w:t xml:space="preserve"> determination is to determine the revenues that a service provider may recover each year through its network charges. For the transitional year, the NER transitional rules introduced a fast-tracked approach to assessing </w:t>
      </w:r>
      <w:r>
        <w:lastRenderedPageBreak/>
        <w:t xml:space="preserve">the expected revenues for that year. Rather than make a detailed assessment of </w:t>
      </w:r>
      <w:r w:rsidR="00334365">
        <w:t xml:space="preserve">the maximum allowed </w:t>
      </w:r>
      <w:r>
        <w:t xml:space="preserve">revenue for the transitional year, we conducted a high level assessment of the key inputs used by the service providers to develop their proposed revenues. We were not satisfied with the proposed revenues for the transitional year and instead determined an alternative </w:t>
      </w:r>
      <w:r w:rsidR="002B05E3">
        <w:t>maximum allowed revenue</w:t>
      </w:r>
      <w:r>
        <w:t xml:space="preserve"> by adjusting a limited number of inputs to the service providers' proposals, specifically, the rate of return and value of imputation credits (gamma). We approved this</w:t>
      </w:r>
      <w:r w:rsidR="002B05E3">
        <w:t xml:space="preserve"> </w:t>
      </w:r>
      <w:r>
        <w:t>estimate for each service provider as a placeholder revenue allowance that would later be</w:t>
      </w:r>
      <w:r w:rsidR="002B05E3">
        <w:t xml:space="preserve"> adjusted (or</w:t>
      </w:r>
      <w:r>
        <w:t xml:space="preserve"> 'trued-up'</w:t>
      </w:r>
      <w:r w:rsidR="002B05E3">
        <w:t>)</w:t>
      </w:r>
      <w:r>
        <w:t xml:space="preserve"> in our determination for the 2015–1</w:t>
      </w:r>
      <w:r w:rsidR="002B05E3">
        <w:t>8</w:t>
      </w:r>
      <w:r>
        <w:t xml:space="preserve"> regulatory control period. That is, the difference between the notional revenue approved for 2014–15 under this full determination process and the placeholder revenue would be adjusted for in net present value terms over the </w:t>
      </w:r>
      <w:r w:rsidR="002B05E3">
        <w:t>maximum allowed revenue</w:t>
      </w:r>
      <w:r>
        <w:t xml:space="preserve"> </w:t>
      </w:r>
      <w:r w:rsidR="00737862">
        <w:t xml:space="preserve">(MAR) </w:t>
      </w:r>
      <w:r>
        <w:t xml:space="preserve">determined for </w:t>
      </w:r>
      <w:r w:rsidR="002B05E3">
        <w:t>each year of t</w:t>
      </w:r>
      <w:r>
        <w:t>he 2015–1</w:t>
      </w:r>
      <w:r w:rsidR="009F017F">
        <w:t>8</w:t>
      </w:r>
      <w:r>
        <w:t xml:space="preserve"> regulatory control period.</w:t>
      </w:r>
    </w:p>
    <w:p w:rsidR="0048366A" w:rsidRPr="00BC29A8" w:rsidRDefault="0048366A" w:rsidP="0048366A">
      <w:pPr>
        <w:pStyle w:val="HeadingBoldBlue"/>
      </w:pPr>
      <w:r w:rsidRPr="00BC29A8">
        <w:t xml:space="preserve">The </w:t>
      </w:r>
      <w:r>
        <w:t>full</w:t>
      </w:r>
      <w:r w:rsidRPr="00BC29A8">
        <w:t xml:space="preserve"> </w:t>
      </w:r>
      <w:r w:rsidR="002B05E3">
        <w:t>transmission</w:t>
      </w:r>
      <w:r w:rsidRPr="00BC29A8">
        <w:t xml:space="preserve"> determination</w:t>
      </w:r>
      <w:r>
        <w:t xml:space="preserve"> for 2014–1</w:t>
      </w:r>
      <w:r w:rsidR="002B05E3">
        <w:t>8</w:t>
      </w:r>
    </w:p>
    <w:p w:rsidR="0048366A" w:rsidRDefault="0048366A" w:rsidP="0048366A">
      <w:pPr>
        <w:pStyle w:val="AERbodytext"/>
      </w:pPr>
      <w:r>
        <w:t>Our determination for the 2015–1</w:t>
      </w:r>
      <w:r w:rsidR="002B05E3">
        <w:t>8</w:t>
      </w:r>
      <w:r>
        <w:t xml:space="preserve"> regulatory control period is a full determination made under the new rules. </w:t>
      </w:r>
    </w:p>
    <w:p w:rsidR="0048366A" w:rsidRDefault="0048366A" w:rsidP="0048366A">
      <w:pPr>
        <w:pStyle w:val="AERbodytext"/>
      </w:pPr>
      <w:r w:rsidRPr="002154F3">
        <w:t xml:space="preserve">When making </w:t>
      </w:r>
      <w:r>
        <w:t>our</w:t>
      </w:r>
      <w:r w:rsidRPr="002154F3">
        <w:t xml:space="preserve"> determination </w:t>
      </w:r>
      <w:r>
        <w:t xml:space="preserve">of revenues </w:t>
      </w:r>
      <w:r w:rsidRPr="002154F3">
        <w:t xml:space="preserve">for </w:t>
      </w:r>
      <w:r>
        <w:t>this</w:t>
      </w:r>
      <w:r w:rsidRPr="002154F3">
        <w:t xml:space="preserve"> period, </w:t>
      </w:r>
      <w:r>
        <w:t>we are</w:t>
      </w:r>
      <w:r w:rsidRPr="002154F3">
        <w:t xml:space="preserve"> required to determine </w:t>
      </w:r>
      <w:r>
        <w:t xml:space="preserve">the notional </w:t>
      </w:r>
      <w:r w:rsidR="00737862">
        <w:t>annual building block revenue requirement</w:t>
      </w:r>
      <w:r w:rsidR="003D70F0">
        <w:t xml:space="preserve"> </w:t>
      </w:r>
      <w:r w:rsidRPr="002154F3">
        <w:t xml:space="preserve">for each </w:t>
      </w:r>
      <w:r>
        <w:t xml:space="preserve">year </w:t>
      </w:r>
      <w:r w:rsidRPr="002154F3">
        <w:t>of the 201</w:t>
      </w:r>
      <w:r>
        <w:t>4–</w:t>
      </w:r>
      <w:r w:rsidRPr="002154F3">
        <w:t>1</w:t>
      </w:r>
      <w:r w:rsidR="002B05E3">
        <w:t>8</w:t>
      </w:r>
      <w:r w:rsidRPr="002154F3">
        <w:t xml:space="preserve"> period</w:t>
      </w:r>
      <w:r>
        <w:t xml:space="preserve"> (that is, including the 2014</w:t>
      </w:r>
      <w:r w:rsidR="00737862">
        <w:t>–</w:t>
      </w:r>
      <w:r>
        <w:t>15 transitional year)</w:t>
      </w:r>
      <w:r w:rsidRPr="002154F3">
        <w:t>.</w:t>
      </w:r>
      <w:r>
        <w:t xml:space="preserve"> The unsmoothed </w:t>
      </w:r>
      <w:r w:rsidR="00737862">
        <w:t>annual building block revenue requirement</w:t>
      </w:r>
      <w:r>
        <w:t xml:space="preserve"> could be quite different between the amounts submitted for the transitional proposal process and for this full proposal process.</w:t>
      </w:r>
    </w:p>
    <w:p w:rsidR="0048366A" w:rsidRDefault="0048366A" w:rsidP="0048366A">
      <w:pPr>
        <w:pStyle w:val="AERbodytext"/>
      </w:pPr>
      <w:r w:rsidRPr="002154F3">
        <w:t xml:space="preserve">However, when </w:t>
      </w:r>
      <w:r>
        <w:t>determining</w:t>
      </w:r>
      <w:r w:rsidRPr="002154F3">
        <w:t xml:space="preserve"> </w:t>
      </w:r>
      <w:r>
        <w:t xml:space="preserve">the expected </w:t>
      </w:r>
      <w:r w:rsidR="00737862">
        <w:t>MARs</w:t>
      </w:r>
      <w:r>
        <w:t xml:space="preserve"> we will permit </w:t>
      </w:r>
      <w:r w:rsidR="002B05E3">
        <w:t>TransGrid</w:t>
      </w:r>
      <w:r>
        <w:t xml:space="preserve"> to recover through its charges</w:t>
      </w:r>
      <w:r w:rsidRPr="002154F3">
        <w:t xml:space="preserve">, </w:t>
      </w:r>
      <w:r>
        <w:t xml:space="preserve">we smooth the </w:t>
      </w:r>
      <w:r w:rsidR="00737862">
        <w:t>annual building block revenue requirement</w:t>
      </w:r>
      <w:r w:rsidR="003D70F0">
        <w:t xml:space="preserve"> from year to year</w:t>
      </w:r>
      <w:r>
        <w:t xml:space="preserve">. Because the 2014–15 </w:t>
      </w:r>
      <w:r w:rsidR="003D70F0">
        <w:t>MAR</w:t>
      </w:r>
      <w:r>
        <w:t xml:space="preserve"> was already determined by the placeholder decision (and charges have already been set using th</w:t>
      </w:r>
      <w:r w:rsidR="00737862">
        <w:t>is amount</w:t>
      </w:r>
      <w:r>
        <w:t>), this smoothing accounts for the placeholder revenue for the transitional year when determining</w:t>
      </w:r>
      <w:r w:rsidR="003D70F0">
        <w:t xml:space="preserve"> the expected </w:t>
      </w:r>
      <w:r w:rsidR="00737862">
        <w:t>MARs</w:t>
      </w:r>
      <w:r w:rsidR="003D70F0">
        <w:t xml:space="preserve"> for the three</w:t>
      </w:r>
      <w:r>
        <w:t xml:space="preserve"> years of the 2015–1</w:t>
      </w:r>
      <w:r w:rsidR="003D70F0">
        <w:t>8</w:t>
      </w:r>
      <w:r>
        <w:t xml:space="preserve"> regulatory control period. This process provides a 'true-up' for any difference between the placeholder revenue for </w:t>
      </w:r>
      <w:r w:rsidRPr="002154F3">
        <w:t xml:space="preserve">the transitional </w:t>
      </w:r>
      <w:r>
        <w:t xml:space="preserve">year and our subsequent determination of the </w:t>
      </w:r>
      <w:r w:rsidR="003D70F0">
        <w:t>MAR</w:t>
      </w:r>
      <w:r>
        <w:t xml:space="preserve"> for that year</w:t>
      </w:r>
      <w:r w:rsidR="00737862">
        <w:t>,</w:t>
      </w:r>
      <w:r>
        <w:t xml:space="preserve"> and a general process of smoothing over the 2015</w:t>
      </w:r>
      <w:r w:rsidR="00737862">
        <w:t>–</w:t>
      </w:r>
      <w:r>
        <w:t>1</w:t>
      </w:r>
      <w:r w:rsidR="003D70F0">
        <w:t>8</w:t>
      </w:r>
      <w:r>
        <w:t xml:space="preserve"> regulatory control period</w:t>
      </w:r>
      <w:r w:rsidRPr="002154F3">
        <w:t>.</w:t>
      </w:r>
      <w:r>
        <w:t xml:space="preserve"> </w:t>
      </w:r>
    </w:p>
    <w:p w:rsidR="0048366A" w:rsidRDefault="0048366A" w:rsidP="0048366A">
      <w:pPr>
        <w:pStyle w:val="AERbodytext"/>
      </w:pPr>
      <w:r>
        <w:t xml:space="preserve">The effect of this approach is that the </w:t>
      </w:r>
      <w:r w:rsidR="003D70F0">
        <w:t>MAR</w:t>
      </w:r>
      <w:r>
        <w:t xml:space="preserve"> we approve over the </w:t>
      </w:r>
      <w:r w:rsidR="003D70F0">
        <w:t>four</w:t>
      </w:r>
      <w:r>
        <w:t xml:space="preserve"> years from 2014–1</w:t>
      </w:r>
      <w:r w:rsidR="003D70F0">
        <w:t>8</w:t>
      </w:r>
      <w:r>
        <w:t xml:space="preserve"> is calculated under the new rules. </w:t>
      </w:r>
      <w:r w:rsidRPr="002154F3">
        <w:t xml:space="preserve">In this </w:t>
      </w:r>
      <w:r>
        <w:t>way</w:t>
      </w:r>
      <w:r w:rsidRPr="002154F3">
        <w:t xml:space="preserve"> the two </w:t>
      </w:r>
      <w:r>
        <w:t xml:space="preserve">regulatory control </w:t>
      </w:r>
      <w:r w:rsidRPr="002154F3">
        <w:t xml:space="preserve">periods </w:t>
      </w:r>
      <w:r>
        <w:t>are</w:t>
      </w:r>
      <w:r w:rsidRPr="002154F3">
        <w:t xml:space="preserve"> link</w:t>
      </w:r>
      <w:r>
        <w:t>ed</w:t>
      </w:r>
      <w:r w:rsidRPr="002154F3">
        <w:t xml:space="preserve">. </w:t>
      </w:r>
      <w:r>
        <w:t>For the purpose of smoothing revenues</w:t>
      </w:r>
      <w:r w:rsidRPr="002154F3">
        <w:t>, the</w:t>
      </w:r>
      <w:r>
        <w:t xml:space="preserve"> two regulatory control periods</w:t>
      </w:r>
      <w:r w:rsidRPr="002154F3">
        <w:t xml:space="preserve"> are treated as if they </w:t>
      </w:r>
      <w:r>
        <w:t>had just been</w:t>
      </w:r>
      <w:r w:rsidRPr="002154F3">
        <w:t xml:space="preserve"> one period</w:t>
      </w:r>
      <w:r>
        <w:t>. For legal purposes generally, however, the two periods remain separate and distinct regulatory control periods</w:t>
      </w:r>
      <w:r w:rsidR="00737862">
        <w:t>.</w:t>
      </w:r>
      <w:r>
        <w:rPr>
          <w:rStyle w:val="FootnoteReference"/>
        </w:rPr>
        <w:footnoteReference w:id="146"/>
      </w:r>
    </w:p>
    <w:p w:rsidR="0048366A" w:rsidRPr="002154F3" w:rsidRDefault="0048366A" w:rsidP="0048366A">
      <w:pPr>
        <w:pStyle w:val="AERbodytext"/>
      </w:pPr>
      <w:r>
        <w:t>In this determination, we have</w:t>
      </w:r>
      <w:r w:rsidRPr="002154F3">
        <w:t xml:space="preserve"> </w:t>
      </w:r>
      <w:r>
        <w:t xml:space="preserve">sought to </w:t>
      </w:r>
      <w:r w:rsidRPr="002154F3">
        <w:t xml:space="preserve">reflect </w:t>
      </w:r>
      <w:r>
        <w:t xml:space="preserve">the transitional arrangements in the following manner:  </w:t>
      </w:r>
    </w:p>
    <w:p w:rsidR="0048366A" w:rsidRPr="002154F3" w:rsidRDefault="0048366A" w:rsidP="0048366A">
      <w:pPr>
        <w:pStyle w:val="AERbulletlistfirststyle"/>
      </w:pPr>
      <w:r>
        <w:t>When we need</w:t>
      </w:r>
      <w:r w:rsidRPr="002154F3">
        <w:t xml:space="preserve"> to </w:t>
      </w:r>
      <w:r>
        <w:t xml:space="preserve">refer to </w:t>
      </w:r>
      <w:r w:rsidRPr="002154F3">
        <w:t xml:space="preserve">the </w:t>
      </w:r>
      <w:r w:rsidR="006E42A8">
        <w:t>four</w:t>
      </w:r>
      <w:r w:rsidRPr="002154F3">
        <w:t xml:space="preserve"> years across </w:t>
      </w:r>
      <w:r>
        <w:t xml:space="preserve">the period from </w:t>
      </w:r>
      <w:r w:rsidRPr="002154F3">
        <w:t>2014</w:t>
      </w:r>
      <w:r>
        <w:t>–</w:t>
      </w:r>
      <w:r w:rsidRPr="002154F3">
        <w:t>1</w:t>
      </w:r>
      <w:r w:rsidR="006E42A8">
        <w:t>8</w:t>
      </w:r>
      <w:r w:rsidRPr="002154F3">
        <w:t xml:space="preserve">, </w:t>
      </w:r>
      <w:r>
        <w:t>we use the phrase ‘2014</w:t>
      </w:r>
      <w:r w:rsidR="00380BF2">
        <w:t>–</w:t>
      </w:r>
      <w:r w:rsidR="006E42A8">
        <w:t>18</w:t>
      </w:r>
      <w:r w:rsidRPr="002154F3">
        <w:t xml:space="preserve"> period’.</w:t>
      </w:r>
    </w:p>
    <w:p w:rsidR="0048366A" w:rsidRPr="002154F3" w:rsidRDefault="0048366A" w:rsidP="0048366A">
      <w:pPr>
        <w:pStyle w:val="AERbulletlistfirststyle"/>
      </w:pPr>
      <w:r w:rsidRPr="002154F3">
        <w:t xml:space="preserve">When </w:t>
      </w:r>
      <w:r>
        <w:t>we need to distinguish 2014–15 from the 2014–1</w:t>
      </w:r>
      <w:r w:rsidR="006E42A8">
        <w:t>8</w:t>
      </w:r>
      <w:r>
        <w:t xml:space="preserve"> period, we refer to it as the transitional year. </w:t>
      </w:r>
    </w:p>
    <w:p w:rsidR="0048366A" w:rsidRPr="002154F3" w:rsidRDefault="0048366A" w:rsidP="0048366A">
      <w:pPr>
        <w:pStyle w:val="AERbulletlistfirststyle"/>
      </w:pPr>
      <w:r>
        <w:t>When we refer</w:t>
      </w:r>
      <w:r w:rsidRPr="002154F3">
        <w:t xml:space="preserve"> to official regulatory control period, </w:t>
      </w:r>
      <w:r>
        <w:t xml:space="preserve">we </w:t>
      </w:r>
      <w:r w:rsidRPr="002154F3">
        <w:t>use the phrase ‘2015</w:t>
      </w:r>
      <w:r>
        <w:t>–</w:t>
      </w:r>
      <w:r w:rsidRPr="002154F3">
        <w:t>1</w:t>
      </w:r>
      <w:r w:rsidR="006E42A8">
        <w:t>8</w:t>
      </w:r>
      <w:r w:rsidRPr="002154F3">
        <w:t xml:space="preserve"> regulatory control period’.</w:t>
      </w:r>
    </w:p>
    <w:p w:rsidR="0048366A" w:rsidRPr="00744A78" w:rsidRDefault="0048366A" w:rsidP="0048366A">
      <w:pPr>
        <w:pStyle w:val="HeadingBoldBlue"/>
      </w:pPr>
      <w:r>
        <w:lastRenderedPageBreak/>
        <w:t xml:space="preserve">Implementing the </w:t>
      </w:r>
      <w:r w:rsidR="006E0B85">
        <w:t>adjustments ('</w:t>
      </w:r>
      <w:r>
        <w:t>t</w:t>
      </w:r>
      <w:r w:rsidRPr="00BC29A8">
        <w:t>rue</w:t>
      </w:r>
      <w:r>
        <w:t>-</w:t>
      </w:r>
      <w:r w:rsidRPr="00BC29A8">
        <w:t>up</w:t>
      </w:r>
      <w:r w:rsidR="006E0B85">
        <w:t>')</w:t>
      </w:r>
    </w:p>
    <w:p w:rsidR="0048366A" w:rsidRDefault="0048366A" w:rsidP="0048366A">
      <w:pPr>
        <w:pStyle w:val="AERbodytext"/>
      </w:pPr>
      <w:r>
        <w:t>As part of our full determination of notional revenues for the 2014–1</w:t>
      </w:r>
      <w:r w:rsidR="006E0B85">
        <w:t>8</w:t>
      </w:r>
      <w:r>
        <w:t xml:space="preserve"> period, we have determined further changes to the rate of return and gamma, and reductions to other costs such as capex and opex. As noted above, the placeholder revenue for 2014–15 reflects changes to the rate of return and gamma only. These </w:t>
      </w:r>
      <w:r w:rsidR="00737862">
        <w:t xml:space="preserve">further </w:t>
      </w:r>
      <w:r>
        <w:t>changes mean that the 2014–15 placeholder revenue was too high. A</w:t>
      </w:r>
      <w:r w:rsidR="00B626C7">
        <w:t>n adjustment (or '</w:t>
      </w:r>
      <w:r>
        <w:t>true-up</w:t>
      </w:r>
      <w:r w:rsidR="00B626C7">
        <w:t>'</w:t>
      </w:r>
      <w:r w:rsidR="003642C2">
        <w:t>)</w:t>
      </w:r>
      <w:r>
        <w:t xml:space="preserve"> therefore needs to occur.</w:t>
      </w:r>
      <w:r>
        <w:rPr>
          <w:rStyle w:val="FootnoteReference"/>
        </w:rPr>
        <w:footnoteReference w:id="147"/>
      </w:r>
    </w:p>
    <w:p w:rsidR="0048366A" w:rsidRDefault="0048366A" w:rsidP="00C70EDB">
      <w:pPr>
        <w:pStyle w:val="AERbodytext"/>
      </w:pPr>
      <w:r>
        <w:t xml:space="preserve">The true-up can be measured as the difference between the placeholder revenue for 2014–15 and the notional </w:t>
      </w:r>
      <w:r w:rsidR="00B626C7">
        <w:t>MAR</w:t>
      </w:r>
      <w:r>
        <w:t xml:space="preserve"> for 2014–15 determined by the AER in this draft decision. Table </w:t>
      </w:r>
      <w:r w:rsidR="00A6284B">
        <w:t>B.</w:t>
      </w:r>
      <w:r w:rsidR="00B40D98">
        <w:t xml:space="preserve">1 </w:t>
      </w:r>
      <w:r>
        <w:t xml:space="preserve">shows how the true-up amount is determined and that </w:t>
      </w:r>
      <w:r w:rsidRPr="00301B97">
        <w:rPr>
          <w:rStyle w:val="AERtexthighlight"/>
          <w:shd w:val="clear" w:color="auto" w:fill="auto"/>
        </w:rPr>
        <w:t>$</w:t>
      </w:r>
      <w:r w:rsidR="00301B97" w:rsidRPr="00301B97">
        <w:rPr>
          <w:rStyle w:val="AERtexthighlight"/>
          <w:shd w:val="clear" w:color="auto" w:fill="auto"/>
        </w:rPr>
        <w:t>94</w:t>
      </w:r>
      <w:r w:rsidR="00301B97" w:rsidRPr="00C70EDB">
        <w:rPr>
          <w:rStyle w:val="AERtexthighlight"/>
          <w:shd w:val="clear" w:color="auto" w:fill="auto"/>
        </w:rPr>
        <w:t>.</w:t>
      </w:r>
      <w:r w:rsidR="00C70EDB" w:rsidRPr="00C70EDB">
        <w:rPr>
          <w:rStyle w:val="AERtexthighlight"/>
          <w:shd w:val="clear" w:color="auto" w:fill="auto"/>
        </w:rPr>
        <w:t>3</w:t>
      </w:r>
      <w:r>
        <w:t xml:space="preserve"> million will be returned to customers over the 2015–1</w:t>
      </w:r>
      <w:r w:rsidR="00B626C7">
        <w:t>8</w:t>
      </w:r>
      <w:r>
        <w:t xml:space="preserve"> regulatory control period (adjusted for the time value of money).   </w:t>
      </w:r>
    </w:p>
    <w:p w:rsidR="0048366A" w:rsidRPr="00083547" w:rsidRDefault="0048366A" w:rsidP="0048366A">
      <w:pPr>
        <w:pStyle w:val="AERbodytext"/>
        <w:rPr>
          <w:rStyle w:val="AERtextbold"/>
        </w:rPr>
      </w:pPr>
      <w:r w:rsidRPr="00083547">
        <w:rPr>
          <w:rStyle w:val="AERtextbold"/>
        </w:rPr>
        <w:t xml:space="preserve">Table </w:t>
      </w:r>
      <w:r w:rsidR="00B40D98" w:rsidRPr="00083547">
        <w:rPr>
          <w:rStyle w:val="AERtextbold"/>
        </w:rPr>
        <w:t xml:space="preserve">B-1  </w:t>
      </w:r>
      <w:r w:rsidRPr="00083547">
        <w:rPr>
          <w:rStyle w:val="AERtextbold"/>
        </w:rPr>
        <w:t>True-up for TransGrid ($</w:t>
      </w:r>
      <w:r w:rsidR="00301B97">
        <w:rPr>
          <w:rStyle w:val="AERtextbold"/>
        </w:rPr>
        <w:t xml:space="preserve"> </w:t>
      </w:r>
      <w:r w:rsidRPr="00083547">
        <w:rPr>
          <w:rStyle w:val="AERtextbold"/>
        </w:rPr>
        <w:t>m</w:t>
      </w:r>
      <w:r w:rsidR="00301B97">
        <w:rPr>
          <w:rStyle w:val="AERtextbold"/>
        </w:rPr>
        <w:t>illion</w:t>
      </w:r>
      <w:r w:rsidRPr="00083547">
        <w:rPr>
          <w:rStyle w:val="AERtextbold"/>
        </w:rPr>
        <w:t>, nominal)</w:t>
      </w:r>
    </w:p>
    <w:tbl>
      <w:tblPr>
        <w:tblStyle w:val="AERtable-numbers"/>
        <w:tblW w:w="5000" w:type="pct"/>
        <w:tblLook w:val="04A0" w:firstRow="1" w:lastRow="0" w:firstColumn="1" w:lastColumn="0" w:noHBand="0" w:noVBand="1"/>
      </w:tblPr>
      <w:tblGrid>
        <w:gridCol w:w="7122"/>
        <w:gridCol w:w="2120"/>
      </w:tblGrid>
      <w:tr w:rsidR="0048366A" w:rsidRPr="00301B97" w:rsidTr="002F01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3" w:type="pct"/>
            <w:noWrap/>
            <w:hideMark/>
          </w:tcPr>
          <w:p w:rsidR="0048366A" w:rsidRPr="004F36D2" w:rsidRDefault="00B626C7" w:rsidP="00737862">
            <w:pPr>
              <w:pStyle w:val="AERtabletextleft"/>
              <w:jc w:val="both"/>
              <w:rPr>
                <w:rStyle w:val="AERtextbold"/>
                <w:b/>
              </w:rPr>
            </w:pPr>
            <w:r w:rsidRPr="00737862">
              <w:rPr>
                <w:rStyle w:val="AERtextbold"/>
              </w:rPr>
              <w:t>TransGrid</w:t>
            </w:r>
          </w:p>
        </w:tc>
        <w:tc>
          <w:tcPr>
            <w:tcW w:w="1147" w:type="pct"/>
            <w:noWrap/>
            <w:hideMark/>
          </w:tcPr>
          <w:p w:rsidR="0048366A" w:rsidRPr="004F36D2" w:rsidRDefault="0048366A" w:rsidP="00737862">
            <w:pPr>
              <w:pStyle w:val="AERtabletextright"/>
              <w:cnfStyle w:val="100000000000" w:firstRow="1" w:lastRow="0" w:firstColumn="0" w:lastColumn="0" w:oddVBand="0" w:evenVBand="0" w:oddHBand="0" w:evenHBand="0" w:firstRowFirstColumn="0" w:firstRowLastColumn="0" w:lastRowFirstColumn="0" w:lastRowLastColumn="0"/>
              <w:rPr>
                <w:rStyle w:val="AERtextbold"/>
                <w:b/>
              </w:rPr>
            </w:pPr>
            <w:r w:rsidRPr="00737862">
              <w:rPr>
                <w:rStyle w:val="AERtextbold"/>
              </w:rPr>
              <w:t>2014</w:t>
            </w:r>
            <w:r w:rsidRPr="00737862">
              <w:rPr>
                <w:rStyle w:val="AERtextbold"/>
                <w:rFonts w:hint="eastAsia"/>
              </w:rPr>
              <w:t>–</w:t>
            </w:r>
            <w:r w:rsidRPr="00737862">
              <w:rPr>
                <w:rStyle w:val="AERtextbold"/>
              </w:rPr>
              <w:t>15</w:t>
            </w:r>
          </w:p>
        </w:tc>
      </w:tr>
      <w:tr w:rsidR="0048366A" w:rsidTr="002F012A">
        <w:trPr>
          <w:trHeight w:val="300"/>
        </w:trPr>
        <w:tc>
          <w:tcPr>
            <w:cnfStyle w:val="001000000000" w:firstRow="0" w:lastRow="0" w:firstColumn="1" w:lastColumn="0" w:oddVBand="0" w:evenVBand="0" w:oddHBand="0" w:evenHBand="0" w:firstRowFirstColumn="0" w:firstRowLastColumn="0" w:lastRowFirstColumn="0" w:lastRowLastColumn="0"/>
            <w:tcW w:w="3853" w:type="pct"/>
            <w:noWrap/>
            <w:hideMark/>
          </w:tcPr>
          <w:p w:rsidR="0048366A" w:rsidRPr="0048366A" w:rsidRDefault="0026285E" w:rsidP="0048366A">
            <w:pPr>
              <w:pStyle w:val="AERtabletextleft"/>
            </w:pPr>
            <w:r>
              <w:t xml:space="preserve">AER draft decision </w:t>
            </w:r>
            <w:r w:rsidR="00301B97">
              <w:t>–</w:t>
            </w:r>
            <w:r>
              <w:t xml:space="preserve"> notional MAR</w:t>
            </w:r>
          </w:p>
        </w:tc>
        <w:tc>
          <w:tcPr>
            <w:tcW w:w="1147" w:type="pct"/>
            <w:noWrap/>
            <w:hideMark/>
          </w:tcPr>
          <w:p w:rsidR="0048366A" w:rsidRPr="0048366A" w:rsidRDefault="0026285E" w:rsidP="00C70EDB">
            <w:pPr>
              <w:pStyle w:val="AERtabletextright"/>
              <w:cnfStyle w:val="000000000000" w:firstRow="0" w:lastRow="0" w:firstColumn="0" w:lastColumn="0" w:oddVBand="0" w:evenVBand="0" w:oddHBand="0" w:evenHBand="0" w:firstRowFirstColumn="0" w:firstRowLastColumn="0" w:lastRowFirstColumn="0" w:lastRowLastColumn="0"/>
            </w:pPr>
            <w:r>
              <w:t>75</w:t>
            </w:r>
            <w:r w:rsidR="00C70EDB">
              <w:t>1</w:t>
            </w:r>
            <w:r>
              <w:t>.</w:t>
            </w:r>
            <w:r w:rsidR="00C70EDB">
              <w:t>1</w:t>
            </w:r>
          </w:p>
        </w:tc>
      </w:tr>
      <w:tr w:rsidR="0048366A" w:rsidTr="002F012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3" w:type="pct"/>
            <w:noWrap/>
            <w:hideMark/>
          </w:tcPr>
          <w:p w:rsidR="0048366A" w:rsidRPr="0048366A" w:rsidRDefault="00301B97" w:rsidP="00301B97">
            <w:pPr>
              <w:pStyle w:val="AERtabletextleft"/>
            </w:pPr>
            <w:r>
              <w:t>AER t</w:t>
            </w:r>
            <w:r w:rsidR="0026285E">
              <w:t xml:space="preserve">ransitional decision </w:t>
            </w:r>
            <w:r>
              <w:t>–</w:t>
            </w:r>
            <w:r w:rsidR="0026285E">
              <w:t xml:space="preserve"> placeholder revenue</w:t>
            </w:r>
          </w:p>
        </w:tc>
        <w:tc>
          <w:tcPr>
            <w:tcW w:w="1147" w:type="pct"/>
            <w:noWrap/>
            <w:hideMark/>
          </w:tcPr>
          <w:p w:rsidR="0048366A" w:rsidRPr="0048366A" w:rsidRDefault="0026285E" w:rsidP="0048366A">
            <w:pPr>
              <w:pStyle w:val="AERtabletextright"/>
              <w:cnfStyle w:val="000000010000" w:firstRow="0" w:lastRow="0" w:firstColumn="0" w:lastColumn="0" w:oddVBand="0" w:evenVBand="0" w:oddHBand="0" w:evenHBand="1" w:firstRowFirstColumn="0" w:firstRowLastColumn="0" w:lastRowFirstColumn="0" w:lastRowLastColumn="0"/>
            </w:pPr>
            <w:r>
              <w:t>845.4</w:t>
            </w:r>
          </w:p>
        </w:tc>
      </w:tr>
      <w:tr w:rsidR="0026285E" w:rsidTr="002F012A">
        <w:trPr>
          <w:trHeight w:val="300"/>
        </w:trPr>
        <w:tc>
          <w:tcPr>
            <w:cnfStyle w:val="001000000000" w:firstRow="0" w:lastRow="0" w:firstColumn="1" w:lastColumn="0" w:oddVBand="0" w:evenVBand="0" w:oddHBand="0" w:evenHBand="0" w:firstRowFirstColumn="0" w:firstRowLastColumn="0" w:lastRowFirstColumn="0" w:lastRowLastColumn="0"/>
            <w:tcW w:w="3853" w:type="pct"/>
            <w:noWrap/>
          </w:tcPr>
          <w:p w:rsidR="0026285E" w:rsidRDefault="0026285E" w:rsidP="00B626C7">
            <w:pPr>
              <w:pStyle w:val="AERtabletextleft"/>
            </w:pPr>
            <w:r>
              <w:t>Difference</w:t>
            </w:r>
          </w:p>
        </w:tc>
        <w:tc>
          <w:tcPr>
            <w:tcW w:w="1147" w:type="pct"/>
            <w:noWrap/>
          </w:tcPr>
          <w:p w:rsidR="0026285E" w:rsidRPr="0048366A" w:rsidRDefault="00E21A25" w:rsidP="00C70EDB">
            <w:pPr>
              <w:pStyle w:val="AERtabletextright"/>
              <w:cnfStyle w:val="000000000000" w:firstRow="0" w:lastRow="0" w:firstColumn="0" w:lastColumn="0" w:oddVBand="0" w:evenVBand="0" w:oddHBand="0" w:evenHBand="0" w:firstRowFirstColumn="0" w:firstRowLastColumn="0" w:lastRowFirstColumn="0" w:lastRowLastColumn="0"/>
            </w:pPr>
            <w:r>
              <w:t>–94.</w:t>
            </w:r>
            <w:r w:rsidR="00C70EDB">
              <w:t>3</w:t>
            </w:r>
          </w:p>
        </w:tc>
      </w:tr>
      <w:bookmarkEnd w:id="109"/>
    </w:tbl>
    <w:p w:rsidR="0048366A" w:rsidRPr="0048366A" w:rsidRDefault="0048366A" w:rsidP="0048366A">
      <w:pPr>
        <w:pStyle w:val="AERbodytext"/>
      </w:pPr>
    </w:p>
    <w:p w:rsidR="003B0D45" w:rsidRDefault="003B0D45" w:rsidP="0039524C">
      <w:pPr>
        <w:pStyle w:val="UnnumberedHeading"/>
        <w:numPr>
          <w:ilvl w:val="0"/>
          <w:numId w:val="9"/>
        </w:numPr>
      </w:pPr>
      <w:bookmarkStart w:id="110" w:name="_Toc404437650"/>
      <w:r>
        <w:lastRenderedPageBreak/>
        <w:t xml:space="preserve">Appendix </w:t>
      </w:r>
      <w:r w:rsidR="0048366A">
        <w:t>C</w:t>
      </w:r>
      <w:r>
        <w:t xml:space="preserve"> </w:t>
      </w:r>
      <w:r w:rsidRPr="003B0D45">
        <w:t>–</w:t>
      </w:r>
      <w:r>
        <w:t xml:space="preserve"> Better Regulation Guidelines</w:t>
      </w:r>
      <w:bookmarkEnd w:id="110"/>
    </w:p>
    <w:p w:rsidR="003B0D45" w:rsidRPr="00553AF7" w:rsidRDefault="003B0D45" w:rsidP="003B0D45">
      <w:pPr>
        <w:rPr>
          <w:rStyle w:val="AERbody"/>
        </w:rPr>
      </w:pPr>
      <w:r w:rsidRPr="00553AF7">
        <w:rPr>
          <w:rStyle w:val="AERbody"/>
        </w:rPr>
        <w:t xml:space="preserve">The guidelines which we applied in assessing </w:t>
      </w:r>
      <w:r w:rsidR="00A0280F">
        <w:rPr>
          <w:rStyle w:val="AERbody"/>
        </w:rPr>
        <w:t>TransG</w:t>
      </w:r>
      <w:r w:rsidRPr="00553AF7">
        <w:rPr>
          <w:rStyle w:val="AERbody"/>
        </w:rPr>
        <w:t xml:space="preserve">rid's regulatory proposal are summarised </w:t>
      </w:r>
      <w:r>
        <w:rPr>
          <w:rStyle w:val="AERbody"/>
        </w:rPr>
        <w:t xml:space="preserve">below. </w:t>
      </w:r>
    </w:p>
    <w:p w:rsidR="003B0D45" w:rsidRPr="00553AF7" w:rsidRDefault="003B0D45" w:rsidP="003B0D45">
      <w:pPr>
        <w:pStyle w:val="HeadingBoldBlue"/>
      </w:pPr>
      <w:r w:rsidRPr="00553AF7">
        <w:t>Forecasting efficient expenditure</w:t>
      </w:r>
    </w:p>
    <w:p w:rsidR="003B0D45" w:rsidRPr="00F245AF" w:rsidRDefault="003B0D45" w:rsidP="003B0D45">
      <w:pPr>
        <w:pStyle w:val="AERbodytext"/>
      </w:pPr>
      <w:r w:rsidRPr="00F245AF">
        <w:t>Our Better Regulation expenditure forecast assessment guideline sets out how we assess a business’ revenue proposal and how we determine a substitute forecast when required. Businesses must provide economic analysis to justify the efficiency and prudency of their expenditure proposals. In the absence of economic justification we are unlikely to accept their forecast expenditure.</w:t>
      </w:r>
    </w:p>
    <w:p w:rsidR="003B0D45" w:rsidRPr="00F245AF" w:rsidRDefault="003B0D45" w:rsidP="003B0D45">
      <w:pPr>
        <w:pStyle w:val="AERbodytext"/>
      </w:pPr>
      <w:r w:rsidRPr="00F245AF">
        <w:t xml:space="preserve">Our general approach is to assess the efficiency of a network business and determine whether previous spending is an appropriate starting point. If </w:t>
      </w:r>
      <w:r>
        <w:t xml:space="preserve">there is evidence of inefficiency we will use benchmarks </w:t>
      </w:r>
      <w:r w:rsidRPr="00F245AF">
        <w:t>that reflect efficient costs.</w:t>
      </w:r>
    </w:p>
    <w:p w:rsidR="003B0D45" w:rsidRPr="00F245AF" w:rsidRDefault="003B0D45" w:rsidP="003B0D45">
      <w:pPr>
        <w:pStyle w:val="AERbodytext"/>
      </w:pPr>
      <w:r w:rsidRPr="00F245AF">
        <w:t>To assess a business’s revenue proposal, we apply a range of techniques that typically involve comparing the proposal to estimates we develop from relevant information sources. Where these techniques indicate the expenditures are not efficient, we will set our own efficient forecast. These techniques include:</w:t>
      </w:r>
    </w:p>
    <w:p w:rsidR="003B0D45" w:rsidRPr="00F245AF" w:rsidRDefault="003B0D45" w:rsidP="003B0D45">
      <w:pPr>
        <w:pStyle w:val="AERbulletlistfirststyle"/>
      </w:pPr>
      <w:r w:rsidRPr="00F245AF">
        <w:t>economic benchmarking—productivity measures used to assess a business</w:t>
      </w:r>
      <w:r>
        <w:t>'s</w:t>
      </w:r>
      <w:r w:rsidRPr="00F245AF">
        <w:t xml:space="preserve"> efficiency overall</w:t>
      </w:r>
    </w:p>
    <w:p w:rsidR="003B0D45" w:rsidRPr="00F245AF" w:rsidRDefault="003B0D45" w:rsidP="003B0D45">
      <w:pPr>
        <w:pStyle w:val="AERbulletlistfirststyle"/>
      </w:pPr>
      <w:r w:rsidRPr="00F245AF">
        <w:t>category level analysis—comparing how well a business delivers services for a range of individual activities and functions, including over time and with its peers</w:t>
      </w:r>
    </w:p>
    <w:p w:rsidR="003B0D45" w:rsidRPr="00F245AF" w:rsidRDefault="003B0D45" w:rsidP="003B0D45">
      <w:pPr>
        <w:pStyle w:val="AERbulletlistfirststyle"/>
      </w:pPr>
      <w:r w:rsidRPr="00F245AF">
        <w:t>predictive modelling—statistical analysis to predict future spending needs, currently used to assess the need for upgrades or replacement as demand changes (augmentation capex, or augex) and expenditure needed to replace aging assets (replacement capex, or repex)</w:t>
      </w:r>
    </w:p>
    <w:p w:rsidR="003B0D45" w:rsidRPr="00F245AF" w:rsidRDefault="003B0D45" w:rsidP="003B0D45">
      <w:pPr>
        <w:pStyle w:val="AERbulletlistfirststyle"/>
      </w:pPr>
      <w:r w:rsidRPr="00F245AF">
        <w:t>trend analysis—forecasting future expenditure based on historical information, particularly useful for opex where spending is largely recurrent and predictable</w:t>
      </w:r>
    </w:p>
    <w:p w:rsidR="003B0D45" w:rsidRPr="00F245AF" w:rsidRDefault="003B0D45" w:rsidP="003B0D45">
      <w:pPr>
        <w:pStyle w:val="AERbulletlistfirststyle"/>
      </w:pPr>
      <w:r w:rsidRPr="00F245AF">
        <w:t>cost benefit analysis—assessing whether the business has chosen spending options that reflect the best value for money</w:t>
      </w:r>
    </w:p>
    <w:p w:rsidR="003B0D45" w:rsidRPr="00F245AF" w:rsidRDefault="003B0D45" w:rsidP="003B0D45">
      <w:pPr>
        <w:pStyle w:val="AERbulletlistfirststyle"/>
      </w:pPr>
      <w:r w:rsidRPr="00F245AF">
        <w:t>project review—a detailed engineering examination of specific proposed projects or programs</w:t>
      </w:r>
    </w:p>
    <w:p w:rsidR="003B0D45" w:rsidRPr="00F245AF" w:rsidRDefault="003B0D45" w:rsidP="003B0D45">
      <w:pPr>
        <w:pStyle w:val="AERbulletlistfirststyle"/>
      </w:pPr>
      <w:r w:rsidRPr="00F245AF">
        <w:t>methodology review—examining processes, assumptions, inputs and models that the business used to develop its proposal</w:t>
      </w:r>
    </w:p>
    <w:p w:rsidR="003B0D45" w:rsidRPr="00F245AF" w:rsidRDefault="003B0D45" w:rsidP="003B0D45">
      <w:pPr>
        <w:pStyle w:val="AERbulletlistfirststyle"/>
      </w:pPr>
      <w:r w:rsidRPr="00F245AF">
        <w:t>governance and policy review—examining the business’s strategic planning, risk management, asset management and prioritisation.</w:t>
      </w:r>
    </w:p>
    <w:p w:rsidR="003B0D45" w:rsidRPr="00F245AF" w:rsidRDefault="003B0D45" w:rsidP="003B0D45">
      <w:pPr>
        <w:pStyle w:val="AERbodytext"/>
      </w:pPr>
      <w:r w:rsidRPr="00F245AF">
        <w:t>The expenditure assessment guideline also sets out our principles for guiding our reliance on assessment techniques and a business forecasting approach. These include validity, accuracy and reliability, parsimony, robustness, transparency and fitness for purpose.</w:t>
      </w:r>
    </w:p>
    <w:p w:rsidR="003B0D45" w:rsidRPr="00F245AF" w:rsidRDefault="003B0D45" w:rsidP="003B0D45">
      <w:pPr>
        <w:pStyle w:val="AERbodytext"/>
      </w:pPr>
      <w:r w:rsidRPr="00F245AF">
        <w:t xml:space="preserve">In the remainder of this section we explain how as part of our determinations we also calculate the rewards and penalties for past performance under our expenditure incentive schemes. In addition, </w:t>
      </w:r>
      <w:r w:rsidR="003642C2">
        <w:t xml:space="preserve">we explain </w:t>
      </w:r>
      <w:r w:rsidRPr="00F245AF">
        <w:t xml:space="preserve">how we combine our approach to incentives with our forecasting approach to ensure consumers will pay no more than necessary for a safe and reliable energy supply. </w:t>
      </w:r>
    </w:p>
    <w:p w:rsidR="003B0D45" w:rsidRPr="00F245AF" w:rsidRDefault="003B0D45" w:rsidP="003B0D45">
      <w:pPr>
        <w:pStyle w:val="HeadingBoldBlue"/>
      </w:pPr>
      <w:r>
        <w:lastRenderedPageBreak/>
        <w:t>Forecasting and reviewing capital expenditure</w:t>
      </w:r>
    </w:p>
    <w:p w:rsidR="003B0D45" w:rsidRPr="00F245AF" w:rsidRDefault="003B0D45" w:rsidP="003B0D45">
      <w:pPr>
        <w:pStyle w:val="AERbodytext"/>
      </w:pPr>
      <w:r w:rsidRPr="00F245AF">
        <w:t xml:space="preserve">During a determination we assess the business' past capex and future capex needs. We: </w:t>
      </w:r>
    </w:p>
    <w:p w:rsidR="003B0D45" w:rsidRPr="00F245AF" w:rsidRDefault="003B0D45" w:rsidP="003B0D45">
      <w:pPr>
        <w:pStyle w:val="AERbulletlistfirststyle"/>
      </w:pPr>
      <w:r w:rsidRPr="00F245AF">
        <w:t xml:space="preserve">assess the business’ proposed forecast of the total capex it needs to spend over the next period </w:t>
      </w:r>
    </w:p>
    <w:p w:rsidR="003B0D45" w:rsidRPr="00F245AF" w:rsidRDefault="003B0D45" w:rsidP="003B0D45">
      <w:pPr>
        <w:pStyle w:val="AERbulletlistfirststyle"/>
        <w:rPr>
          <w:rStyle w:val="AERbody"/>
        </w:rPr>
      </w:pPr>
      <w:r w:rsidRPr="00F245AF">
        <w:t xml:space="preserve">update the business' </w:t>
      </w:r>
      <w:r>
        <w:t>RAB</w:t>
      </w:r>
      <w:r w:rsidRPr="00F245AF">
        <w:t xml:space="preserve"> </w:t>
      </w:r>
      <w:r w:rsidRPr="00F245AF">
        <w:rPr>
          <w:rStyle w:val="AERbody"/>
        </w:rPr>
        <w:t>to include the capex it spent in the past during the period</w:t>
      </w:r>
      <w:r w:rsidRPr="00F245AF">
        <w:t>, excluding any inefficient capex overspend</w:t>
      </w:r>
      <w:r w:rsidR="003C60C9">
        <w:rPr>
          <w:rStyle w:val="FootnoteReference"/>
        </w:rPr>
        <w:footnoteReference w:id="148"/>
      </w:r>
    </w:p>
    <w:p w:rsidR="003B0D45" w:rsidRPr="00F245AF" w:rsidRDefault="003B0D45" w:rsidP="003B0D45">
      <w:pPr>
        <w:pStyle w:val="AERbulletlistfirststyle"/>
      </w:pPr>
      <w:r w:rsidRPr="00F245AF">
        <w:t xml:space="preserve">calculate the rewards and penalties the business will receive under the </w:t>
      </w:r>
      <w:r>
        <w:t>capital expenditure sharing scheme (</w:t>
      </w:r>
      <w:r w:rsidRPr="00F245AF">
        <w:t>CESS</w:t>
      </w:r>
      <w:r>
        <w:t>)</w:t>
      </w:r>
      <w:r w:rsidRPr="00F245AF">
        <w:t xml:space="preserve"> for capex underspends or overspends it incurred during the period.</w:t>
      </w:r>
    </w:p>
    <w:p w:rsidR="003B0D45" w:rsidRPr="00F245AF" w:rsidRDefault="003B0D45" w:rsidP="003B0D45">
      <w:pPr>
        <w:pStyle w:val="AERbodytext"/>
      </w:pPr>
      <w:r w:rsidRPr="00F245AF">
        <w:t>We assess the business' total capex forecast by considering the efficiency of the proposed expenditure. Our assessment of the total forecast capex can be informed by indicators of overall network performance and risk. We utilise a range of tools to inform that consideration. We have developed a new tool to better forecast the expenditure needed to build, upgrade or replace network assets to address changes in demand (augmentation capex, or augex). This complements our existing tool that examines the expenditure needed to replace aging assets (replacement capex, or repex). We also consider capex forecasts associated with connections and other customer driven work, non-network capex (for example</w:t>
      </w:r>
      <w:r w:rsidR="003642C2">
        <w:t>,</w:t>
      </w:r>
      <w:r w:rsidRPr="00F245AF">
        <w:t xml:space="preserve"> IT equipment) and the capitalisation of overhead costs. </w:t>
      </w:r>
    </w:p>
    <w:p w:rsidR="003B0D45" w:rsidRPr="00F245AF" w:rsidRDefault="003B0D45" w:rsidP="003B0D45">
      <w:pPr>
        <w:pStyle w:val="AERbodytext"/>
      </w:pPr>
      <w:r w:rsidRPr="00F245AF">
        <w:t>We will use our capex forecasting techniques to review what the business spent on capex during the period. The capital expenditure incentives guideline sets out our staged process for this ex post review. If a business’ capex exceeds what was forecast, we will examine their spending. If we determine all or some of the overspending was inefficient, the business may not be allowed to add the excess spending to its RAB.</w:t>
      </w:r>
      <w:r w:rsidRPr="00F245AF">
        <w:rPr>
          <w:rStyle w:val="FootnoteReference"/>
        </w:rPr>
        <w:footnoteReference w:id="149"/>
      </w:r>
      <w:r w:rsidRPr="00F245AF">
        <w:t xml:space="preserve"> </w:t>
      </w:r>
    </w:p>
    <w:p w:rsidR="003B0D45" w:rsidRPr="00F245AF" w:rsidRDefault="003B0D45" w:rsidP="003B0D45">
      <w:pPr>
        <w:pStyle w:val="AERbodytext"/>
      </w:pPr>
      <w:r w:rsidRPr="00F245AF">
        <w:t>The CESS rewards or penalties apply automatically to capex underspends or overspends. However, we may adjust the CESS payments to account for:</w:t>
      </w:r>
    </w:p>
    <w:p w:rsidR="003B0D45" w:rsidRPr="00F245AF" w:rsidRDefault="003B0D45" w:rsidP="003B0D45">
      <w:pPr>
        <w:pStyle w:val="AERbulletlistfirststyle"/>
      </w:pPr>
      <w:r w:rsidRPr="00F245AF">
        <w:t>Our ex post review—if the business has overspent and we decide under the ex post review to exclude all or some of the overspend from the RAB we will adjust the CESS payments. Otherwise a business could bear more than 100 per cent of the cost of the excluded capex.</w:t>
      </w:r>
    </w:p>
    <w:p w:rsidR="003B0D45" w:rsidRPr="00F245AF" w:rsidRDefault="003B0D45" w:rsidP="003B0D45">
      <w:pPr>
        <w:pStyle w:val="AERbulletlistfirststyle"/>
      </w:pPr>
      <w:r w:rsidRPr="00F245AF">
        <w:t>Capex deferrals—a business may have decided to spend capex at a later time than it had previously planned. We refer to this as capex deferral, and a business may defer capex from one regulatory period into the next. We will adjust the CESS payments where a material proportion of capex is deferred. This means consumers will share in the benefits where material amounts of capex are deferred from one regulatory control period to the next. This also helps deter businesses from deferring capex between regulatory control periods unless it is efficient to do so. When assessing forecast capex we will also consider deferrals and the rewards or penalties under the CESS.</w:t>
      </w:r>
    </w:p>
    <w:p w:rsidR="003B0D45" w:rsidRPr="00F245AF" w:rsidRDefault="003B0D45" w:rsidP="003B0D45">
      <w:pPr>
        <w:pStyle w:val="HeadingBoldBlue"/>
      </w:pPr>
      <w:r w:rsidRPr="00F245AF">
        <w:t xml:space="preserve">Forecasting and reviewing </w:t>
      </w:r>
      <w:r>
        <w:t>operating expenditure</w:t>
      </w:r>
    </w:p>
    <w:p w:rsidR="0064055F" w:rsidRPr="0064055F" w:rsidRDefault="0064055F" w:rsidP="0064055F">
      <w:pPr>
        <w:pStyle w:val="AERbodytext"/>
      </w:pPr>
      <w:r w:rsidRPr="0064055F">
        <w:t xml:space="preserve">During a determination we assess the business' past opex spending and future opex needs. We: </w:t>
      </w:r>
    </w:p>
    <w:p w:rsidR="0064055F" w:rsidRPr="0064055F" w:rsidRDefault="0064055F" w:rsidP="00F02D30">
      <w:pPr>
        <w:pStyle w:val="AERbulletlistfirststyle"/>
      </w:pPr>
      <w:r w:rsidRPr="0064055F">
        <w:t xml:space="preserve">assess the business’ proposed forecast of the total opex it needs to spend over the next period </w:t>
      </w:r>
    </w:p>
    <w:p w:rsidR="0064055F" w:rsidRPr="0064055F" w:rsidRDefault="0064055F" w:rsidP="00F02D30">
      <w:pPr>
        <w:pStyle w:val="AERbulletlistfirststyle"/>
      </w:pPr>
      <w:r w:rsidRPr="0064055F">
        <w:lastRenderedPageBreak/>
        <w:t>calculate the rewards and penalties (carryover amounts) the business will receive under the EBSS for opex performance during the period.</w:t>
      </w:r>
    </w:p>
    <w:p w:rsidR="0064055F" w:rsidRPr="0064055F" w:rsidRDefault="0064055F" w:rsidP="0064055F">
      <w:pPr>
        <w:pStyle w:val="AERbodytext"/>
      </w:pPr>
      <w:r w:rsidRPr="0064055F">
        <w:t>We forecast opex using the approach outlined in our Expenditure Forecast Assessment Guideline. Under this approach</w:t>
      </w:r>
      <w:r>
        <w:t>,</w:t>
      </w:r>
      <w:r w:rsidRPr="0064055F">
        <w:t xml:space="preserve"> opex is based on an efficient amount of actual expenditure in a single year (known as ‘base opex’), which is multiplied by a forecast rate of change for each year of the forecast period. We then add any step changes for efficient costs that are not capture</w:t>
      </w:r>
      <w:r>
        <w:t>d</w:t>
      </w:r>
      <w:r w:rsidRPr="0064055F">
        <w:t xml:space="preserve"> by the base opex or the rate of change.</w:t>
      </w:r>
    </w:p>
    <w:p w:rsidR="0064055F" w:rsidRPr="0064055F" w:rsidRDefault="0064055F" w:rsidP="0064055F">
      <w:pPr>
        <w:pStyle w:val="AERbodytext"/>
      </w:pPr>
      <w:r w:rsidRPr="0064055F">
        <w:t>We prefer to asses base opex using the service providers revealed expenditure in a single year. If revealed expenditure in the base year reasonably reflects the opex criteria, we will set base opex equal to that revealed expenditure. We use a combination of techniques to assess whether base opex is efficient. If we find base opex to be materially inefficient, we either adjust the base year or substitute an appropriate base year. When determining whether to adjust or substitute base year expenditure, we have regard to whether rewards or penalties accrued under the EBSS will fairly share efficiency gains or losses between the service provider and its customers.</w:t>
      </w:r>
    </w:p>
    <w:p w:rsidR="0064055F" w:rsidRPr="0064055F" w:rsidRDefault="0064055F" w:rsidP="0064055F">
      <w:pPr>
        <w:pStyle w:val="AERbodytext"/>
      </w:pPr>
      <w:r w:rsidRPr="0064055F">
        <w:t>We then apply an annual rate of change to base opex to forecast opex for each year of the forecast regulatory control period. The rate of change captures changes in forecast:</w:t>
      </w:r>
    </w:p>
    <w:p w:rsidR="0064055F" w:rsidRPr="0064055F" w:rsidRDefault="0064055F" w:rsidP="00F02D30">
      <w:pPr>
        <w:pStyle w:val="AERbulletlistfirststyle"/>
      </w:pPr>
      <w:r w:rsidRPr="0064055F">
        <w:t>output</w:t>
      </w:r>
    </w:p>
    <w:p w:rsidR="0064055F" w:rsidRPr="0064055F" w:rsidRDefault="0064055F" w:rsidP="00F02D30">
      <w:pPr>
        <w:pStyle w:val="AERbulletlistfirststyle"/>
      </w:pPr>
      <w:r w:rsidRPr="0064055F">
        <w:t>prices</w:t>
      </w:r>
    </w:p>
    <w:p w:rsidR="0064055F" w:rsidRPr="0064055F" w:rsidRDefault="0064055F" w:rsidP="00F02D30">
      <w:pPr>
        <w:pStyle w:val="AERbulletlistfirststyle"/>
      </w:pPr>
      <w:r w:rsidRPr="0064055F">
        <w:t>productivity.</w:t>
      </w:r>
    </w:p>
    <w:p w:rsidR="0064055F" w:rsidRDefault="0064055F" w:rsidP="00F02D30">
      <w:pPr>
        <w:pStyle w:val="AERbodytextleftalign"/>
      </w:pPr>
      <w:r w:rsidRPr="0064055F">
        <w:t xml:space="preserve">We then add or subtract step changes for any other expenditure not captured in base opex or the rate of change that is required for forecast opex to meet the opex criteria. Step changes should not double count cost included in other elements of the opex forecast: If it is efficient to substitute capex with opex, a step change may be included for these costs (capex/opex trade-offs). </w:t>
      </w:r>
    </w:p>
    <w:p w:rsidR="003B0D45" w:rsidRPr="00F245AF" w:rsidRDefault="003B0D45" w:rsidP="003B0D45">
      <w:pPr>
        <w:pStyle w:val="HeadingBoldBlue"/>
      </w:pPr>
      <w:r w:rsidRPr="00F245AF">
        <w:t>Determining the allowed rate of return</w:t>
      </w:r>
    </w:p>
    <w:p w:rsidR="003B0D45" w:rsidRPr="00F245AF" w:rsidRDefault="003B0D45" w:rsidP="003B0D45">
      <w:pPr>
        <w:pStyle w:val="AERbodytext"/>
      </w:pPr>
      <w:r w:rsidRPr="00F245AF">
        <w:t xml:space="preserve">The allowed rate of return is the forecast of the cost of funds a network business requires to attract investment in the network. To estimate this cost, we consider the cost of the two sources of funds for investments—equity and debt. The return on equity is the return shareholders of the business will require for them to continue to invest. The return on debt is the interest rate the network business pays when it borrows money to invest. We consider that efficient network businesses would fund their investments by borrowing 60 per cent of the required funds, while raising the remaining 40 per cent from equity. </w:t>
      </w:r>
    </w:p>
    <w:p w:rsidR="003B0D45" w:rsidRPr="00F245AF" w:rsidRDefault="003B0D45" w:rsidP="003B0D45">
      <w:pPr>
        <w:pStyle w:val="AERbodytext"/>
      </w:pPr>
      <w:r w:rsidRPr="00F245AF">
        <w:t xml:space="preserve">A good estimate of the rate of return is necessary to promote efficient prices in the long term interests of consumers. If the rate of return is set too low, the network business may not be able to attract sufficient funds to be able to make the required investments in the network and reliability may decline. On the flip side, if the rate of return of return is set too high, the network business may seek to spend too much and consumers will pay inefficiently high prices. </w:t>
      </w:r>
    </w:p>
    <w:p w:rsidR="003B0D45" w:rsidRPr="00F245AF" w:rsidRDefault="003B0D45" w:rsidP="003B0D45">
      <w:pPr>
        <w:pStyle w:val="AERbodytext"/>
      </w:pPr>
      <w:r w:rsidRPr="00F245AF">
        <w:t xml:space="preserve">The return on investment can make up approximately 50 per cent of revenue needs for network businesses. Our aim is to set a rate of return that delivers sufficient but not excessive returns to support investment in safe and reliable energy networks. The value of the business' capex investments in its RAB is multiplied by the allowed rate of return to determine the total return on </w:t>
      </w:r>
      <w:r w:rsidRPr="00F245AF">
        <w:lastRenderedPageBreak/>
        <w:t>capital the network business can charge energy consumers. So we also aim to set a rate of return that enables business to make efficient choices between capex and opex.</w:t>
      </w:r>
    </w:p>
    <w:p w:rsidR="003B0D45" w:rsidRPr="00F245AF" w:rsidRDefault="003B0D45" w:rsidP="003B0D45">
      <w:pPr>
        <w:pStyle w:val="AERbodytext"/>
      </w:pPr>
      <w:r w:rsidRPr="00F245AF">
        <w:t>The estimation method set out in our rate o</w:t>
      </w:r>
      <w:r w:rsidR="00A6284B">
        <w:t>f return guideline is shown in f</w:t>
      </w:r>
      <w:r w:rsidRPr="00F245AF">
        <w:t xml:space="preserve">igure </w:t>
      </w:r>
      <w:r w:rsidR="00A6284B">
        <w:t>C.</w:t>
      </w:r>
      <w:r w:rsidR="00B40D98">
        <w:t>1</w:t>
      </w:r>
      <w:r w:rsidRPr="00F245AF">
        <w:t>.</w:t>
      </w:r>
    </w:p>
    <w:p w:rsidR="003B0D45" w:rsidRPr="00F245AF" w:rsidRDefault="003B0D45" w:rsidP="003B0D45">
      <w:pPr>
        <w:pStyle w:val="Caption"/>
      </w:pPr>
      <w:r w:rsidRPr="00F245AF">
        <w:t xml:space="preserve">Figure </w:t>
      </w:r>
      <w:r w:rsidR="00B40D98" w:rsidRPr="00A6284B">
        <w:t>C-1</w:t>
      </w:r>
      <w:r w:rsidRPr="00F245AF">
        <w:tab/>
        <w:t>Better Regulation rate of return guideline estimation method overview</w:t>
      </w:r>
    </w:p>
    <w:p w:rsidR="003B0D45" w:rsidRPr="00F245AF" w:rsidRDefault="003B0D45" w:rsidP="003B0D45">
      <w:pPr>
        <w:pStyle w:val="AERbodytext"/>
      </w:pPr>
      <w:r w:rsidRPr="003B0D45">
        <w:rPr>
          <w:noProof/>
          <w:lang w:eastAsia="en-AU"/>
        </w:rPr>
        <w:drawing>
          <wp:inline distT="0" distB="0" distL="0" distR="0" wp14:anchorId="12702720" wp14:editId="7399B856">
            <wp:extent cx="5731510" cy="257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572994"/>
                    </a:xfrm>
                    <a:prstGeom prst="rect">
                      <a:avLst/>
                    </a:prstGeom>
                    <a:noFill/>
                    <a:ln>
                      <a:noFill/>
                    </a:ln>
                  </pic:spPr>
                </pic:pic>
              </a:graphicData>
            </a:graphic>
          </wp:inline>
        </w:drawing>
      </w:r>
    </w:p>
    <w:p w:rsidR="003B0D45" w:rsidRPr="00F245AF" w:rsidRDefault="003B0D45" w:rsidP="003B0D45">
      <w:pPr>
        <w:pStyle w:val="HeadingBoldBlue"/>
      </w:pPr>
      <w:r w:rsidRPr="00F245AF">
        <w:t>The benchmark efficient business</w:t>
      </w:r>
    </w:p>
    <w:p w:rsidR="003B0D45" w:rsidRPr="00F245AF" w:rsidRDefault="003B0D45" w:rsidP="003B0D45">
      <w:r w:rsidRPr="00F245AF">
        <w:t>We estimate the returns on equity and debt for a benchmark efficient business. This approach supports the rate of return objective in the rules—for the overall rate of return to correspond to the efficient financing costs of a benchmark efficient business. By setting a rate of return based on a benchmark, rather than the actual costs of individual businesses, network businesses have incentives to finance their business as efficiently as possible.</w:t>
      </w:r>
    </w:p>
    <w:p w:rsidR="003B0D45" w:rsidRPr="00F245AF" w:rsidRDefault="003B0D45" w:rsidP="003B0D45">
      <w:r w:rsidRPr="00F245AF">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3B0D45" w:rsidRPr="00F245AF" w:rsidRDefault="003B0D45" w:rsidP="003B0D45">
      <w:pPr>
        <w:pStyle w:val="HeadingBoldBlue"/>
      </w:pPr>
      <w:r w:rsidRPr="00F245AF">
        <w:t>Return on equity</w:t>
      </w:r>
    </w:p>
    <w:p w:rsidR="003B0D45" w:rsidRPr="00F245AF" w:rsidRDefault="003B0D45" w:rsidP="003B0D45">
      <w:pPr>
        <w:pStyle w:val="AERbodytext"/>
      </w:pPr>
      <w:r w:rsidRPr="00F245AF">
        <w:t xml:space="preserve">Our approach to the return on equity balances providing predictability for investors and consumers while incorporating the latest market data. Recognising there is not one perfect model to estimate the return on equity, our approach draws on a variety of models and information. </w:t>
      </w:r>
    </w:p>
    <w:p w:rsidR="003B0D45" w:rsidRPr="00F245AF" w:rsidRDefault="003B0D45" w:rsidP="003B0D45">
      <w:pPr>
        <w:pStyle w:val="AERbodytext"/>
      </w:pPr>
      <w:r w:rsidRPr="00F245AF">
        <w:t>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a range of estimates at the overall return on equity level.</w:t>
      </w:r>
    </w:p>
    <w:p w:rsidR="003B0D45" w:rsidRPr="00F245AF" w:rsidRDefault="003B0D45" w:rsidP="003B0D45">
      <w:pPr>
        <w:pStyle w:val="HeadingBoldBlue"/>
      </w:pPr>
      <w:r w:rsidRPr="00F245AF">
        <w:t>Return on debt</w:t>
      </w:r>
    </w:p>
    <w:p w:rsidR="003B0D45" w:rsidRPr="00F245AF" w:rsidRDefault="003B0D45" w:rsidP="003B0D45">
      <w:pPr>
        <w:pStyle w:val="AERbodytext"/>
      </w:pPr>
      <w:r w:rsidRPr="00F245AF">
        <w:t xml:space="preserve">Our approach to the return on debt closely aligns with the efficient debt financing practices of regulated businesses. Our approach is to consider the average interest rate that a network business would face if it raised debt annually in ten equal parcels. This is referred to as the trailing average portfolio approach. This approach assumes that every year, one-tenth of the debt of a network </w:t>
      </w:r>
      <w:r w:rsidRPr="00F245AF">
        <w:lastRenderedPageBreak/>
        <w:t xml:space="preserve">business is re-financed. As the return on debt is an average of the interest rates over a period of ten years, this approach leads to a relatively stable estimate over time. </w:t>
      </w:r>
    </w:p>
    <w:p w:rsidR="00E14922" w:rsidRDefault="00E14922" w:rsidP="00E14922">
      <w:pPr>
        <w:pStyle w:val="HeadingBoldBlue"/>
      </w:pPr>
      <w:r>
        <w:t>Shared asset guideline</w:t>
      </w:r>
    </w:p>
    <w:p w:rsidR="00E14922" w:rsidRDefault="00E14922" w:rsidP="00E14922">
      <w:r>
        <w:t xml:space="preserve">The shared asset guideline sets out our approach to sharing the benefits with consumers when a network business is </w:t>
      </w:r>
      <w:r w:rsidRPr="00E528FC">
        <w:t>paid for providing unregulated services</w:t>
      </w:r>
      <w:r>
        <w:t>.</w:t>
      </w:r>
      <w:r w:rsidRPr="00E528FC">
        <w:t xml:space="preserve"> </w:t>
      </w:r>
      <w:r>
        <w:t xml:space="preserve">We will reduce the amount that business can recover from electricity consumers to reflect the unregulated revenues. </w:t>
      </w:r>
    </w:p>
    <w:p w:rsidR="00E14922" w:rsidRDefault="00E14922" w:rsidP="00E14922">
      <w:pPr>
        <w:pStyle w:val="AERbodytext"/>
      </w:pPr>
      <w:r>
        <w:t>Network businesses have the opportunity to propose alternative approaches. However, we will be unlikely to accept alternatives if they leave consumers worse off than under our approach in the guideline.</w:t>
      </w:r>
    </w:p>
    <w:p w:rsidR="00E14922" w:rsidRPr="006A4619" w:rsidRDefault="00E14922" w:rsidP="00E14922">
      <w:r>
        <w:t xml:space="preserve">The </w:t>
      </w:r>
      <w:r w:rsidRPr="00E15218">
        <w:t>guideline</w:t>
      </w:r>
      <w:r>
        <w:t xml:space="preserve"> </w:t>
      </w:r>
      <w:r w:rsidRPr="00E15218">
        <w:t>sets out how we reduce c</w:t>
      </w:r>
      <w:r>
        <w:t>onsumer costs for shared assets:</w:t>
      </w:r>
    </w:p>
    <w:p w:rsidR="00E14922" w:rsidRPr="003603CE" w:rsidRDefault="00E14922" w:rsidP="00E14922">
      <w:pPr>
        <w:pStyle w:val="AERbulletlistfirststyle"/>
      </w:pPr>
      <w:r w:rsidRPr="003603CE">
        <w:t>Materiality: we will take action when the unregulated revenues from shared assets are more than 1 per cent of a service provider’s total annual revenue</w:t>
      </w:r>
    </w:p>
    <w:p w:rsidR="00E14922" w:rsidRPr="003603CE" w:rsidRDefault="00E14922" w:rsidP="00E14922">
      <w:pPr>
        <w:pStyle w:val="AERbulletlistfirststyle"/>
      </w:pPr>
      <w:r w:rsidRPr="003603CE">
        <w:t>Method: we will reduce a service provider's regulated revenues by around 10% of the value of unregulated revenues earned from shared assets</w:t>
      </w:r>
    </w:p>
    <w:p w:rsidR="00E14922" w:rsidRPr="003603CE" w:rsidRDefault="00E14922" w:rsidP="00E14922">
      <w:pPr>
        <w:pStyle w:val="AERbulletlistfirststyle"/>
      </w:pPr>
      <w:r w:rsidRPr="003603CE">
        <w:t>Information reporting: what we’ll require from service providers to determine shared asset cost reductions.</w:t>
      </w:r>
    </w:p>
    <w:p w:rsidR="00E14922" w:rsidRDefault="00E14922" w:rsidP="00E14922">
      <w:r>
        <w:t xml:space="preserve">Our shared asset mechanism forecasts the annual unregulated revenue that a network business is expected to earn from shared assets. </w:t>
      </w:r>
    </w:p>
    <w:p w:rsidR="00E14922" w:rsidRDefault="00E14922" w:rsidP="00E14922">
      <w:r>
        <w:t>This forecast is then compared to the revenue that is required to provide regulated services. If the total unregulated revenue is expected to be greater than 1 per cent of the regulated revenue, we</w:t>
      </w:r>
      <w:r w:rsidR="003642C2">
        <w:t xml:space="preserve"> will</w:t>
      </w:r>
      <w:r>
        <w:t xml:space="preserve"> apply a cost reduction.  </w:t>
      </w:r>
    </w:p>
    <w:p w:rsidR="00E14922" w:rsidRDefault="00E14922" w:rsidP="00E14922">
      <w:r>
        <w:t>This clear and transparent materiality threshold balances administrative effort with potential consumer benefits.</w:t>
      </w:r>
    </w:p>
    <w:p w:rsidR="00E14922" w:rsidRDefault="00E14922" w:rsidP="00E14922">
      <w:r>
        <w:t xml:space="preserve">The cost reduction </w:t>
      </w:r>
      <w:r w:rsidRPr="00635D18">
        <w:t xml:space="preserve">will reduce a </w:t>
      </w:r>
      <w:r>
        <w:t>network business’ regulated</w:t>
      </w:r>
      <w:r w:rsidRPr="00635D18">
        <w:t xml:space="preserve"> revenue by 10 per cent of the value </w:t>
      </w:r>
      <w:r>
        <w:t xml:space="preserve">of its </w:t>
      </w:r>
      <w:r w:rsidRPr="00635D18">
        <w:t>expected total unregulated revenues from shared assets in that year.</w:t>
      </w:r>
      <w:r>
        <w:t xml:space="preserve"> </w:t>
      </w:r>
      <w:r w:rsidRPr="003362D0">
        <w:t xml:space="preserve">This reduces the amount to be recovered from consumers and consequently electricity prices.  </w:t>
      </w:r>
    </w:p>
    <w:p w:rsidR="00E14922" w:rsidRDefault="00E14922" w:rsidP="00E14922">
      <w:pPr>
        <w:pStyle w:val="AERbodytext"/>
      </w:pPr>
      <w:r w:rsidRPr="003603CE">
        <w:t>The potential value of the cost reduction is capped by the electricity rules, so that the reduction cannot exceed the regulated revenue from those assets</w:t>
      </w:r>
      <w:r>
        <w:t>.</w:t>
      </w:r>
    </w:p>
    <w:p w:rsidR="00E14922" w:rsidRDefault="00E14922" w:rsidP="00E14922">
      <w:pPr>
        <w:pStyle w:val="HeadingBoldBlue"/>
      </w:pPr>
      <w:r>
        <w:t>Consumer engagement guideline for network service providers</w:t>
      </w:r>
    </w:p>
    <w:p w:rsidR="00E14922" w:rsidRDefault="00E14922" w:rsidP="00E14922">
      <w:pPr>
        <w:pStyle w:val="AERbodytext"/>
      </w:pPr>
      <w:r w:rsidRPr="003603CE">
        <w:t>The consumer engagement guideline for network service providers sets out a framework for electricity and gas service providers to better engage with consumers. The guideline aims to help these businesses develop strategies to engage systematically, consistently and strategically with consumers on issues that are significant to both parties</w:t>
      </w:r>
      <w:r>
        <w:t>.</w:t>
      </w:r>
    </w:p>
    <w:p w:rsidR="00E14922" w:rsidRPr="003603CE" w:rsidRDefault="00E14922" w:rsidP="00E14922">
      <w:pPr>
        <w:pStyle w:val="AERbodytext"/>
      </w:pPr>
      <w:r w:rsidRPr="003603CE">
        <w:t xml:space="preserve">We expect each service provider to develop consumer engagement approaches and strategies that address the best practice principles and the four components of the guideline that are explained </w:t>
      </w:r>
      <w:r w:rsidR="003642C2">
        <w:t>below</w:t>
      </w:r>
      <w:r w:rsidRPr="003603CE">
        <w:t>.</w:t>
      </w:r>
    </w:p>
    <w:p w:rsidR="00E14922" w:rsidRPr="003603CE" w:rsidRDefault="00E14922" w:rsidP="00E14922">
      <w:pPr>
        <w:pStyle w:val="AERbodytext"/>
      </w:pPr>
      <w:r w:rsidRPr="003603CE">
        <w:lastRenderedPageBreak/>
        <w:t>Implementing the guideline will help service providers demonstrate how their spending proposals contribute to the objectives contained in the national electricity and gas laws. That is, that their spending proposals promote efficient investment in, and efficient operation and use of, energy services for the long term interests of energy consumers.</w:t>
      </w:r>
    </w:p>
    <w:p w:rsidR="00E14922" w:rsidRPr="003603CE" w:rsidRDefault="00E14922" w:rsidP="00E14922">
      <w:pPr>
        <w:pStyle w:val="AERbodytext"/>
      </w:pPr>
      <w:r w:rsidRPr="003603CE">
        <w:t>Service providers must describe how they have engaged with consumers, and how they have sought to address any relevant concerns identified as a result of that engagement. Service providers present this information in an overview report to their regulatory or revenue proposals.</w:t>
      </w:r>
    </w:p>
    <w:p w:rsidR="00E14922" w:rsidRDefault="00E14922" w:rsidP="00E14922">
      <w:r>
        <w:t>Underpinning the guideline are f</w:t>
      </w:r>
      <w:r w:rsidRPr="00C53405">
        <w:t xml:space="preserve">our best practice principles. They overarch all aspects of consumer engagement, so service providers should use </w:t>
      </w:r>
      <w:r>
        <w:t xml:space="preserve">these </w:t>
      </w:r>
      <w:r w:rsidRPr="00C53405">
        <w:t>principles in undertaking each component of the guideline:</w:t>
      </w:r>
    </w:p>
    <w:p w:rsidR="00E14922" w:rsidRPr="003603CE" w:rsidRDefault="00E14922" w:rsidP="00E14922">
      <w:pPr>
        <w:pStyle w:val="AERbulletlistfirststyle"/>
      </w:pPr>
      <w:r w:rsidRPr="003603CE">
        <w:t xml:space="preserve">Clear, accurate and timely communication—we expect service providers to provide information to consumers that is clear, accurate, relevant and timely, recognising the different communication needs and wants of consumers. </w:t>
      </w:r>
    </w:p>
    <w:p w:rsidR="00E14922" w:rsidRPr="003603CE" w:rsidRDefault="00E14922" w:rsidP="00E14922">
      <w:pPr>
        <w:pStyle w:val="AERbulletlistfirststyle"/>
      </w:pPr>
      <w:r w:rsidRPr="003603CE">
        <w:t xml:space="preserve">Accessible and inclusive—we expect service providers to recognise, understand and involve consumers early and throughout the business activity or expenditure process. </w:t>
      </w:r>
    </w:p>
    <w:p w:rsidR="00E14922" w:rsidRPr="003603CE" w:rsidRDefault="00E14922" w:rsidP="00E14922">
      <w:pPr>
        <w:pStyle w:val="AERbulletlistfirststyle"/>
      </w:pPr>
      <w:r w:rsidRPr="003603CE">
        <w:t xml:space="preserve">Transparent—we expect service providers to clearly identify and explain the role of consumers in the engagement process, and to consult with consumers on information and feedback processes. </w:t>
      </w:r>
    </w:p>
    <w:p w:rsidR="00E14922" w:rsidRPr="003603CE" w:rsidRDefault="00E14922" w:rsidP="00E14922">
      <w:pPr>
        <w:pStyle w:val="AERbulletlistfirststyle"/>
      </w:pPr>
      <w:r w:rsidRPr="003603CE">
        <w:t xml:space="preserve">Measurable—we expect service providers to measure the success, or otherwise, of their engagement activities. </w:t>
      </w:r>
    </w:p>
    <w:p w:rsidR="00E14922" w:rsidRDefault="00E14922" w:rsidP="00E14922">
      <w:r>
        <w:t>T</w:t>
      </w:r>
      <w:r w:rsidRPr="00BA46DC">
        <w:t xml:space="preserve">he guideline </w:t>
      </w:r>
      <w:r>
        <w:t xml:space="preserve">is structured </w:t>
      </w:r>
      <w:r w:rsidRPr="00BA46DC">
        <w:t>around four components</w:t>
      </w:r>
      <w:r>
        <w:t>. T</w:t>
      </w:r>
      <w:r w:rsidRPr="00BA46DC">
        <w:t xml:space="preserve">he components </w:t>
      </w:r>
      <w:r>
        <w:t xml:space="preserve">set out a process for </w:t>
      </w:r>
      <w:r w:rsidRPr="00BA46DC">
        <w:t xml:space="preserve">service providers </w:t>
      </w:r>
      <w:r>
        <w:t xml:space="preserve">to </w:t>
      </w:r>
      <w:r w:rsidRPr="00BA46DC">
        <w:t>develop</w:t>
      </w:r>
      <w:r>
        <w:t xml:space="preserve"> and implement</w:t>
      </w:r>
      <w:r w:rsidRPr="00BA46DC">
        <w:t xml:space="preserve"> new or improved consumer enga</w:t>
      </w:r>
      <w:r>
        <w:t>gement activities to meet the best practice principles:</w:t>
      </w:r>
    </w:p>
    <w:p w:rsidR="00E14922" w:rsidRPr="003603CE" w:rsidRDefault="00E14922" w:rsidP="00E14922">
      <w:pPr>
        <w:pStyle w:val="AERbulletlistfirststyle"/>
      </w:pPr>
      <w:r w:rsidRPr="003603CE">
        <w:t>Priorities—we expect service providers to identify consumer cohorts, and the current views of those cohorts and their service provider; outline their engagement objectives; and discuss the processes to best achieve those objectives.</w:t>
      </w:r>
    </w:p>
    <w:p w:rsidR="00E14922" w:rsidRPr="003603CE" w:rsidRDefault="00E14922" w:rsidP="00E14922">
      <w:pPr>
        <w:pStyle w:val="AERbulletlistfirststyle"/>
      </w:pPr>
      <w:r w:rsidRPr="003603CE">
        <w:t xml:space="preserve">Delivery—we expect service providers to address the identified priorities via robust and thorough consumer engagement. </w:t>
      </w:r>
    </w:p>
    <w:p w:rsidR="00E14922" w:rsidRPr="003603CE" w:rsidRDefault="00E14922" w:rsidP="00E14922">
      <w:pPr>
        <w:pStyle w:val="AERbulletlistfirststyle"/>
      </w:pPr>
      <w:r w:rsidRPr="003603CE">
        <w:t>Results—we expect service providers to articulate the outcomes of their consumer engagement processes and how they measure the success of those processes reporting back to us, their business and consumers</w:t>
      </w:r>
    </w:p>
    <w:p w:rsidR="00E14922" w:rsidRPr="003603CE" w:rsidRDefault="00E14922" w:rsidP="00E14922">
      <w:pPr>
        <w:pStyle w:val="AERbulletlistfirststyle"/>
      </w:pPr>
      <w:r w:rsidRPr="003603CE">
        <w:t xml:space="preserve">Evaluation and review—we expect service providers to periodically evaluate and review the effectiveness of their consumer engagement processes. </w:t>
      </w:r>
    </w:p>
    <w:p w:rsidR="003B0D45" w:rsidRDefault="003B0D45" w:rsidP="0039524C">
      <w:pPr>
        <w:pStyle w:val="UnnumberedHeading"/>
        <w:numPr>
          <w:ilvl w:val="0"/>
          <w:numId w:val="9"/>
        </w:numPr>
      </w:pPr>
      <w:bookmarkStart w:id="111" w:name="_Toc404437651"/>
      <w:r>
        <w:lastRenderedPageBreak/>
        <w:t xml:space="preserve">Appendix </w:t>
      </w:r>
      <w:r w:rsidR="0048366A">
        <w:t>D</w:t>
      </w:r>
      <w:r>
        <w:t xml:space="preserve"> </w:t>
      </w:r>
      <w:r w:rsidRPr="003B0D45">
        <w:t>–</w:t>
      </w:r>
      <w:r>
        <w:t xml:space="preserve"> Material issues and opportunity to be heard</w:t>
      </w:r>
      <w:bookmarkEnd w:id="111"/>
    </w:p>
    <w:p w:rsidR="003B0D45" w:rsidRPr="00A55D8F" w:rsidRDefault="003B0D45" w:rsidP="003B0D45">
      <w:r w:rsidRPr="00A55D8F">
        <w:t xml:space="preserve">In considering </w:t>
      </w:r>
      <w:r w:rsidR="00D72CF2">
        <w:t>TransGrid</w:t>
      </w:r>
      <w:r w:rsidRPr="00A55D8F">
        <w:t xml:space="preserve">'s proposal and in reaching our draft decision, we undertook a range of processes to inform interested parties of material issues under consideration and provided reasonable opportunities to be heard. </w:t>
      </w:r>
    </w:p>
    <w:p w:rsidR="003B0D45" w:rsidRPr="00A55D8F" w:rsidRDefault="003B0D45" w:rsidP="003B0D45">
      <w:r w:rsidRPr="00A55D8F">
        <w:t xml:space="preserve">The newly formed Consumer Challenge Panel (CCP) played a significant role in our processes of assessing the proposal before us. The </w:t>
      </w:r>
      <w:r w:rsidR="00DC67D7">
        <w:t>CCP</w:t>
      </w:r>
      <w:r w:rsidR="00DC67D7" w:rsidRPr="00A55D8F">
        <w:t xml:space="preserve"> </w:t>
      </w:r>
      <w:r w:rsidRPr="00A55D8F">
        <w:t xml:space="preserve">advised us on issues that are important to consumers and provided consumer perspectives, particularly those of residential and small business consumers. Members of the </w:t>
      </w:r>
      <w:r w:rsidR="00DC67D7">
        <w:t>CCP</w:t>
      </w:r>
      <w:r w:rsidR="00DC67D7" w:rsidRPr="00A55D8F">
        <w:t xml:space="preserve"> </w:t>
      </w:r>
      <w:r w:rsidRPr="00A55D8F">
        <w:t>bring with them experience in regulation, networks, economics, finance and consumer engagement.</w:t>
      </w:r>
      <w:r w:rsidRPr="00A55D8F">
        <w:rPr>
          <w:rStyle w:val="FootnoteReference"/>
        </w:rPr>
        <w:footnoteReference w:id="150"/>
      </w:r>
    </w:p>
    <w:p w:rsidR="003B0D45" w:rsidRPr="00A55D8F" w:rsidRDefault="003B0D45" w:rsidP="003B0D45">
      <w:r w:rsidRPr="00A55D8F">
        <w:t>The purpose of the CCP is to assist us to make better regulatory determinations by providing input on issues of importance to consumers. Regulatory determinations are technical and complex processes which can make it difficult for ordinary consumers to participate. The expert members of the CCP bring consumer perspectives to us to better balance the range of views we consider as part of our decisions.</w:t>
      </w:r>
    </w:p>
    <w:p w:rsidR="003B0D45" w:rsidRPr="00A55D8F" w:rsidRDefault="003B0D45" w:rsidP="003B0D45">
      <w:r w:rsidRPr="00A55D8F">
        <w:t>The role of CCP members includes:</w:t>
      </w:r>
    </w:p>
    <w:p w:rsidR="003B0D45" w:rsidRPr="00A55D8F" w:rsidRDefault="003B0D45" w:rsidP="003B0D45">
      <w:pPr>
        <w:pStyle w:val="AERbulletlistfirststyle"/>
      </w:pPr>
      <w:r w:rsidRPr="00A55D8F">
        <w:t xml:space="preserve">advising us on whether a </w:t>
      </w:r>
      <w:r w:rsidR="00547A54">
        <w:t>TNSP</w:t>
      </w:r>
      <w:r w:rsidR="00547A54" w:rsidRPr="00A55D8F">
        <w:t xml:space="preserve">'s </w:t>
      </w:r>
      <w:r w:rsidRPr="00A55D8F">
        <w:t>proposal is justified in terms of the services to be delivered to customers; whether those services are acceptable to, and valued by, customers; and whether the proposal is in the long term interests of consumers</w:t>
      </w:r>
    </w:p>
    <w:p w:rsidR="003B0D45" w:rsidRPr="00A55D8F" w:rsidRDefault="003B0D45" w:rsidP="003B0D45">
      <w:pPr>
        <w:pStyle w:val="AERbulletlistfirststyle"/>
      </w:pPr>
      <w:r w:rsidRPr="00A55D8F">
        <w:t xml:space="preserve">advising us on the effectiveness of </w:t>
      </w:r>
      <w:r w:rsidR="003642C2">
        <w:t xml:space="preserve">a </w:t>
      </w:r>
      <w:r w:rsidR="00547A54">
        <w:t>TNSP</w:t>
      </w:r>
      <w:r w:rsidR="00547A54" w:rsidRPr="00A55D8F">
        <w:t xml:space="preserve">'s </w:t>
      </w:r>
      <w:r w:rsidRPr="00A55D8F">
        <w:t>engagement with its customers and how this engagement has informed, and been reflected in, the development of its proposal.</w:t>
      </w:r>
    </w:p>
    <w:p w:rsidR="003B0D45" w:rsidRPr="00A55D8F" w:rsidRDefault="003B0D45" w:rsidP="003B0D45">
      <w:r w:rsidRPr="00A55D8F">
        <w:t xml:space="preserve">The CCP provided advice on </w:t>
      </w:r>
      <w:r w:rsidR="00D72CF2">
        <w:t>TransG</w:t>
      </w:r>
      <w:r w:rsidRPr="00A55D8F">
        <w:t>rid's regulatory proposal which was published on our website.</w:t>
      </w:r>
      <w:r w:rsidRPr="00A55D8F">
        <w:rPr>
          <w:rStyle w:val="AERsuperscript"/>
        </w:rPr>
        <w:footnoteReference w:id="151"/>
      </w:r>
      <w:r w:rsidRPr="00A55D8F">
        <w:t xml:space="preserve"> We address the detail of the CCP's submission in conduct</w:t>
      </w:r>
      <w:r w:rsidR="003642C2">
        <w:t>ing</w:t>
      </w:r>
      <w:r w:rsidRPr="00A55D8F">
        <w:t xml:space="preserve"> our detailed analysis (see attachments). </w:t>
      </w:r>
    </w:p>
    <w:p w:rsidR="003B0D45" w:rsidRPr="00A55D8F" w:rsidRDefault="003B0D45" w:rsidP="003B0D45">
      <w:r w:rsidRPr="00A55D8F">
        <w:t xml:space="preserve">In short, the CCP does not support </w:t>
      </w:r>
      <w:r w:rsidR="00D72CF2">
        <w:t>TransG</w:t>
      </w:r>
      <w:r w:rsidRPr="00A55D8F">
        <w:t xml:space="preserve">rid's regulatory proposal as being in the long term interests of consumers. </w:t>
      </w:r>
    </w:p>
    <w:p w:rsidR="003B0D45" w:rsidRPr="00A55D8F" w:rsidRDefault="003B0D45" w:rsidP="00CF23CB">
      <w:r w:rsidRPr="00A55D8F">
        <w:t xml:space="preserve">In response to </w:t>
      </w:r>
      <w:r w:rsidR="00652BC8">
        <w:t>TransGrid's</w:t>
      </w:r>
      <w:r w:rsidRPr="00A55D8F">
        <w:t xml:space="preserve"> regulatory proposal, we </w:t>
      </w:r>
      <w:r w:rsidR="008841F1">
        <w:t xml:space="preserve">also </w:t>
      </w:r>
      <w:r w:rsidRPr="00A55D8F">
        <w:t xml:space="preserve">received </w:t>
      </w:r>
      <w:r w:rsidR="000A2B6F">
        <w:t>eight</w:t>
      </w:r>
      <w:r w:rsidRPr="00A55D8F">
        <w:t xml:space="preserve"> submissions.</w:t>
      </w:r>
      <w:r w:rsidRPr="00A55D8F">
        <w:rPr>
          <w:rStyle w:val="FootnoteReference"/>
        </w:rPr>
        <w:footnoteReference w:id="152"/>
      </w:r>
      <w:r w:rsidRPr="00A55D8F">
        <w:t xml:space="preserve"> </w:t>
      </w:r>
      <w:r w:rsidRPr="00CF23CB">
        <w:rPr>
          <w:rStyle w:val="AERbodytextChar"/>
          <w:rFonts w:eastAsia="Calibri"/>
        </w:rPr>
        <w:t xml:space="preserve">Appendix </w:t>
      </w:r>
      <w:r w:rsidR="00FC2C3F" w:rsidRPr="00CF23CB">
        <w:rPr>
          <w:rStyle w:val="AERbodytextChar"/>
          <w:rFonts w:eastAsia="Calibri"/>
        </w:rPr>
        <w:t>E</w:t>
      </w:r>
      <w:r w:rsidR="00FC2C3F" w:rsidRPr="00A55D8F">
        <w:t xml:space="preserve"> </w:t>
      </w:r>
      <w:r w:rsidRPr="00A55D8F">
        <w:t xml:space="preserve">lists all submissions received. We regularly engaged with </w:t>
      </w:r>
      <w:r w:rsidR="00652BC8">
        <w:t>TransG</w:t>
      </w:r>
      <w:r w:rsidRPr="00A55D8F">
        <w:t>rid both before and during the review</w:t>
      </w:r>
      <w:r w:rsidR="00652BC8">
        <w:t>, to</w:t>
      </w:r>
      <w:r w:rsidRPr="00A55D8F">
        <w:t xml:space="preserve"> seek information and clarification on issues relevant to the 2014–1</w:t>
      </w:r>
      <w:r w:rsidR="00652BC8">
        <w:t>8</w:t>
      </w:r>
      <w:r w:rsidRPr="00A55D8F">
        <w:t xml:space="preserve"> period. </w:t>
      </w:r>
    </w:p>
    <w:p w:rsidR="003B0D45" w:rsidRPr="00A55D8F" w:rsidRDefault="003B0D45" w:rsidP="003B0D45">
      <w:pPr>
        <w:pStyle w:val="HeadingBoldBlue"/>
      </w:pPr>
      <w:r w:rsidRPr="00A55D8F">
        <w:t>Consultants</w:t>
      </w:r>
    </w:p>
    <w:p w:rsidR="003B0D45" w:rsidRPr="00A55D8F" w:rsidRDefault="003B0D45" w:rsidP="003B0D45">
      <w:r w:rsidRPr="00A55D8F">
        <w:t>We commissioned the following independent consultants for our draft decision:</w:t>
      </w:r>
    </w:p>
    <w:p w:rsidR="003B0D45" w:rsidRPr="00A55D8F" w:rsidRDefault="003B0D45" w:rsidP="003B0D45">
      <w:pPr>
        <w:pStyle w:val="AERbulletlistfirststyle"/>
      </w:pPr>
      <w:r w:rsidRPr="00A55D8F">
        <w:t>Deloitte Access Economics, for advice on forecast growth in labour costs</w:t>
      </w:r>
    </w:p>
    <w:p w:rsidR="003B0D45" w:rsidRPr="00A55D8F" w:rsidRDefault="003B0D45" w:rsidP="003B0D45">
      <w:pPr>
        <w:pStyle w:val="AERbulletlistfirststyle"/>
      </w:pPr>
      <w:r w:rsidRPr="00A55D8F">
        <w:t xml:space="preserve">Energy Market Consulting associates (EMCa), for advice on technical aspects of </w:t>
      </w:r>
      <w:r w:rsidR="0026376A">
        <w:t>TransGrid</w:t>
      </w:r>
      <w:r w:rsidRPr="00A55D8F">
        <w:t>'s past and forecast expenditure (capex)</w:t>
      </w:r>
    </w:p>
    <w:p w:rsidR="003B0D45" w:rsidRDefault="00DC67D7" w:rsidP="003B0D45">
      <w:pPr>
        <w:pStyle w:val="AERbulletlistfirststyle"/>
      </w:pPr>
      <w:r>
        <w:lastRenderedPageBreak/>
        <w:t>Economic</w:t>
      </w:r>
      <w:r w:rsidR="001C37CC">
        <w:t xml:space="preserve"> Insights</w:t>
      </w:r>
      <w:r w:rsidR="003B0D45" w:rsidRPr="00A55D8F">
        <w:t xml:space="preserve"> for advice on benchmarking</w:t>
      </w:r>
    </w:p>
    <w:p w:rsidR="003B0D45" w:rsidRPr="00A55D8F" w:rsidRDefault="0039524C" w:rsidP="003B0D45">
      <w:pPr>
        <w:pStyle w:val="AERbulletlistfirststyle"/>
      </w:pPr>
      <w:r w:rsidRPr="0039524C">
        <w:t>Professor Olan Henry, University of Liverpool, Professor Michael McKenzie, University of Liverpool, Associate professor Graham Partington, University of Sydney, Associate professor John Handley, University of Melbourne and Associate professor Martin Lally, Victoria University of Wellington, for advice on rate of return</w:t>
      </w:r>
      <w:r w:rsidR="003B0D45" w:rsidRPr="00A55D8F">
        <w:t>.</w:t>
      </w:r>
    </w:p>
    <w:p w:rsidR="00111EE0" w:rsidRPr="00A55D8F" w:rsidRDefault="00111EE0" w:rsidP="00CF23CB">
      <w:pPr>
        <w:pStyle w:val="AERbodytext"/>
      </w:pPr>
      <w:r w:rsidRPr="00A55D8F">
        <w:t xml:space="preserve">We engaged these consultants to help us determine whether technical aspects of </w:t>
      </w:r>
      <w:r>
        <w:t>TransG</w:t>
      </w:r>
      <w:r w:rsidRPr="00A55D8F">
        <w:t xml:space="preserve">rid's proposal are reasonable. The consultants' advice also helps us develop our substitute expenditure forecast (if required). While we seek the consultants' advice and expertise to help understand the proposal from a technical perspective, we are not bound to use the consultants' forecast or adjustments as a replacement. We use judgment in adopting their advice and consider a broader array of interconnecting information including engineering, economic and legal matters. </w:t>
      </w:r>
    </w:p>
    <w:p w:rsidR="005017D3" w:rsidRDefault="005017D3" w:rsidP="005017D3">
      <w:pPr>
        <w:pStyle w:val="HeadingBoldBlue"/>
      </w:pPr>
      <w:r>
        <w:t>Internal expertise</w:t>
      </w:r>
    </w:p>
    <w:p w:rsidR="003B0D45" w:rsidRPr="00A55D8F" w:rsidRDefault="003B0D45" w:rsidP="003B0D45">
      <w:r w:rsidRPr="00A55D8F">
        <w:t xml:space="preserve">We also boosted our internal expertise by appointing four in-house technical advisors to provide us with greater industry expertise, particularly in power system engineering. The new technical advisor group was established in late October 2013. They bring significant technical knowledge and electricity industry experience to the AER. </w:t>
      </w:r>
    </w:p>
    <w:p w:rsidR="00F210AC" w:rsidRPr="00F210AC" w:rsidRDefault="003B0D45" w:rsidP="00F210AC">
      <w:r w:rsidRPr="00A55D8F">
        <w:t xml:space="preserve">The technical advisors complement the internal expertise we have already developed. They have improved our use of external consultants and helped implement new regulatory approaches developed under the Better Regulation program. </w:t>
      </w:r>
      <w:r w:rsidR="00F210AC" w:rsidRPr="00F210AC">
        <w:t>Our staff are also assisted by the ACCC/AER Regulatory Economic Unit (REU). REU comprises seven specialist economists who provide advice to the ACCC’s regulatory areas, including the AER</w:t>
      </w:r>
      <w:r w:rsidR="003C60C9">
        <w:t>,</w:t>
      </w:r>
      <w:r w:rsidR="00F210AC" w:rsidRPr="00F210AC">
        <w:t xml:space="preserve"> whose staffing and support </w:t>
      </w:r>
      <w:r w:rsidR="003642C2">
        <w:t>are</w:t>
      </w:r>
      <w:r w:rsidR="003642C2" w:rsidRPr="00F210AC">
        <w:t xml:space="preserve"> </w:t>
      </w:r>
      <w:r w:rsidR="00F210AC" w:rsidRPr="00F210AC">
        <w:t xml:space="preserve">provided by the ACCC. Six of the seven REU economists have PhDs in economics and related fields. </w:t>
      </w:r>
    </w:p>
    <w:p w:rsidR="003B0D45" w:rsidRDefault="003B0D45" w:rsidP="0039524C">
      <w:pPr>
        <w:pStyle w:val="UnnumberedHeading"/>
        <w:numPr>
          <w:ilvl w:val="0"/>
          <w:numId w:val="9"/>
        </w:numPr>
      </w:pPr>
      <w:bookmarkStart w:id="112" w:name="_Toc404437652"/>
      <w:r>
        <w:lastRenderedPageBreak/>
        <w:t xml:space="preserve">Appendix </w:t>
      </w:r>
      <w:r w:rsidR="00FC2C3F">
        <w:t xml:space="preserve">E </w:t>
      </w:r>
      <w:r w:rsidRPr="003B0D45">
        <w:t>–</w:t>
      </w:r>
      <w:r>
        <w:t xml:space="preserve"> </w:t>
      </w:r>
      <w:r w:rsidR="00FC2C3F">
        <w:t>List of submissions</w:t>
      </w:r>
      <w:bookmarkEnd w:id="112"/>
    </w:p>
    <w:p w:rsidR="00EC69F2" w:rsidRDefault="00EC69F2" w:rsidP="00EC69F2">
      <w:r>
        <w:t>We received eight submissions in response to TransGrid's regulatory proposal</w:t>
      </w:r>
      <w:r w:rsidR="00FC2C3F">
        <w:t>:</w:t>
      </w:r>
    </w:p>
    <w:p w:rsidR="00796FA5" w:rsidRDefault="00796FA5" w:rsidP="00EC69F2">
      <w:pPr>
        <w:pStyle w:val="AERbulletlistfirststyle"/>
      </w:pPr>
      <w:r>
        <w:t>Consumer challenge panel</w:t>
      </w:r>
    </w:p>
    <w:p w:rsidR="00EC69F2" w:rsidRDefault="00EC69F2" w:rsidP="00EC69F2">
      <w:pPr>
        <w:pStyle w:val="AERbulletlistfirststyle"/>
      </w:pPr>
      <w:r>
        <w:t xml:space="preserve">Powerlink </w:t>
      </w:r>
    </w:p>
    <w:p w:rsidR="00EC69F2" w:rsidRDefault="00EC69F2" w:rsidP="00EC69F2">
      <w:pPr>
        <w:pStyle w:val="AERbulletlistfirststyle"/>
      </w:pPr>
      <w:r>
        <w:t xml:space="preserve">ElectraNet </w:t>
      </w:r>
    </w:p>
    <w:p w:rsidR="00EC69F2" w:rsidRDefault="00EC69F2" w:rsidP="00EC69F2">
      <w:pPr>
        <w:pStyle w:val="AERbulletlistfirststyle"/>
      </w:pPr>
      <w:r>
        <w:t xml:space="preserve">Norske Skog Paper Mills (Australia) Limited </w:t>
      </w:r>
    </w:p>
    <w:p w:rsidR="00EC69F2" w:rsidRDefault="00EC69F2" w:rsidP="00EC69F2">
      <w:pPr>
        <w:pStyle w:val="AERbulletlistfirststyle"/>
      </w:pPr>
      <w:r>
        <w:t>Origin Energy</w:t>
      </w:r>
    </w:p>
    <w:p w:rsidR="00EC69F2" w:rsidRDefault="00EC69F2" w:rsidP="00EC69F2">
      <w:pPr>
        <w:pStyle w:val="AERbulletlistfirststyle"/>
      </w:pPr>
      <w:r>
        <w:t>a group of Australian electricity generators</w:t>
      </w:r>
      <w:r>
        <w:rPr>
          <w:rStyle w:val="FootnoteReference"/>
        </w:rPr>
        <w:footnoteReference w:id="153"/>
      </w:r>
    </w:p>
    <w:p w:rsidR="00EC69F2" w:rsidRDefault="00EC69F2" w:rsidP="00EC69F2">
      <w:pPr>
        <w:pStyle w:val="AERbulletlistfirststyle"/>
      </w:pPr>
      <w:r>
        <w:t xml:space="preserve">EnerNOC Pty Ltd </w:t>
      </w:r>
    </w:p>
    <w:p w:rsidR="00EC69F2" w:rsidRDefault="00EC69F2" w:rsidP="00EC69F2">
      <w:pPr>
        <w:pStyle w:val="AERbulletlistfirststyle"/>
      </w:pPr>
      <w:r>
        <w:t>Energy Users Association of Australia (EUAA)</w:t>
      </w:r>
    </w:p>
    <w:p w:rsidR="00EC69F2" w:rsidRDefault="00EC69F2" w:rsidP="00EC69F2">
      <w:pPr>
        <w:pStyle w:val="AERbulletlistfirststyle"/>
      </w:pPr>
      <w:r>
        <w:t>The Energy Markets Reform Forum (EMRF).</w:t>
      </w:r>
    </w:p>
    <w:p w:rsidR="003B0D45" w:rsidRPr="001A74D2" w:rsidRDefault="003B0D45" w:rsidP="00CF23CB">
      <w:pPr>
        <w:pStyle w:val="AERbulletlistfirststyle"/>
        <w:numPr>
          <w:ilvl w:val="0"/>
          <w:numId w:val="0"/>
        </w:numPr>
        <w:ind w:left="357"/>
      </w:pPr>
    </w:p>
    <w:sectPr w:rsidR="003B0D45" w:rsidRPr="001A74D2" w:rsidSect="0045608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CB" w:rsidRPr="00AB4345" w:rsidRDefault="00CF23CB" w:rsidP="00AB4345">
      <w:r>
        <w:separator/>
      </w:r>
    </w:p>
  </w:endnote>
  <w:endnote w:type="continuationSeparator" w:id="0">
    <w:p w:rsidR="00CF23CB" w:rsidRPr="00AB4345" w:rsidRDefault="00CF23C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3CB" w:rsidRPr="00824CC8" w:rsidRDefault="00864D56" w:rsidP="00824CC8">
    <w:pPr>
      <w:pStyle w:val="Footer"/>
    </w:pPr>
    <w:sdt>
      <w:sdtPr>
        <w:id w:val="954882516"/>
        <w:docPartObj>
          <w:docPartGallery w:val="Page Numbers (Bottom of Page)"/>
          <w:docPartUnique/>
        </w:docPartObj>
      </w:sdtPr>
      <w:sdtEndPr/>
      <w:sdtContent>
        <w:r w:rsidR="00CF23CB" w:rsidRPr="00824CC8">
          <w:fldChar w:fldCharType="begin"/>
        </w:r>
        <w:r w:rsidR="00CF23CB" w:rsidRPr="00824CC8">
          <w:instrText xml:space="preserve"> PAGE   \* MERGEFORMAT </w:instrText>
        </w:r>
        <w:r w:rsidR="00CF23CB" w:rsidRPr="00824CC8">
          <w:fldChar w:fldCharType="separate"/>
        </w:r>
        <w:r>
          <w:rPr>
            <w:noProof/>
          </w:rPr>
          <w:t>2</w:t>
        </w:r>
        <w:r w:rsidR="00CF23CB" w:rsidRPr="00824CC8">
          <w:fldChar w:fldCharType="end"/>
        </w:r>
      </w:sdtContent>
    </w:sdt>
    <w:r w:rsidR="00CF23CB">
      <w:tab/>
    </w:r>
    <w:r w:rsidR="00CF23CB">
      <w:rPr>
        <w:rStyle w:val="AERbody"/>
      </w:rPr>
      <w:t xml:space="preserve">Overview </w:t>
    </w:r>
    <w:r w:rsidR="00CF23CB" w:rsidRPr="00824CC8">
      <w:rPr>
        <w:rStyle w:val="AERbody"/>
      </w:rPr>
      <w:t xml:space="preserve">| </w:t>
    </w:r>
    <w:r w:rsidR="00CF23CB">
      <w:rPr>
        <w:rStyle w:val="AERbody"/>
      </w:rPr>
      <w:t>Draft decision: TransGrid transmission determination 2015-18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3CB" w:rsidRPr="00824CC8" w:rsidRDefault="00CF23CB" w:rsidP="00824CC8">
    <w:pPr>
      <w:pStyle w:val="Footer"/>
      <w:rPr>
        <w:rStyle w:val="AERbody"/>
      </w:rPr>
    </w:pPr>
    <w:r>
      <w:rPr>
        <w:rStyle w:val="AERbody"/>
      </w:rPr>
      <w:t xml:space="preserve">Draft decision: TransGrid transmission determination 2015-18 </w:t>
    </w:r>
    <w:r w:rsidRPr="00824CC8">
      <w:rPr>
        <w:rStyle w:val="AERbody"/>
      </w:rPr>
      <w:t xml:space="preserve">| </w:t>
    </w:r>
    <w:r>
      <w:rPr>
        <w:rStyle w:val="AERbody"/>
      </w:rPr>
      <w:t>Overview</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64D56">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CB" w:rsidRPr="00AB4345" w:rsidRDefault="00CF23CB" w:rsidP="00AB4345">
      <w:r>
        <w:separator/>
      </w:r>
    </w:p>
  </w:footnote>
  <w:footnote w:type="continuationSeparator" w:id="0">
    <w:p w:rsidR="00CF23CB" w:rsidRPr="00AB4345" w:rsidRDefault="00CF23CB" w:rsidP="00AB4345">
      <w:r>
        <w:continuationSeparator/>
      </w:r>
    </w:p>
  </w:footnote>
  <w:footnote w:id="1">
    <w:p w:rsidR="00CF23CB" w:rsidRDefault="00CF23CB">
      <w:pPr>
        <w:pStyle w:val="FootnoteText"/>
      </w:pPr>
      <w:r>
        <w:rPr>
          <w:rStyle w:val="FootnoteReference"/>
        </w:rPr>
        <w:footnoteRef/>
      </w:r>
      <w:r>
        <w:t xml:space="preserve"> </w:t>
      </w:r>
      <w:r>
        <w:tab/>
        <w:t>This amount excludes revenue for the 2014-15 transitional year.</w:t>
      </w:r>
    </w:p>
  </w:footnote>
  <w:footnote w:id="2">
    <w:p w:rsidR="00CF23CB" w:rsidRDefault="00CF23CB" w:rsidP="004932D6">
      <w:pPr>
        <w:pStyle w:val="FootnoteText"/>
      </w:pPr>
      <w:r>
        <w:rPr>
          <w:rStyle w:val="FootnoteReference"/>
        </w:rPr>
        <w:footnoteRef/>
      </w:r>
      <w:r>
        <w:t xml:space="preserve"> </w:t>
      </w:r>
      <w:r>
        <w:tab/>
        <w:t xml:space="preserve">TransGrid, </w:t>
      </w:r>
      <w:r w:rsidRPr="00CD3FF9">
        <w:rPr>
          <w:rStyle w:val="AERtextitalic"/>
        </w:rPr>
        <w:t>Revenue proposal</w:t>
      </w:r>
      <w:r>
        <w:t>, May 2014, p. 18.</w:t>
      </w:r>
    </w:p>
  </w:footnote>
  <w:footnote w:id="3">
    <w:p w:rsidR="00CF23CB" w:rsidRDefault="00CF23CB">
      <w:pPr>
        <w:pStyle w:val="FootnoteText"/>
      </w:pPr>
      <w:r>
        <w:rPr>
          <w:rStyle w:val="FootnoteReference"/>
        </w:rPr>
        <w:footnoteRef/>
      </w:r>
      <w:r>
        <w:t xml:space="preserve"> </w:t>
      </w:r>
      <w:r>
        <w:tab/>
        <w:t>Transmission charges for NSW and ACT customers will also be affected by transmission revenues determined for Directlink, Ausgrid and ActewAGL.</w:t>
      </w:r>
    </w:p>
  </w:footnote>
  <w:footnote w:id="4">
    <w:p w:rsidR="00CF23CB" w:rsidRDefault="00CF23CB" w:rsidP="00C82D94">
      <w:pPr>
        <w:pStyle w:val="FootnoteText"/>
      </w:pPr>
      <w:r>
        <w:rPr>
          <w:rStyle w:val="FootnoteReference"/>
        </w:rPr>
        <w:footnoteRef/>
      </w:r>
      <w:r>
        <w:t xml:space="preserve"> </w:t>
      </w:r>
      <w:r>
        <w:tab/>
        <w:t>The actual for 2013–14 is an estimate provided by the service provider.</w:t>
      </w:r>
    </w:p>
  </w:footnote>
  <w:footnote w:id="5">
    <w:p w:rsidR="00CF23CB" w:rsidRDefault="00CF23CB" w:rsidP="00C82D94">
      <w:pPr>
        <w:pStyle w:val="FootnoteText"/>
      </w:pPr>
      <w:r>
        <w:rPr>
          <w:rStyle w:val="FootnoteReference"/>
        </w:rPr>
        <w:footnoteRef/>
      </w:r>
      <w:r>
        <w:t xml:space="preserve"> </w:t>
      </w:r>
      <w:r>
        <w:tab/>
        <w:t>The draft decision revenue for 2014–15 is based on the AER's placeholder decision for this year made under the transitional rules.</w:t>
      </w:r>
    </w:p>
  </w:footnote>
  <w:footnote w:id="6">
    <w:p w:rsidR="00CF23CB" w:rsidRDefault="00CF23CB" w:rsidP="008038AA">
      <w:pPr>
        <w:pStyle w:val="FootnoteText"/>
      </w:pPr>
      <w:r>
        <w:rPr>
          <w:rStyle w:val="FootnoteReference"/>
        </w:rPr>
        <w:footnoteRef/>
      </w:r>
      <w:r>
        <w:t xml:space="preserve"> </w:t>
      </w:r>
      <w:r>
        <w:tab/>
        <w:t>TransGrid's proposal did not take account of the transitional placeholder revenue for 2014–15. This proposed amount has been adjusted to reflect the true-up for the placeholder revenue.</w:t>
      </w:r>
    </w:p>
  </w:footnote>
  <w:footnote w:id="7">
    <w:p w:rsidR="00CF23CB" w:rsidRDefault="00CF23CB" w:rsidP="008038AA">
      <w:pPr>
        <w:pStyle w:val="FootnoteText"/>
      </w:pPr>
      <w:r>
        <w:rPr>
          <w:rStyle w:val="FootnoteReference"/>
        </w:rPr>
        <w:footnoteRef/>
      </w:r>
      <w:r>
        <w:t xml:space="preserve"> </w:t>
      </w:r>
      <w:r>
        <w:tab/>
        <w:t>NEL, s. 16(1)(d).</w:t>
      </w:r>
    </w:p>
  </w:footnote>
  <w:footnote w:id="8">
    <w:p w:rsidR="00CF23CB" w:rsidRDefault="00CF23CB" w:rsidP="001978B5">
      <w:pPr>
        <w:pStyle w:val="FootnoteText"/>
      </w:pPr>
      <w:r>
        <w:rPr>
          <w:rStyle w:val="FootnoteReference"/>
        </w:rPr>
        <w:footnoteRef/>
      </w:r>
      <w:r>
        <w:t xml:space="preserve"> </w:t>
      </w:r>
      <w:r>
        <w:tab/>
        <w:t>NER, cl. 6A.14.1.</w:t>
      </w:r>
    </w:p>
  </w:footnote>
  <w:footnote w:id="9">
    <w:p w:rsidR="00CF23CB" w:rsidRDefault="00CF23CB">
      <w:pPr>
        <w:pStyle w:val="FootnoteText"/>
      </w:pPr>
      <w:r>
        <w:rPr>
          <w:rStyle w:val="FootnoteReference"/>
        </w:rPr>
        <w:footnoteRef/>
      </w:r>
      <w:r>
        <w:t xml:space="preserve"> </w:t>
      </w:r>
      <w:r>
        <w:tab/>
        <w:t>NER, cl. 6A.6.2(b).</w:t>
      </w:r>
    </w:p>
  </w:footnote>
  <w:footnote w:id="10">
    <w:p w:rsidR="00CF23CB" w:rsidRDefault="00CF23CB" w:rsidP="00ED2FAE">
      <w:pPr>
        <w:pStyle w:val="FootnoteText"/>
      </w:pPr>
    </w:p>
  </w:footnote>
  <w:footnote w:id="11">
    <w:p w:rsidR="00CF23CB" w:rsidRDefault="00CF23CB">
      <w:pPr>
        <w:pStyle w:val="FootnoteText"/>
      </w:pPr>
      <w:r>
        <w:rPr>
          <w:rStyle w:val="FootnoteReference"/>
        </w:rPr>
        <w:footnoteRef/>
      </w:r>
      <w:r>
        <w:t xml:space="preserve"> </w:t>
      </w:r>
      <w:r>
        <w:tab/>
        <w:t>NEL, s. 16(1</w:t>
      </w:r>
      <w:proofErr w:type="gramStart"/>
      <w:r>
        <w:t>)(</w:t>
      </w:r>
      <w:proofErr w:type="gramEnd"/>
      <w:r>
        <w:t>d).</w:t>
      </w:r>
    </w:p>
  </w:footnote>
  <w:footnote w:id="12">
    <w:p w:rsidR="00CF23CB" w:rsidRDefault="00CF23CB" w:rsidP="004936A9">
      <w:pPr>
        <w:pStyle w:val="FootnoteText"/>
      </w:pPr>
      <w:r>
        <w:rPr>
          <w:rStyle w:val="FootnoteReference"/>
        </w:rPr>
        <w:footnoteRef/>
      </w:r>
      <w:r>
        <w:t xml:space="preserve"> </w:t>
      </w:r>
      <w:r>
        <w:tab/>
        <w:t>For the reasons set out throughout this decision, we do not consider TransGrid's proposal would contribute to the achievement of the NEO. Therefore, we do not need to address s. 16(1)(d) of the NEL. However, in any case, our reasoning demonstrates that we are also satisfied that our draft decision would contribute to the achievement of the NEO to a greater degree than TransGrid's proposal.</w:t>
      </w:r>
    </w:p>
  </w:footnote>
  <w:footnote w:id="13">
    <w:p w:rsidR="00CF23CB" w:rsidRPr="00BC0992" w:rsidRDefault="00CF23CB" w:rsidP="007A590E">
      <w:pPr>
        <w:pStyle w:val="FootnoteText"/>
        <w:rPr>
          <w:rStyle w:val="AERtextsize8"/>
        </w:rPr>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7A590E">
        <w:rPr>
          <w:rStyle w:val="AERbody"/>
          <w:sz w:val="16"/>
        </w:rPr>
        <w:t xml:space="preserve"> 29 November 2012, </w:t>
      </w:r>
      <w:r w:rsidRPr="00BC0992">
        <w:rPr>
          <w:rStyle w:val="AERtextsize8"/>
        </w:rPr>
        <w:t xml:space="preserve">pp. xi, 10, 19, 35, 148. </w:t>
      </w:r>
    </w:p>
  </w:footnote>
  <w:footnote w:id="14">
    <w:p w:rsidR="00CF23CB" w:rsidRDefault="00CF23CB" w:rsidP="004936A9">
      <w:pPr>
        <w:pStyle w:val="FootnoteText"/>
      </w:pPr>
      <w:r>
        <w:rPr>
          <w:rStyle w:val="FootnoteReference"/>
        </w:rPr>
        <w:footnoteRef/>
      </w:r>
      <w:r>
        <w:t xml:space="preserve"> </w:t>
      </w:r>
      <w:r>
        <w:tab/>
        <w:t xml:space="preserve">See especially sections 5 and 6 below. </w:t>
      </w:r>
    </w:p>
  </w:footnote>
  <w:footnote w:id="15">
    <w:p w:rsidR="00CF23CB" w:rsidRDefault="00CF23CB" w:rsidP="004936A9">
      <w:pPr>
        <w:pStyle w:val="FootnoteText"/>
      </w:pPr>
      <w:r>
        <w:rPr>
          <w:rStyle w:val="FootnoteReference"/>
        </w:rPr>
        <w:footnoteRef/>
      </w:r>
      <w:r>
        <w:t xml:space="preserve"> </w:t>
      </w:r>
      <w:r>
        <w:tab/>
        <w:t>NEL, s. 7.</w:t>
      </w:r>
    </w:p>
  </w:footnote>
  <w:footnote w:id="16">
    <w:p w:rsidR="00CF23CB" w:rsidRDefault="00CF23CB" w:rsidP="004936A9">
      <w:pPr>
        <w:pStyle w:val="FootnoteText"/>
      </w:pPr>
      <w:r>
        <w:rPr>
          <w:rStyle w:val="FootnoteReference"/>
        </w:rPr>
        <w:footnoteRef/>
      </w:r>
      <w:r>
        <w:t xml:space="preserve"> </w:t>
      </w:r>
      <w:r>
        <w:tab/>
        <w:t>NEL, s. 7A.</w:t>
      </w:r>
    </w:p>
  </w:footnote>
  <w:footnote w:id="17">
    <w:p w:rsidR="00CF23CB" w:rsidRDefault="00CF23CB">
      <w:pPr>
        <w:pStyle w:val="FootnoteText"/>
      </w:pPr>
      <w:r>
        <w:rPr>
          <w:rStyle w:val="FootnoteReference"/>
        </w:rPr>
        <w:footnoteRef/>
      </w:r>
      <w:r>
        <w:t xml:space="preserve"> </w:t>
      </w:r>
      <w:r>
        <w:tab/>
        <w:t>NEL, s. 16(2).</w:t>
      </w:r>
    </w:p>
  </w:footnote>
  <w:footnote w:id="18">
    <w:p w:rsidR="00CF23CB" w:rsidRDefault="00CF23CB" w:rsidP="004936A9">
      <w:pPr>
        <w:pStyle w:val="FootnoteText"/>
      </w:pPr>
      <w:r>
        <w:rPr>
          <w:rStyle w:val="FootnoteReference"/>
        </w:rPr>
        <w:footnoteRef/>
      </w:r>
      <w:r>
        <w:t xml:space="preserve"> </w:t>
      </w:r>
      <w:r>
        <w:tab/>
        <w:t>Hansard, SA House of Assembly, 27 September 2007 pp. 965.</w:t>
      </w:r>
    </w:p>
  </w:footnote>
  <w:footnote w:id="19">
    <w:p w:rsidR="00CF23CB" w:rsidRDefault="00CF23CB" w:rsidP="004936A9">
      <w:pPr>
        <w:pStyle w:val="FootnoteText"/>
      </w:pPr>
      <w:r>
        <w:rPr>
          <w:rStyle w:val="FootnoteReference"/>
        </w:rPr>
        <w:footnoteRef/>
      </w:r>
      <w:r>
        <w:t xml:space="preserve"> </w:t>
      </w:r>
      <w:r>
        <w:tab/>
        <w:t>NEL, s. 88.</w:t>
      </w:r>
    </w:p>
    <w:p w:rsidR="00CF23CB" w:rsidRDefault="00CF23CB" w:rsidP="007A590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7A590E">
        <w:rPr>
          <w:rStyle w:val="AERbody"/>
          <w:sz w:val="16"/>
        </w:rPr>
        <w:t xml:space="preserve"> 29 November 2012, </w:t>
      </w:r>
      <w:r w:rsidRPr="00BC0992">
        <w:rPr>
          <w:rStyle w:val="AERtextsize8"/>
        </w:rPr>
        <w:t>p</w:t>
      </w:r>
      <w:r>
        <w:rPr>
          <w:rStyle w:val="AERtextsize8"/>
        </w:rPr>
        <w:t>. 8.</w:t>
      </w:r>
    </w:p>
  </w:footnote>
  <w:footnote w:id="20">
    <w:p w:rsidR="00CF23CB" w:rsidRDefault="00CF23CB" w:rsidP="004936A9">
      <w:pPr>
        <w:pStyle w:val="FootnoteText"/>
      </w:pPr>
      <w:r>
        <w:rPr>
          <w:rStyle w:val="FootnoteReference"/>
        </w:rPr>
        <w:footnoteRef/>
      </w:r>
      <w:r>
        <w:t xml:space="preserve"> </w:t>
      </w:r>
      <w:r>
        <w:tab/>
        <w:t>NEL, s. 16.</w:t>
      </w:r>
    </w:p>
  </w:footnote>
  <w:footnote w:id="21">
    <w:p w:rsidR="00CF23CB" w:rsidRDefault="00CF23CB" w:rsidP="004936A9">
      <w:pPr>
        <w:pStyle w:val="FootnoteText"/>
      </w:pPr>
      <w:r>
        <w:rPr>
          <w:rStyle w:val="FootnoteReference"/>
        </w:rPr>
        <w:footnoteRef/>
      </w:r>
      <w:r>
        <w:t xml:space="preserve"> </w:t>
      </w:r>
      <w:r>
        <w:tab/>
        <w:t>NEL, ss. 16(1)(d) and 71P(2a)(c).</w:t>
      </w:r>
    </w:p>
    <w:p w:rsidR="00CF23CB" w:rsidRDefault="00CF23CB" w:rsidP="004936A9">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t xml:space="preserve"> 29 November 2012, pp.</w:t>
      </w:r>
      <w:r w:rsidRPr="000102D7">
        <w:t xml:space="preserve"> </w:t>
      </w:r>
      <w:r>
        <w:t xml:space="preserve">i, iii, iv, vi, vii, 8, 24 </w:t>
      </w:r>
      <w:r w:rsidRPr="000102D7">
        <w:t>32</w:t>
      </w:r>
      <w:r>
        <w:t>,</w:t>
      </w:r>
      <w:r w:rsidRPr="000102D7">
        <w:t xml:space="preserve"> 36</w:t>
      </w:r>
      <w:r>
        <w:t>, 38, 45, 49, 67, 68, 90, 96 106, 112 and 113</w:t>
      </w:r>
      <w:r w:rsidRPr="000102D7">
        <w:t>.</w:t>
      </w:r>
    </w:p>
    <w:p w:rsidR="00CF23CB" w:rsidRDefault="00CF23CB" w:rsidP="004936A9">
      <w:pPr>
        <w:pStyle w:val="FootnoteText"/>
      </w:pPr>
      <w:r>
        <w:tab/>
        <w:t xml:space="preserve">Hansard, SA </w:t>
      </w:r>
      <w:r w:rsidRPr="00E54FE4">
        <w:t xml:space="preserve">House </w:t>
      </w:r>
      <w:r>
        <w:t>o</w:t>
      </w:r>
      <w:r w:rsidRPr="00E54FE4">
        <w:t>f Assembly</w:t>
      </w:r>
      <w:r>
        <w:t>,</w:t>
      </w:r>
      <w:r w:rsidRPr="00E54FE4">
        <w:t xml:space="preserve"> 26 September 2013</w:t>
      </w:r>
      <w:r>
        <w:t xml:space="preserve"> p. 7172.</w:t>
      </w:r>
    </w:p>
  </w:footnote>
  <w:footnote w:id="22">
    <w:p w:rsidR="00CF23CB" w:rsidRDefault="00CF23CB" w:rsidP="004936A9">
      <w:pPr>
        <w:pStyle w:val="FootnoteText"/>
      </w:pPr>
      <w:r>
        <w:rPr>
          <w:rStyle w:val="FootnoteReference"/>
        </w:rPr>
        <w:footnoteRef/>
      </w:r>
      <w:r>
        <w:t xml:space="preserve"> </w:t>
      </w:r>
      <w:r>
        <w:tab/>
        <w:t>For example, NER, cll. 6A.6.2(b), 6A.6.6(a), 6A.6.7(a).</w:t>
      </w:r>
    </w:p>
    <w:p w:rsidR="00CF23CB" w:rsidRPr="000102D7" w:rsidRDefault="00CF23CB" w:rsidP="004936A9">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t xml:space="preserve"> 29 November 2012, p</w:t>
      </w:r>
      <w:r w:rsidRPr="000102D7">
        <w:t>p. xi, 10, 19, 32 and 35.</w:t>
      </w:r>
    </w:p>
  </w:footnote>
  <w:footnote w:id="23">
    <w:p w:rsidR="00CF23CB" w:rsidRDefault="00CF23CB" w:rsidP="004936A9">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t xml:space="preserve"> 29 November 2012, e</w:t>
      </w:r>
      <w:r w:rsidRPr="000102D7">
        <w:t>sp. pp. 166–170</w:t>
      </w:r>
      <w:r>
        <w:t>.</w:t>
      </w:r>
    </w:p>
  </w:footnote>
  <w:footnote w:id="24">
    <w:p w:rsidR="00CF23CB" w:rsidRDefault="00CF23CB" w:rsidP="004936A9">
      <w:pPr>
        <w:pStyle w:val="FootnoteText"/>
      </w:pPr>
      <w:r>
        <w:rPr>
          <w:rStyle w:val="FootnoteReference"/>
        </w:rPr>
        <w:footnoteRef/>
      </w:r>
      <w:r>
        <w:t xml:space="preserve"> </w:t>
      </w:r>
      <w:r>
        <w:tab/>
        <w:t xml:space="preserve">Hansard, SA </w:t>
      </w:r>
      <w:r w:rsidRPr="00E54FE4">
        <w:t xml:space="preserve">House </w:t>
      </w:r>
      <w:r>
        <w:t>o</w:t>
      </w:r>
      <w:r w:rsidRPr="00E54FE4">
        <w:t>f Assembly</w:t>
      </w:r>
      <w:r>
        <w:t>,</w:t>
      </w:r>
      <w:r w:rsidRPr="00E54FE4">
        <w:t xml:space="preserve"> 26 September 2013</w:t>
      </w:r>
      <w:r>
        <w:t xml:space="preserve"> p. 7171.</w:t>
      </w:r>
    </w:p>
  </w:footnote>
  <w:footnote w:id="25">
    <w:p w:rsidR="00CF23CB" w:rsidRDefault="00CF23CB" w:rsidP="004936A9">
      <w:pPr>
        <w:pStyle w:val="FootnoteText"/>
      </w:pPr>
      <w:r>
        <w:rPr>
          <w:rStyle w:val="FootnoteReference"/>
        </w:rPr>
        <w:footnoteRef/>
      </w:r>
      <w:r>
        <w:t xml:space="preserve"> </w:t>
      </w:r>
      <w:r>
        <w:tab/>
      </w:r>
      <w:r w:rsidRPr="000102D7">
        <w:t>NEL, ss. 2, 16</w:t>
      </w:r>
      <w:r>
        <w:t>,</w:t>
      </w:r>
      <w:r w:rsidRPr="000102D7">
        <w:t xml:space="preserve"> 71A </w:t>
      </w:r>
      <w:r>
        <w:t xml:space="preserve">and 71P </w:t>
      </w:r>
      <w:r w:rsidRPr="000102D7">
        <w:t>which focus the AER’s decision making and merits review at the overall decision, rather than its constituent components.</w:t>
      </w:r>
    </w:p>
    <w:p w:rsidR="00CF23CB" w:rsidRDefault="00CF23CB" w:rsidP="004936A9">
      <w:pPr>
        <w:pStyle w:val="FootnoteText"/>
      </w:pPr>
      <w:r>
        <w:tab/>
      </w:r>
      <w:r w:rsidRPr="000102D7">
        <w:t xml:space="preserve">Hansard, SA House of Assembly, 26 September 2013 pp. </w:t>
      </w:r>
      <w:r>
        <w:t>717</w:t>
      </w:r>
      <w:r w:rsidRPr="000102D7">
        <w:t xml:space="preserve">1 and </w:t>
      </w:r>
      <w:r>
        <w:t>717</w:t>
      </w:r>
      <w:r w:rsidRPr="000102D7">
        <w:t>3; See also NEL, ss. 2, 16 and 71A which focus the AER’s decision making and merits review at the overall decision, rather than its constituent components.</w:t>
      </w:r>
    </w:p>
    <w:p w:rsidR="00CF23CB" w:rsidRPr="000102D7" w:rsidRDefault="00CF23CB" w:rsidP="004936A9">
      <w:pPr>
        <w:pStyle w:val="FootnoteText"/>
      </w:pPr>
      <w:r>
        <w:tab/>
      </w:r>
      <w:r w:rsidRPr="00C5710A">
        <w:t xml:space="preserve">SCER, </w:t>
      </w:r>
      <w:hyperlink r:id="rId1" w:history="1">
        <w:r w:rsidRPr="00AB5781">
          <w:rPr>
            <w:rStyle w:val="AERtextitalic"/>
          </w:rPr>
          <w:t>Regulation Impact Statement – Limited Merits Review of Decision-Making in the Electricity and Gas Regulatory Frameworks</w:t>
        </w:r>
      </w:hyperlink>
      <w:r w:rsidRPr="00AB5781">
        <w:rPr>
          <w:rStyle w:val="FootnoteReference"/>
          <w:vertAlign w:val="baseline"/>
        </w:rPr>
        <w:t>,</w:t>
      </w:r>
      <w:r w:rsidRPr="00C5710A">
        <w:t xml:space="preserve"> 6 June 2013 pp.</w:t>
      </w:r>
      <w:r>
        <w:t xml:space="preserve"> i, ii, 6</w:t>
      </w:r>
      <w:r>
        <w:rPr>
          <w:rFonts w:cs="Gautami"/>
        </w:rPr>
        <w:t>–</w:t>
      </w:r>
      <w:r>
        <w:t>7, 10, 36, 41 and 76.</w:t>
      </w:r>
    </w:p>
  </w:footnote>
  <w:footnote w:id="26">
    <w:p w:rsidR="00CF23CB" w:rsidRDefault="00CF23CB">
      <w:pPr>
        <w:pStyle w:val="FootnoteText"/>
      </w:pPr>
      <w:r>
        <w:rPr>
          <w:rStyle w:val="FootnoteReference"/>
        </w:rPr>
        <w:footnoteRef/>
      </w:r>
      <w:r>
        <w:t xml:space="preserve"> </w:t>
      </w:r>
      <w:r>
        <w:tab/>
        <w:t>See sections 5 and 6.</w:t>
      </w:r>
    </w:p>
  </w:footnote>
  <w:footnote w:id="27">
    <w:p w:rsidR="00CF23CB" w:rsidRDefault="00CF23CB" w:rsidP="004936A9">
      <w:pPr>
        <w:pStyle w:val="FootnoteText"/>
      </w:pPr>
      <w:r>
        <w:rPr>
          <w:rStyle w:val="FootnoteReference"/>
        </w:rPr>
        <w:footnoteRef/>
      </w:r>
      <w:r>
        <w:t xml:space="preserve"> </w:t>
      </w:r>
      <w:r>
        <w:tab/>
      </w:r>
      <w:r w:rsidRPr="000102D7">
        <w:t>NEL, ss. 2, 16</w:t>
      </w:r>
      <w:r>
        <w:t>,</w:t>
      </w:r>
      <w:r w:rsidRPr="000102D7">
        <w:t xml:space="preserve"> 71A </w:t>
      </w:r>
      <w:r>
        <w:t>and 71P.</w:t>
      </w:r>
    </w:p>
  </w:footnote>
  <w:footnote w:id="28">
    <w:p w:rsidR="00CF23CB" w:rsidRDefault="00CF23CB" w:rsidP="004936A9">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8C38D7">
        <w:rPr>
          <w:rStyle w:val="AERtextitalic"/>
        </w:rPr>
        <w:t>,</w:t>
      </w:r>
      <w:r>
        <w:t xml:space="preserve"> 29 November 2012, e</w:t>
      </w:r>
      <w:r w:rsidRPr="000102D7">
        <w:t>sp. p</w:t>
      </w:r>
      <w:r>
        <w:t>. vii</w:t>
      </w:r>
    </w:p>
  </w:footnote>
  <w:footnote w:id="29">
    <w:p w:rsidR="00CF23CB" w:rsidRDefault="00CF23CB" w:rsidP="004936A9">
      <w:pPr>
        <w:pStyle w:val="FootnoteText"/>
      </w:pPr>
      <w:r>
        <w:rPr>
          <w:rStyle w:val="FootnoteReference"/>
        </w:rPr>
        <w:footnoteRef/>
      </w:r>
      <w:r>
        <w:t xml:space="preserve"> </w:t>
      </w:r>
      <w:r>
        <w:tab/>
        <w:t>Hansard, SA House of Assembly, 9 February 2005 pp. 1451</w:t>
      </w:r>
      <w:r>
        <w:rPr>
          <w:rFonts w:cs="Gautami"/>
        </w:rPr>
        <w:t>–</w:t>
      </w:r>
      <w:r>
        <w:t>1460.</w:t>
      </w:r>
    </w:p>
    <w:p w:rsidR="00CF23CB" w:rsidRDefault="00CF23CB" w:rsidP="004936A9">
      <w:pPr>
        <w:pStyle w:val="FootnoteText"/>
      </w:pPr>
      <w:r>
        <w:tab/>
        <w:t>Hansard, SA House of Assembly, 27 September 2007 pp. 963</w:t>
      </w:r>
      <w:r>
        <w:rPr>
          <w:rFonts w:cs="Gautami"/>
        </w:rPr>
        <w:t>–</w:t>
      </w:r>
      <w:r>
        <w:t xml:space="preserve">972. </w:t>
      </w:r>
    </w:p>
    <w:p w:rsidR="00CF23CB" w:rsidRDefault="00CF23CB" w:rsidP="004936A9">
      <w:pPr>
        <w:pStyle w:val="FootnoteText"/>
      </w:pPr>
      <w:r>
        <w:tab/>
        <w:t xml:space="preserve">Hansard, SA </w:t>
      </w:r>
      <w:r w:rsidRPr="00E54FE4">
        <w:t xml:space="preserve">House </w:t>
      </w:r>
      <w:r>
        <w:t>o</w:t>
      </w:r>
      <w:r w:rsidRPr="00E54FE4">
        <w:t>f Assembly</w:t>
      </w:r>
      <w:r>
        <w:t>,</w:t>
      </w:r>
      <w:r w:rsidRPr="00E54FE4">
        <w:t xml:space="preserve"> 26 September 2013</w:t>
      </w:r>
      <w:r>
        <w:t xml:space="preserve"> pp. 7171</w:t>
      </w:r>
      <w:r>
        <w:rPr>
          <w:rFonts w:cs="Gautami"/>
        </w:rPr>
        <w:t>–</w:t>
      </w:r>
      <w:r>
        <w:t>7176.</w:t>
      </w:r>
    </w:p>
  </w:footnote>
  <w:footnote w:id="30">
    <w:p w:rsidR="00CF23CB" w:rsidRDefault="00CF23CB" w:rsidP="004936A9">
      <w:pPr>
        <w:pStyle w:val="FootnoteText"/>
      </w:pPr>
      <w:r>
        <w:rPr>
          <w:rStyle w:val="FootnoteReference"/>
        </w:rPr>
        <w:footnoteRef/>
      </w:r>
      <w:r>
        <w:tab/>
        <w:t xml:space="preserve">Hansard, SA </w:t>
      </w:r>
      <w:r w:rsidRPr="00E54FE4">
        <w:t xml:space="preserve">House </w:t>
      </w:r>
      <w:r>
        <w:t>o</w:t>
      </w:r>
      <w:r w:rsidRPr="00E54FE4">
        <w:t>f Assembly</w:t>
      </w:r>
      <w:r>
        <w:t>,</w:t>
      </w:r>
      <w:r w:rsidRPr="00E54FE4">
        <w:t xml:space="preserve"> 26 September 2013</w:t>
      </w:r>
      <w:r>
        <w:t xml:space="preserve"> p. 7173.</w:t>
      </w:r>
    </w:p>
  </w:footnote>
  <w:footnote w:id="31">
    <w:p w:rsidR="00CF23CB" w:rsidRDefault="00CF23CB" w:rsidP="004936A9">
      <w:pPr>
        <w:pStyle w:val="FootnoteText"/>
      </w:pPr>
      <w:r>
        <w:rPr>
          <w:rStyle w:val="FootnoteReference"/>
        </w:rPr>
        <w:footnoteRef/>
      </w:r>
      <w:r>
        <w:t xml:space="preserve"> </w:t>
      </w:r>
      <w:r>
        <w:tab/>
        <w:t>Hansard, SA House of Assembly, 9 February 2005 p. 1452.</w:t>
      </w:r>
    </w:p>
  </w:footnote>
  <w:footnote w:id="32">
    <w:p w:rsidR="00CF23CB" w:rsidRDefault="00CF23CB" w:rsidP="004936A9">
      <w:pPr>
        <w:pStyle w:val="FootnoteText"/>
        <w:ind w:left="709" w:hanging="709"/>
      </w:pPr>
      <w:r>
        <w:rPr>
          <w:rStyle w:val="FootnoteReference"/>
        </w:rPr>
        <w:footnoteRef/>
      </w:r>
      <w:r>
        <w:t xml:space="preserve"> </w:t>
      </w:r>
      <w:r>
        <w:tab/>
      </w:r>
      <w:r w:rsidRPr="00416AF2">
        <w:rPr>
          <w:rStyle w:val="AERtextitalic"/>
        </w:rPr>
        <w:t>Re Michael: Ex parte Epic Energy</w:t>
      </w:r>
      <w:r>
        <w:t xml:space="preserve"> [2002] WASCA 231 at [143].</w:t>
      </w:r>
    </w:p>
    <w:p w:rsidR="00CF23CB" w:rsidRDefault="00CF23CB" w:rsidP="004936A9">
      <w:pPr>
        <w:pStyle w:val="FootnoteText"/>
        <w:ind w:left="709" w:hanging="709"/>
      </w:pPr>
      <w:r>
        <w:tab/>
        <w:t xml:space="preserve">Energy Ministers also accept this view – see Hansard, SA </w:t>
      </w:r>
      <w:r w:rsidRPr="00E54FE4">
        <w:t xml:space="preserve">House </w:t>
      </w:r>
      <w:r>
        <w:t>o</w:t>
      </w:r>
      <w:r w:rsidRPr="00E54FE4">
        <w:t>f Assembly</w:t>
      </w:r>
      <w:r>
        <w:t>,</w:t>
      </w:r>
      <w:r w:rsidRPr="00E54FE4">
        <w:t xml:space="preserve"> 26 September 2013</w:t>
      </w:r>
      <w:r>
        <w:t xml:space="preserve"> p. 7172.</w:t>
      </w:r>
    </w:p>
  </w:footnote>
  <w:footnote w:id="33">
    <w:p w:rsidR="00CF23CB" w:rsidRDefault="00CF23CB" w:rsidP="004936A9">
      <w:pPr>
        <w:pStyle w:val="FootnoteText"/>
      </w:pPr>
      <w:r>
        <w:rPr>
          <w:rStyle w:val="FootnoteReference"/>
        </w:rPr>
        <w:footnoteRef/>
      </w:r>
      <w:r>
        <w:t xml:space="preserve"> </w:t>
      </w:r>
      <w:r>
        <w:tab/>
        <w:t>NEL, s. 7A(7).</w:t>
      </w:r>
    </w:p>
  </w:footnote>
  <w:footnote w:id="34">
    <w:p w:rsidR="00CF23CB" w:rsidRDefault="00CF23CB" w:rsidP="004936A9">
      <w:pPr>
        <w:pStyle w:val="FootnoteText"/>
      </w:pPr>
      <w:r>
        <w:rPr>
          <w:rStyle w:val="FootnoteReference"/>
        </w:rPr>
        <w:footnoteRef/>
      </w:r>
      <w:r>
        <w:t xml:space="preserve"> </w:t>
      </w:r>
      <w:r>
        <w:tab/>
        <w:t>NEL, s. 7A(6).</w:t>
      </w:r>
    </w:p>
  </w:footnote>
  <w:footnote w:id="35">
    <w:p w:rsidR="00CF23CB" w:rsidRDefault="00CF23CB" w:rsidP="005E189E">
      <w:pPr>
        <w:pStyle w:val="FootnoteText"/>
      </w:pPr>
      <w:r>
        <w:rPr>
          <w:rStyle w:val="FootnoteReference"/>
        </w:rPr>
        <w:footnoteRef/>
      </w:r>
      <w:r>
        <w:t xml:space="preserve"> </w:t>
      </w:r>
      <w:r>
        <w:tab/>
      </w:r>
      <w:r w:rsidRPr="0058315B">
        <w:t xml:space="preserve">AEMC Final Rule Determination, </w:t>
      </w:r>
      <w:r w:rsidRPr="0058315B">
        <w:rPr>
          <w:rStyle w:val="AERtextitalic"/>
        </w:rPr>
        <w:t>National Electricity Amendment (Economic Regulation of Network Service Providers) Rule 2012</w:t>
      </w:r>
      <w:r>
        <w:t>, 29 November 2012</w:t>
      </w:r>
      <w:r w:rsidRPr="0058315B">
        <w:t>.</w:t>
      </w:r>
    </w:p>
  </w:footnote>
  <w:footnote w:id="36">
    <w:p w:rsidR="00CF23CB" w:rsidRDefault="00CF23CB" w:rsidP="005E189E">
      <w:pPr>
        <w:pStyle w:val="FootnoteText"/>
      </w:pPr>
      <w:r>
        <w:rPr>
          <w:rStyle w:val="FootnoteReference"/>
        </w:rPr>
        <w:footnoteRef/>
      </w:r>
      <w:r>
        <w:t xml:space="preserve"> </w:t>
      </w:r>
      <w:r>
        <w:tab/>
      </w:r>
      <w:r w:rsidRPr="00273FC6">
        <w:t>NER, cl.11.5</w:t>
      </w:r>
      <w:r>
        <w:t>7</w:t>
      </w:r>
      <w:r w:rsidRPr="00273FC6">
        <w:t>.1 defines ‘transitional regulatory control period’ and ‘subsequent regulatory control period’</w:t>
      </w:r>
      <w:r>
        <w:t>. Clause</w:t>
      </w:r>
      <w:r w:rsidRPr="00273FC6">
        <w:t xml:space="preserve"> 11.5</w:t>
      </w:r>
      <w:r>
        <w:t>8.2</w:t>
      </w:r>
      <w:r w:rsidRPr="00273FC6">
        <w:t xml:space="preserve"> outlines the requirements of a transitional regulatory proposal and cl.11.5</w:t>
      </w:r>
      <w:r>
        <w:t>8</w:t>
      </w:r>
      <w:r w:rsidRPr="00273FC6">
        <w:t>.4 the subsequent regulatory control period</w:t>
      </w:r>
    </w:p>
  </w:footnote>
  <w:footnote w:id="37">
    <w:p w:rsidR="00CF23CB" w:rsidRDefault="00CF23CB" w:rsidP="005E189E">
      <w:pPr>
        <w:pStyle w:val="FootnoteText"/>
      </w:pPr>
      <w:r>
        <w:rPr>
          <w:rStyle w:val="FootnoteReference"/>
        </w:rPr>
        <w:footnoteRef/>
      </w:r>
      <w:r>
        <w:t xml:space="preserve"> </w:t>
      </w:r>
      <w:r>
        <w:tab/>
        <w:t>NER, cl.11.57.1 definitions.</w:t>
      </w:r>
    </w:p>
  </w:footnote>
  <w:footnote w:id="38">
    <w:p w:rsidR="00CF23CB" w:rsidRDefault="00CF23CB">
      <w:pPr>
        <w:pStyle w:val="FootnoteText"/>
      </w:pPr>
      <w:r>
        <w:rPr>
          <w:rStyle w:val="FootnoteReference"/>
        </w:rPr>
        <w:footnoteRef/>
      </w:r>
      <w:r>
        <w:t xml:space="preserve"> </w:t>
      </w:r>
      <w:r>
        <w:tab/>
        <w:t xml:space="preserve">Under </w:t>
      </w:r>
      <w:r w:rsidRPr="00583C57">
        <w:t>NER, cl. 6A.14.3(e)</w:t>
      </w:r>
      <w:r>
        <w:t xml:space="preserve">, the AER must approve a proposed period of 5 years. </w:t>
      </w:r>
      <w:r w:rsidRPr="00583C57">
        <w:t>The definition of 'regulatory control period' for a TNSP is "a period of not less than five regulatory years in which a total revenue cap applies to that provider by virtue of a revenue determination" (NER, Chapter 10).</w:t>
      </w:r>
      <w:r w:rsidRPr="0006019E">
        <w:t xml:space="preserve"> </w:t>
      </w:r>
      <w:r>
        <w:t>However, under the transitional rules in Chapter 11, the AER must approve a period of 4 years if proposed by the TNSP, for the period beginning 1 July 2015, and otherwise could approve a proposed period of 'less than 4 regulatory years but not less than 3 regulatory years' or 'a period of more than 4 regulatory years': clause 11.58.4(l)</w:t>
      </w:r>
      <w:r w:rsidRPr="00583C57">
        <w:t>.</w:t>
      </w:r>
    </w:p>
  </w:footnote>
  <w:footnote w:id="39">
    <w:p w:rsidR="00CF23CB" w:rsidRDefault="00CF23CB" w:rsidP="00EB3BA3">
      <w:pPr>
        <w:pStyle w:val="FootnoteText"/>
      </w:pPr>
      <w:r>
        <w:rPr>
          <w:rStyle w:val="FootnoteReference"/>
        </w:rPr>
        <w:footnoteRef/>
      </w:r>
      <w:r>
        <w:t xml:space="preserve"> </w:t>
      </w:r>
      <w:r>
        <w:tab/>
        <w:t>NER, schedule 6A.2.2A, cl. 11.58.5.</w:t>
      </w:r>
    </w:p>
  </w:footnote>
  <w:footnote w:id="40">
    <w:p w:rsidR="00CF23CB" w:rsidRDefault="00CF23CB" w:rsidP="004936A9">
      <w:pPr>
        <w:pStyle w:val="FootnoteText"/>
      </w:pPr>
      <w:r>
        <w:rPr>
          <w:rStyle w:val="FootnoteReference"/>
        </w:rPr>
        <w:footnoteRef/>
      </w:r>
      <w:r>
        <w:t xml:space="preserve"> </w:t>
      </w:r>
      <w:r>
        <w:tab/>
        <w:t>NEL, s. 16(1)(a).</w:t>
      </w:r>
    </w:p>
  </w:footnote>
  <w:footnote w:id="41">
    <w:p w:rsidR="00CF23CB" w:rsidRDefault="00CF23CB" w:rsidP="004936A9">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42">
    <w:p w:rsidR="00CF23CB" w:rsidRDefault="00CF23CB" w:rsidP="004936A9">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43">
    <w:p w:rsidR="00CF23CB" w:rsidRDefault="00CF23CB" w:rsidP="004936A9">
      <w:pPr>
        <w:pStyle w:val="FootnoteText"/>
      </w:pPr>
      <w:r>
        <w:rPr>
          <w:rStyle w:val="FootnoteReference"/>
        </w:rPr>
        <w:footnoteRef/>
      </w:r>
      <w:r>
        <w:t xml:space="preserve"> </w:t>
      </w:r>
      <w:r>
        <w:tab/>
        <w:t xml:space="preserve">AER, </w:t>
      </w:r>
      <w:r w:rsidRPr="009D1CE9">
        <w:rPr>
          <w:rStyle w:val="AERtextitalic"/>
        </w:rPr>
        <w:t>Assessment of the Consumer Reference Group</w:t>
      </w:r>
      <w:r>
        <w:t xml:space="preserve">, March 2014. This document includes information on training provided to CRG members, meetings and CRG member feedback. It can be accessed at </w:t>
      </w:r>
      <w:hyperlink r:id="rId2" w:history="1">
        <w:r w:rsidRPr="00007B68">
          <w:rPr>
            <w:rStyle w:val="AERbody"/>
            <w:sz w:val="16"/>
          </w:rPr>
          <w:t>www.aer.gov.au/node/19166</w:t>
        </w:r>
      </w:hyperlink>
      <w:r w:rsidRPr="00007B68">
        <w:t>.</w:t>
      </w:r>
      <w:r>
        <w:t xml:space="preserve"> </w:t>
      </w:r>
    </w:p>
  </w:footnote>
  <w:footnote w:id="44">
    <w:p w:rsidR="00CF23CB" w:rsidRDefault="00CF23CB" w:rsidP="004936A9">
      <w:pPr>
        <w:pStyle w:val="FootnoteText"/>
        <w:ind w:left="709" w:hanging="709"/>
      </w:pPr>
      <w:r>
        <w:rPr>
          <w:rStyle w:val="FootnoteReference"/>
        </w:rPr>
        <w:footnoteRef/>
      </w:r>
      <w:r>
        <w:t xml:space="preserve"> </w:t>
      </w:r>
      <w:r>
        <w:tab/>
        <w:t xml:space="preserve">AER, </w:t>
      </w:r>
      <w:r w:rsidRPr="009D1CE9">
        <w:rPr>
          <w:rStyle w:val="AERtextitalic"/>
        </w:rPr>
        <w:t>Overview of the Better Regulation reform package</w:t>
      </w:r>
      <w:r>
        <w:t>, April 2014, pp. 20</w:t>
      </w:r>
      <w:r>
        <w:rPr>
          <w:rFonts w:cs="Gautami"/>
        </w:rPr>
        <w:t>–</w:t>
      </w:r>
      <w:r>
        <w:t>21.</w:t>
      </w:r>
    </w:p>
  </w:footnote>
  <w:footnote w:id="45">
    <w:p w:rsidR="00CF23CB" w:rsidRDefault="00CF23CB" w:rsidP="00E50B45">
      <w:pPr>
        <w:pStyle w:val="FootnoteText"/>
      </w:pPr>
      <w:r>
        <w:rPr>
          <w:rStyle w:val="FootnoteReference"/>
        </w:rPr>
        <w:footnoteRef/>
      </w:r>
      <w:r>
        <w:t xml:space="preserve"> </w:t>
      </w:r>
      <w:r>
        <w:tab/>
        <w:t xml:space="preserve">See for example – AER, </w:t>
      </w:r>
      <w:r w:rsidRPr="009D1CE9">
        <w:rPr>
          <w:rStyle w:val="AERtextitalic"/>
        </w:rPr>
        <w:t>Rate of Return Guideline</w:t>
      </w:r>
      <w:r>
        <w:t>, December 2013 pp. 25 and 66.</w:t>
      </w:r>
    </w:p>
  </w:footnote>
  <w:footnote w:id="46">
    <w:p w:rsidR="00CF23CB" w:rsidRDefault="00CF23CB">
      <w:pPr>
        <w:pStyle w:val="FootnoteText"/>
      </w:pPr>
      <w:r>
        <w:rPr>
          <w:rStyle w:val="FootnoteReference"/>
        </w:rPr>
        <w:footnoteRef/>
      </w:r>
      <w:r>
        <w:t xml:space="preserve"> </w:t>
      </w:r>
      <w:r>
        <w:tab/>
      </w:r>
      <w:r w:rsidRPr="008038AA">
        <w:t xml:space="preserve"> http://www.aer.gov.au/networks-pipelines/guidelines-and-schemes</w:t>
      </w:r>
    </w:p>
  </w:footnote>
  <w:footnote w:id="47">
    <w:p w:rsidR="00CF23CB" w:rsidRDefault="00CF23CB" w:rsidP="003B0D45">
      <w:pPr>
        <w:pStyle w:val="FootnoteText"/>
      </w:pPr>
      <w:r>
        <w:rPr>
          <w:rStyle w:val="FootnoteReference"/>
        </w:rPr>
        <w:footnoteRef/>
      </w:r>
      <w:r>
        <w:t xml:space="preserve"> </w:t>
      </w:r>
      <w:r>
        <w:tab/>
        <w:t>NEL, s. 16(1)(b).</w:t>
      </w:r>
    </w:p>
  </w:footnote>
  <w:footnote w:id="48">
    <w:p w:rsidR="00CF23CB" w:rsidRDefault="00CF23CB" w:rsidP="003B0D45">
      <w:pPr>
        <w:pStyle w:val="FootnoteText"/>
      </w:pPr>
      <w:r>
        <w:rPr>
          <w:rStyle w:val="FootnoteReference"/>
        </w:rPr>
        <w:footnoteRef/>
      </w:r>
      <w:r>
        <w:t xml:space="preserve"> </w:t>
      </w:r>
      <w:r>
        <w:tab/>
      </w:r>
      <w:r w:rsidRPr="00293C2F">
        <w:t xml:space="preserve">AEMC, </w:t>
      </w:r>
      <w:hyperlink r:id="rId3" w:history="1">
        <w:r w:rsidRPr="001767F0">
          <w:rPr>
            <w:rStyle w:val="AERtextitalic"/>
          </w:rPr>
          <w:t>Rule Determination, National Electricity Amendment (Economic Regulation of Network Service Providers) Rule 2012 National Gas Amendment (Price and Revenue Regulation of Gas Services) Rule 2012</w:t>
        </w:r>
      </w:hyperlink>
      <w:r w:rsidRPr="00293C2F">
        <w:t>, 29 November 2012, p.</w:t>
      </w:r>
      <w:r>
        <w:t xml:space="preserve"> 111.</w:t>
      </w:r>
    </w:p>
  </w:footnote>
  <w:footnote w:id="49">
    <w:p w:rsidR="00CF23CB" w:rsidRDefault="00CF23CB" w:rsidP="00862C70">
      <w:pPr>
        <w:pStyle w:val="FootnoteText"/>
      </w:pPr>
      <w:r>
        <w:rPr>
          <w:rStyle w:val="FootnoteReference"/>
        </w:rPr>
        <w:footnoteRef/>
      </w:r>
      <w:r>
        <w:t xml:space="preserve"> </w:t>
      </w:r>
      <w:r>
        <w:tab/>
        <w:t xml:space="preserve">NER, cl.6A.11.3(b)-(b2) requires the AER publish an issues paper, however cl. 11.57.2(a) of the transition rules excludes these sections from this  determination. </w:t>
      </w:r>
    </w:p>
  </w:footnote>
  <w:footnote w:id="50">
    <w:p w:rsidR="00CF23CB" w:rsidRDefault="00CF23CB" w:rsidP="00862C70">
      <w:pPr>
        <w:pStyle w:val="FootnoteText"/>
      </w:pPr>
      <w:r>
        <w:rPr>
          <w:rStyle w:val="FootnoteReference"/>
        </w:rPr>
        <w:footnoteRef/>
      </w:r>
      <w:r>
        <w:t xml:space="preserve"> </w:t>
      </w:r>
      <w:r>
        <w:tab/>
        <w:t xml:space="preserve">AER, </w:t>
      </w:r>
      <w:r w:rsidRPr="006A270C">
        <w:rPr>
          <w:rStyle w:val="AERtextitalic"/>
        </w:rPr>
        <w:t xml:space="preserve">Issues paper </w:t>
      </w:r>
      <w:r>
        <w:rPr>
          <w:rStyle w:val="AERtextitalic"/>
        </w:rPr>
        <w:t>TransGrid, TasNetworks (Transend), TransGrid revenue proposals for the next regulatory control period</w:t>
      </w:r>
      <w:r>
        <w:t xml:space="preserve">, July 2014. A copy is available at </w:t>
      </w:r>
      <w:r w:rsidRPr="005335FF">
        <w:t>http://www.aer.gov.au/node/23143</w:t>
      </w:r>
      <w:r>
        <w:t>.</w:t>
      </w:r>
    </w:p>
  </w:footnote>
  <w:footnote w:id="51">
    <w:p w:rsidR="00CF23CB" w:rsidRDefault="00CF23CB" w:rsidP="004F7E2D">
      <w:pPr>
        <w:pStyle w:val="FootnoteText"/>
      </w:pPr>
      <w:r>
        <w:rPr>
          <w:rStyle w:val="FootnoteReference"/>
        </w:rPr>
        <w:footnoteRef/>
      </w:r>
      <w:r>
        <w:t xml:space="preserve"> </w:t>
      </w:r>
      <w:r>
        <w:tab/>
        <w:t>NEL, s. 16(c).</w:t>
      </w:r>
    </w:p>
  </w:footnote>
  <w:footnote w:id="52">
    <w:p w:rsidR="00CF23CB" w:rsidRDefault="00CF23CB" w:rsidP="004F7E2D">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53">
    <w:p w:rsidR="00CF23CB" w:rsidRDefault="00CF23CB" w:rsidP="009A47C1">
      <w:pPr>
        <w:pStyle w:val="FootnoteText"/>
      </w:pPr>
      <w:r>
        <w:rPr>
          <w:rStyle w:val="FootnoteReference"/>
        </w:rPr>
        <w:footnoteRef/>
      </w:r>
      <w:r>
        <w:t xml:space="preserve"> </w:t>
      </w:r>
      <w:r>
        <w:tab/>
        <w:t xml:space="preserve">Lehman Brothers filed for Chapter 11 bankruptcy protection on September 15, 2008. This is generally considered the date the GFC started. See </w:t>
      </w:r>
      <w:r w:rsidRPr="005C19C9">
        <w:t>http://dm.epiq11.com/LBH/Project</w:t>
      </w:r>
      <w:r>
        <w:t>.</w:t>
      </w:r>
    </w:p>
  </w:footnote>
  <w:footnote w:id="54">
    <w:p w:rsidR="00CF23CB" w:rsidRDefault="00CF23CB" w:rsidP="009A47C1">
      <w:pPr>
        <w:pStyle w:val="FootnoteText"/>
      </w:pPr>
      <w:r>
        <w:rPr>
          <w:rStyle w:val="FootnoteReference"/>
        </w:rPr>
        <w:footnoteRef/>
      </w:r>
      <w:r>
        <w:t xml:space="preserve"> </w:t>
      </w:r>
      <w:r>
        <w:tab/>
        <w:t>Referred to in the Expenditure Forecast Assessment Guideline as the 'base-step-trend' approach.</w:t>
      </w:r>
    </w:p>
  </w:footnote>
  <w:footnote w:id="55">
    <w:p w:rsidR="00CF23CB" w:rsidRDefault="00CF23CB" w:rsidP="001D7856">
      <w:pPr>
        <w:pStyle w:val="FootnoteText"/>
      </w:pPr>
      <w:r>
        <w:rPr>
          <w:rStyle w:val="FootnoteReference"/>
        </w:rPr>
        <w:footnoteRef/>
      </w:r>
      <w:r>
        <w:t xml:space="preserve"> </w:t>
      </w:r>
      <w:r>
        <w:tab/>
        <w:t>NEL, s. 16(1)(d).</w:t>
      </w:r>
    </w:p>
  </w:footnote>
  <w:footnote w:id="56">
    <w:p w:rsidR="00CF23CB" w:rsidRDefault="00CF23CB" w:rsidP="001D7856">
      <w:pPr>
        <w:pStyle w:val="FootnoteText"/>
      </w:pPr>
      <w:r>
        <w:rPr>
          <w:rStyle w:val="FootnoteReference"/>
        </w:rPr>
        <w:footnoteRef/>
      </w:r>
      <w:r>
        <w:t xml:space="preserve"> </w:t>
      </w:r>
      <w:r>
        <w:tab/>
        <w:t>NEL, s. 16(1)(d)</w:t>
      </w:r>
    </w:p>
  </w:footnote>
  <w:footnote w:id="57">
    <w:p w:rsidR="00CF23CB" w:rsidRDefault="00CF23CB" w:rsidP="001D7856">
      <w:pPr>
        <w:pStyle w:val="FootnoteText"/>
      </w:pPr>
      <w:r>
        <w:rPr>
          <w:rStyle w:val="FootnoteReference"/>
        </w:rPr>
        <w:footnoteRef/>
      </w:r>
      <w:r>
        <w:t xml:space="preserve"> </w:t>
      </w:r>
      <w:r>
        <w:tab/>
        <w:t>Hansard, SA House of Assembly, 26 September 2013 p. 7173.</w:t>
      </w:r>
    </w:p>
  </w:footnote>
  <w:footnote w:id="58">
    <w:p w:rsidR="00CF23CB" w:rsidRDefault="00CF23CB" w:rsidP="00F46402">
      <w:pPr>
        <w:pStyle w:val="FootnoteText"/>
      </w:pPr>
      <w:r>
        <w:rPr>
          <w:rStyle w:val="FootnoteReference"/>
        </w:rPr>
        <w:footnoteRef/>
      </w:r>
      <w:r>
        <w:t xml:space="preserve"> </w:t>
      </w:r>
      <w:r>
        <w:tab/>
        <w:t>NEL, s. 7A(2) and (6).</w:t>
      </w:r>
    </w:p>
  </w:footnote>
  <w:footnote w:id="59">
    <w:p w:rsidR="00CF23CB" w:rsidRDefault="00CF23CB">
      <w:pPr>
        <w:pStyle w:val="FootnoteText"/>
      </w:pPr>
      <w:r>
        <w:rPr>
          <w:rStyle w:val="FootnoteReference"/>
        </w:rPr>
        <w:footnoteRef/>
      </w:r>
      <w:r>
        <w:t xml:space="preserve"> </w:t>
      </w:r>
      <w:r>
        <w:tab/>
        <w:t>For the reasons set out throughout this decision, we do not consider TransGrid's proposal would contribute to the achievement of the NEO. Therefore, we do not need to address s. 16(1)(d) of the NEL. However, in any case, our reasoning demonstrates that we are also satisfied that our draft decision would contribute to the achievement of the NEO to a greater degree than TransGrid's proposal.</w:t>
      </w:r>
    </w:p>
  </w:footnote>
  <w:footnote w:id="60">
    <w:p w:rsidR="00CF23CB" w:rsidRDefault="00CF23CB">
      <w:pPr>
        <w:pStyle w:val="FootnoteText"/>
      </w:pPr>
      <w:r>
        <w:rPr>
          <w:rStyle w:val="FootnoteReference"/>
        </w:rPr>
        <w:footnoteRef/>
      </w:r>
      <w:r>
        <w:t xml:space="preserve"> </w:t>
      </w:r>
      <w:r>
        <w:tab/>
        <w:t>This amount excludes the placeholder revenue for the transitional 2014–15 year.</w:t>
      </w:r>
    </w:p>
  </w:footnote>
  <w:footnote w:id="61">
    <w:p w:rsidR="00CF23CB" w:rsidRDefault="00CF23CB">
      <w:pPr>
        <w:pStyle w:val="FootnoteText"/>
      </w:pPr>
      <w:r>
        <w:rPr>
          <w:rStyle w:val="FootnoteReference"/>
        </w:rPr>
        <w:footnoteRef/>
      </w:r>
      <w:r>
        <w:t xml:space="preserve"> </w:t>
      </w:r>
      <w:r>
        <w:tab/>
        <w:t xml:space="preserve">TransGrid's proposed revenue cap of $2942.6 million for the 2015–18 regulatory control period did not take account of the transitional placeholder revenue for 2014–15. The proposed total revenue cap for that period, after being adjusted to reflect the true-up for the placeholder revenue, is $3046.2 million. </w:t>
      </w:r>
    </w:p>
  </w:footnote>
  <w:footnote w:id="62">
    <w:p w:rsidR="00CF23CB" w:rsidRDefault="00CF23CB">
      <w:pPr>
        <w:pStyle w:val="FootnoteText"/>
      </w:pPr>
      <w:r>
        <w:rPr>
          <w:rStyle w:val="FootnoteReference"/>
        </w:rPr>
        <w:footnoteRef/>
      </w:r>
      <w:r>
        <w:t xml:space="preserve"> </w:t>
      </w:r>
      <w:r>
        <w:tab/>
        <w:t>TransGrid's allowed revenue for 2013–14 was $934 million. TransGrid implemented a self-imposed 'revenue freeze' in 2013–14, instead targeting $863 million. For Figure 7-2 we have adopted the full amount of $934 million for 2013–14.</w:t>
      </w:r>
    </w:p>
  </w:footnote>
  <w:footnote w:id="63">
    <w:p w:rsidR="00CF23CB" w:rsidRDefault="00CF23CB" w:rsidP="003542C9">
      <w:pPr>
        <w:pStyle w:val="FootnoteText"/>
      </w:pPr>
      <w:r>
        <w:rPr>
          <w:rStyle w:val="FootnoteReference"/>
        </w:rPr>
        <w:footnoteRef/>
      </w:r>
      <w:r>
        <w:t xml:space="preserve"> </w:t>
      </w:r>
      <w:r>
        <w:tab/>
        <w:t xml:space="preserve">TransGrid, </w:t>
      </w:r>
      <w:r w:rsidRPr="00CD3FF9">
        <w:rPr>
          <w:rStyle w:val="AERtextitalic"/>
        </w:rPr>
        <w:t>Revenue proposal</w:t>
      </w:r>
      <w:r>
        <w:t>, May 2014, p. 18.</w:t>
      </w:r>
    </w:p>
  </w:footnote>
  <w:footnote w:id="64">
    <w:p w:rsidR="00CF23CB" w:rsidRDefault="00CF23CB" w:rsidP="004D664D">
      <w:pPr>
        <w:pStyle w:val="FootnoteText"/>
      </w:pPr>
      <w:r>
        <w:rPr>
          <w:rStyle w:val="FootnoteReference"/>
        </w:rPr>
        <w:footnoteRef/>
      </w:r>
      <w:r>
        <w:t xml:space="preserve"> </w:t>
      </w:r>
      <w:r>
        <w:tab/>
        <w:t>More specifically, we sum the annual expected MAR for TransGrid and Directlink, and the annual expected revenues for Ausgrid and ActewAGL for their transmission assets (but not their distribution assets).</w:t>
      </w:r>
    </w:p>
  </w:footnote>
  <w:footnote w:id="65">
    <w:p w:rsidR="00CF23CB" w:rsidRDefault="00CF23CB" w:rsidP="006842D0">
      <w:pPr>
        <w:pStyle w:val="FootnoteText"/>
      </w:pPr>
      <w:r>
        <w:rPr>
          <w:rStyle w:val="FootnoteReference"/>
        </w:rPr>
        <w:footnoteRef/>
      </w:r>
      <w:r>
        <w:t xml:space="preserve"> </w:t>
      </w:r>
      <w:r>
        <w:tab/>
        <w:t>NER, cl. 6A.5.4.</w:t>
      </w:r>
    </w:p>
  </w:footnote>
  <w:footnote w:id="66">
    <w:p w:rsidR="00CF23CB" w:rsidRDefault="00CF23CB" w:rsidP="00C862D1">
      <w:pPr>
        <w:pStyle w:val="FootnoteText"/>
      </w:pPr>
      <w:r>
        <w:rPr>
          <w:rStyle w:val="FootnoteReference"/>
        </w:rPr>
        <w:footnoteRef/>
      </w:r>
      <w:r>
        <w:t xml:space="preserve"> </w:t>
      </w:r>
      <w:r>
        <w:tab/>
        <w:t>NER, cll. 6A.6.1 and schedule 6A.2.</w:t>
      </w:r>
    </w:p>
  </w:footnote>
  <w:footnote w:id="67">
    <w:p w:rsidR="00114245" w:rsidRPr="00EE7E12" w:rsidRDefault="00114245" w:rsidP="00114245">
      <w:pPr>
        <w:pStyle w:val="FootnoteText"/>
      </w:pPr>
      <w:r>
        <w:rPr>
          <w:rStyle w:val="FootnoteReference"/>
        </w:rPr>
        <w:footnoteRef/>
      </w:r>
      <w:r>
        <w:t xml:space="preserve"> </w:t>
      </w:r>
      <w:r>
        <w:tab/>
        <w:t xml:space="preserve">This RAB value is based on as-incurred capex. </w:t>
      </w:r>
      <w:r w:rsidRPr="006B2322">
        <w:rPr>
          <w:rStyle w:val="AERbody"/>
          <w:sz w:val="16"/>
        </w:rPr>
        <w:t>We note that TransGrid has revised its 2008</w:t>
      </w:r>
      <w:r w:rsidRPr="006B2322">
        <w:rPr>
          <w:rStyle w:val="AERbody"/>
          <w:rFonts w:hint="eastAsia"/>
          <w:sz w:val="16"/>
        </w:rPr>
        <w:t>–</w:t>
      </w:r>
      <w:r w:rsidRPr="006B2322">
        <w:rPr>
          <w:rStyle w:val="AERbody"/>
          <w:sz w:val="16"/>
        </w:rPr>
        <w:t>09 and 2010</w:t>
      </w:r>
      <w:r w:rsidRPr="00FC321D">
        <w:rPr>
          <w:rStyle w:val="AERbody"/>
          <w:rFonts w:hint="eastAsia"/>
          <w:sz w:val="16"/>
        </w:rPr>
        <w:t>–</w:t>
      </w:r>
      <w:r w:rsidRPr="00FC321D">
        <w:rPr>
          <w:rStyle w:val="AERbody"/>
          <w:sz w:val="16"/>
        </w:rPr>
        <w:t>11</w:t>
      </w:r>
      <w:r w:rsidRPr="006B2322">
        <w:rPr>
          <w:rStyle w:val="AERbody"/>
          <w:sz w:val="16"/>
        </w:rPr>
        <w:t xml:space="preserve"> actual capex (increased by $1.8 million and $1.0 million respectively) </w:t>
      </w:r>
      <w:r w:rsidRPr="00EE7E12">
        <w:t xml:space="preserve">due to refinement of the asset </w:t>
      </w:r>
      <w:r w:rsidRPr="004C47DA">
        <w:t>classifications</w:t>
      </w:r>
      <w:r w:rsidRPr="00A06F20">
        <w:t xml:space="preserve"> once projects are commissioned. </w:t>
      </w:r>
      <w:r w:rsidRPr="006B2322">
        <w:rPr>
          <w:rStyle w:val="AERbody"/>
          <w:sz w:val="16"/>
        </w:rPr>
        <w:t xml:space="preserve">These revisions are reflected in the </w:t>
      </w:r>
      <w:r w:rsidRPr="000D4609">
        <w:rPr>
          <w:rStyle w:val="AERbody"/>
          <w:sz w:val="16"/>
        </w:rPr>
        <w:t>proposed RFM.</w:t>
      </w:r>
      <w:r w:rsidRPr="006B2322">
        <w:rPr>
          <w:rStyle w:val="AERbody"/>
          <w:sz w:val="16"/>
        </w:rPr>
        <w:t xml:space="preserve"> TransGrid</w:t>
      </w:r>
      <w:r w:rsidRPr="00CF2E83">
        <w:rPr>
          <w:rStyle w:val="AERbody"/>
          <w:sz w:val="16"/>
        </w:rPr>
        <w:t xml:space="preserve"> stated that these revisions will be shown in its 2013</w:t>
      </w:r>
      <w:r w:rsidRPr="00CF2E83">
        <w:rPr>
          <w:rStyle w:val="AERbody"/>
          <w:rFonts w:hint="eastAsia"/>
          <w:sz w:val="16"/>
        </w:rPr>
        <w:t>–</w:t>
      </w:r>
      <w:r w:rsidRPr="00F863E8">
        <w:rPr>
          <w:rStyle w:val="AERbody"/>
          <w:sz w:val="16"/>
        </w:rPr>
        <w:t>14 regulatory accounts to be submitted to the AE</w:t>
      </w:r>
      <w:r w:rsidRPr="006B2322">
        <w:rPr>
          <w:rStyle w:val="AERbody"/>
          <w:sz w:val="16"/>
        </w:rPr>
        <w:t>R</w:t>
      </w:r>
      <w:r w:rsidRPr="00CF2E83">
        <w:rPr>
          <w:rStyle w:val="AERbody"/>
          <w:sz w:val="16"/>
        </w:rPr>
        <w:t xml:space="preserve"> later this year</w:t>
      </w:r>
      <w:r w:rsidRPr="006B2322">
        <w:rPr>
          <w:rStyle w:val="AERbody"/>
          <w:sz w:val="16"/>
        </w:rPr>
        <w:t>.</w:t>
      </w:r>
    </w:p>
  </w:footnote>
  <w:footnote w:id="68">
    <w:p w:rsidR="00CF23CB" w:rsidRDefault="00CF23CB" w:rsidP="00C45EFC">
      <w:pPr>
        <w:pStyle w:val="FootnoteText"/>
      </w:pPr>
      <w:r>
        <w:rPr>
          <w:rStyle w:val="FootnoteReference"/>
        </w:rPr>
        <w:footnoteRef/>
      </w:r>
      <w:r>
        <w:t xml:space="preserve"> </w:t>
      </w:r>
      <w:r>
        <w:tab/>
        <w:t>NER, cl.6A.6.2(a).</w:t>
      </w:r>
    </w:p>
  </w:footnote>
  <w:footnote w:id="69">
    <w:p w:rsidR="00CF23CB" w:rsidRDefault="00CF23CB">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70">
    <w:p w:rsidR="00CF23CB" w:rsidRDefault="00CF23CB" w:rsidP="00C45EFC">
      <w:pPr>
        <w:pStyle w:val="FootnoteText"/>
      </w:pPr>
      <w:r>
        <w:rPr>
          <w:rStyle w:val="FootnoteReference"/>
        </w:rPr>
        <w:footnoteRef/>
      </w:r>
      <w:r>
        <w:t xml:space="preserve"> </w:t>
      </w:r>
      <w:r>
        <w:tab/>
        <w:t>NER, cl.6A.6.2(b).</w:t>
      </w:r>
    </w:p>
  </w:footnote>
  <w:footnote w:id="71">
    <w:p w:rsidR="00CF23CB" w:rsidRDefault="00CF23CB" w:rsidP="00C45EFC">
      <w:pPr>
        <w:pStyle w:val="FootnoteText"/>
      </w:pPr>
      <w:r>
        <w:rPr>
          <w:rStyle w:val="FootnoteReference"/>
        </w:rPr>
        <w:footnoteRef/>
      </w:r>
      <w:r>
        <w:t xml:space="preserve"> </w:t>
      </w:r>
      <w:r>
        <w:tab/>
        <w:t>NER, cl.6A.6.2(i)(2).</w:t>
      </w:r>
    </w:p>
  </w:footnote>
  <w:footnote w:id="72">
    <w:p w:rsidR="00CF23CB" w:rsidRDefault="00CF23CB" w:rsidP="00C45EFC">
      <w:pPr>
        <w:pStyle w:val="FootnoteText"/>
      </w:pPr>
      <w:r>
        <w:rPr>
          <w:rStyle w:val="FootnoteReference"/>
        </w:rPr>
        <w:footnoteRef/>
      </w:r>
      <w:r>
        <w:t xml:space="preserve"> </w:t>
      </w:r>
      <w:r>
        <w:tab/>
        <w:t>NER, cl.6A.6.2(b).</w:t>
      </w:r>
    </w:p>
  </w:footnote>
  <w:footnote w:id="73">
    <w:p w:rsidR="00CF23CB" w:rsidRDefault="00CF23CB" w:rsidP="00C45EFC">
      <w:pPr>
        <w:pStyle w:val="FootnoteText"/>
      </w:pPr>
      <w:r>
        <w:rPr>
          <w:rStyle w:val="FootnoteReference"/>
        </w:rPr>
        <w:footnoteRef/>
      </w:r>
      <w:r>
        <w:t xml:space="preserve"> </w:t>
      </w:r>
      <w:r>
        <w:tab/>
      </w:r>
      <w:r w:rsidRPr="00BB36FA">
        <w:t xml:space="preserve">AEMC, </w:t>
      </w:r>
      <w:r w:rsidRPr="00AC2563">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74">
    <w:p w:rsidR="00CF23CB" w:rsidRDefault="00CF23CB" w:rsidP="00C45EFC">
      <w:pPr>
        <w:pStyle w:val="FootnoteText"/>
      </w:pPr>
      <w:r>
        <w:rPr>
          <w:rStyle w:val="FootnoteReference"/>
        </w:rPr>
        <w:footnoteRef/>
      </w:r>
      <w:r>
        <w:t xml:space="preserve"> </w:t>
      </w:r>
      <w:r>
        <w:tab/>
      </w:r>
      <w:r w:rsidRPr="00835CE1">
        <w:t>NER, cl.6A.6.2(m).</w:t>
      </w:r>
    </w:p>
  </w:footnote>
  <w:footnote w:id="75">
    <w:p w:rsidR="00CF23CB" w:rsidRDefault="00CF23CB" w:rsidP="00C45EFC">
      <w:pPr>
        <w:pStyle w:val="FootnoteText"/>
      </w:pPr>
      <w:r>
        <w:rPr>
          <w:rStyle w:val="FootnoteReference"/>
        </w:rPr>
        <w:footnoteRef/>
      </w:r>
      <w:r>
        <w:t xml:space="preserve"> </w:t>
      </w:r>
      <w:r w:rsidRPr="003C6491">
        <w:tab/>
      </w:r>
      <w:hyperlink r:id="rId4" w:history="1">
        <w:r w:rsidRPr="003C6491">
          <w:rPr>
            <w:rStyle w:val="Hyperlink"/>
            <w:color w:val="auto"/>
            <w:u w:val="none"/>
          </w:rPr>
          <w:t>www.aer.gov.au/node/18859</w:t>
        </w:r>
      </w:hyperlink>
    </w:p>
  </w:footnote>
  <w:footnote w:id="76">
    <w:p w:rsidR="00CF23CB" w:rsidRDefault="00CF23CB" w:rsidP="00C45EFC">
      <w:pPr>
        <w:pStyle w:val="FootnoteText"/>
      </w:pPr>
      <w:r>
        <w:rPr>
          <w:rStyle w:val="FootnoteReference"/>
        </w:rPr>
        <w:footnoteRef/>
      </w:r>
      <w:r>
        <w:t xml:space="preserve"> </w:t>
      </w:r>
      <w:r>
        <w:tab/>
        <w:t xml:space="preserve">ENA, </w:t>
      </w:r>
      <w:r w:rsidRPr="00E67A17">
        <w:rPr>
          <w:rStyle w:val="AERtextitalic"/>
        </w:rPr>
        <w:t xml:space="preserve">Response to the </w:t>
      </w:r>
      <w:r>
        <w:rPr>
          <w:rStyle w:val="AERtextitalic"/>
        </w:rPr>
        <w:t>d</w:t>
      </w:r>
      <w:r w:rsidRPr="00E67A17">
        <w:rPr>
          <w:rStyle w:val="AERtextitalic"/>
        </w:rPr>
        <w:t xml:space="preserve">raft </w:t>
      </w:r>
      <w:r>
        <w:rPr>
          <w:rStyle w:val="AERtextitalic"/>
        </w:rPr>
        <w:t>r</w:t>
      </w:r>
      <w:r w:rsidRPr="00E67A17">
        <w:rPr>
          <w:rStyle w:val="AERtextitalic"/>
        </w:rPr>
        <w:t xml:space="preserve">ate of </w:t>
      </w:r>
      <w:r>
        <w:rPr>
          <w:rStyle w:val="AERtextitalic"/>
        </w:rPr>
        <w:t>r</w:t>
      </w:r>
      <w:r w:rsidRPr="00E67A17">
        <w:rPr>
          <w:rStyle w:val="AERtextitalic"/>
        </w:rPr>
        <w:t xml:space="preserve">eturn </w:t>
      </w:r>
      <w:r>
        <w:rPr>
          <w:rStyle w:val="AERtextitalic"/>
        </w:rPr>
        <w:t>guideline</w:t>
      </w:r>
      <w:r w:rsidRPr="00E67A17">
        <w:rPr>
          <w:rStyle w:val="AERtextitalic"/>
        </w:rPr>
        <w:t xml:space="preserve"> of the AER</w:t>
      </w:r>
      <w:r>
        <w:t xml:space="preserve">, 11 October 2013, p.1, </w:t>
      </w:r>
      <w:r w:rsidRPr="00746651">
        <w:t xml:space="preserve">AER, </w:t>
      </w:r>
      <w:r w:rsidRPr="00746651">
        <w:rPr>
          <w:rStyle w:val="AERtextitalic"/>
        </w:rPr>
        <w:t xml:space="preserve">Explanatory statement </w:t>
      </w:r>
      <w:r>
        <w:rPr>
          <w:rStyle w:val="AERtextitalic"/>
        </w:rPr>
        <w:t xml:space="preserve">to the </w:t>
      </w:r>
      <w:r w:rsidRPr="00746651">
        <w:rPr>
          <w:rStyle w:val="AERtextitalic"/>
        </w:rPr>
        <w:t xml:space="preserve">rate of return </w:t>
      </w:r>
      <w:r>
        <w:rPr>
          <w:rStyle w:val="AERtextitalic"/>
        </w:rPr>
        <w:t>guideline (a</w:t>
      </w:r>
      <w:r w:rsidRPr="00746651">
        <w:rPr>
          <w:rStyle w:val="AERtextitalic"/>
        </w:rPr>
        <w:t>ppendices</w:t>
      </w:r>
      <w:r>
        <w:rPr>
          <w:rStyle w:val="AERtextitalic"/>
        </w:rPr>
        <w:t>)</w:t>
      </w:r>
      <w:r w:rsidRPr="00746651">
        <w:t xml:space="preserve">, December 2013, </w:t>
      </w:r>
      <w:r>
        <w:t xml:space="preserve">Appendix I, </w:t>
      </w:r>
      <w:r w:rsidRPr="00746651">
        <w:t>Table I.4, pp.185–186.</w:t>
      </w:r>
    </w:p>
  </w:footnote>
  <w:footnote w:id="77">
    <w:p w:rsidR="00CF23CB" w:rsidRDefault="00CF23CB" w:rsidP="00C45EFC">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p.13; John Handley, </w:t>
      </w:r>
      <w:r w:rsidRPr="00450C4F">
        <w:rPr>
          <w:rStyle w:val="AERtextitalic"/>
        </w:rPr>
        <w:t>Advice on return on equity</w:t>
      </w:r>
      <w:r>
        <w:rPr>
          <w:rStyle w:val="AERtextitalic"/>
        </w:rPr>
        <w:t>:</w:t>
      </w:r>
      <w:r w:rsidRPr="00450C4F">
        <w:rPr>
          <w:rStyle w:val="AERtextitalic"/>
        </w:rPr>
        <w:t xml:space="preserve"> Report prepared for the AER</w:t>
      </w:r>
      <w:r>
        <w:t>, October 2014, p.3.</w:t>
      </w:r>
    </w:p>
  </w:footnote>
  <w:footnote w:id="78">
    <w:p w:rsidR="00CF23CB" w:rsidRDefault="00CF23CB" w:rsidP="00C45EFC">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79">
    <w:p w:rsidR="00CF23CB" w:rsidRDefault="00CF23CB" w:rsidP="00C45EFC">
      <w:pPr>
        <w:pStyle w:val="FootnoteText"/>
      </w:pPr>
      <w:r>
        <w:rPr>
          <w:rStyle w:val="FootnoteReference"/>
        </w:rPr>
        <w:footnoteRef/>
      </w:r>
      <w:r>
        <w:t xml:space="preserve"> </w:t>
      </w:r>
      <w:r>
        <w:tab/>
        <w:t xml:space="preserve">To calculate this, we use the RBA’s published yields on 10 year BBB non-financial corporate bonds, specifically, the spread to CGS yields (as at 30 September). </w:t>
      </w:r>
      <w:r w:rsidRPr="00E4786A">
        <w:t>These are not reflective of our draft decision return on debt estimate which is calculated as an average of the RBA and Bloomberg (BVAL) data series. We have also made an extrapolation adjustment to the RBA data series.</w:t>
      </w:r>
    </w:p>
  </w:footnote>
  <w:footnote w:id="80">
    <w:p w:rsidR="00CF23CB" w:rsidRDefault="00CF23CB" w:rsidP="00C45EFC">
      <w:pPr>
        <w:pStyle w:val="FootnoteText"/>
      </w:pPr>
      <w:r>
        <w:rPr>
          <w:rStyle w:val="FootnoteReference"/>
        </w:rPr>
        <w:footnoteRef/>
      </w:r>
      <w:r>
        <w:t xml:space="preserve"> </w:t>
      </w:r>
      <w:r>
        <w:tab/>
        <w:t>NER, cl.6A.6.2(j).</w:t>
      </w:r>
    </w:p>
  </w:footnote>
  <w:footnote w:id="81">
    <w:p w:rsidR="00CF23CB" w:rsidRDefault="00CF23CB" w:rsidP="00C45EFC">
      <w:pPr>
        <w:pStyle w:val="FootnoteText"/>
      </w:pPr>
      <w:r>
        <w:rPr>
          <w:rStyle w:val="FootnoteReference"/>
        </w:rPr>
        <w:footnoteRef/>
      </w:r>
      <w:r>
        <w:t xml:space="preserve"> </w:t>
      </w:r>
      <w:r>
        <w:tab/>
        <w:t>NER, cl.6A.6.2(h).</w:t>
      </w:r>
    </w:p>
  </w:footnote>
  <w:footnote w:id="82">
    <w:p w:rsidR="00CF23CB" w:rsidRDefault="00CF23CB" w:rsidP="00C45EFC">
      <w:pPr>
        <w:pStyle w:val="FootnoteText"/>
      </w:pPr>
      <w:r>
        <w:rPr>
          <w:rStyle w:val="FootnoteReference"/>
        </w:rPr>
        <w:footnoteRef/>
      </w:r>
      <w:r>
        <w:t xml:space="preserve"> </w:t>
      </w:r>
      <w:r>
        <w:tab/>
      </w:r>
      <w:r w:rsidRPr="002A3876">
        <w:t xml:space="preserve">Ausgrid, </w:t>
      </w:r>
      <w:r w:rsidRPr="005623BD">
        <w:rPr>
          <w:rStyle w:val="AERtextitalic"/>
        </w:rPr>
        <w:t>Regulatory proposal</w:t>
      </w:r>
      <w:r w:rsidRPr="002A3876">
        <w:t>, May 2014</w:t>
      </w:r>
      <w:r>
        <w:t>, pp. 70</w:t>
      </w:r>
      <w:r>
        <w:rPr>
          <w:rFonts w:cs="Gautami"/>
        </w:rPr>
        <w:t>–</w:t>
      </w:r>
      <w:r>
        <w:t>71</w:t>
      </w:r>
      <w:r w:rsidRPr="002A3876">
        <w:t xml:space="preserve">; Endeavour Energy, </w:t>
      </w:r>
      <w:r w:rsidRPr="005623BD">
        <w:rPr>
          <w:rStyle w:val="AERtextitalic"/>
        </w:rPr>
        <w:t>Regulatory proposal</w:t>
      </w:r>
      <w:r w:rsidRPr="002A3876">
        <w:t>, May 2014</w:t>
      </w:r>
      <w:r>
        <w:t>, pp. 104</w:t>
      </w:r>
      <w:r>
        <w:rPr>
          <w:rFonts w:cs="Gautami"/>
        </w:rPr>
        <w:t>–</w:t>
      </w:r>
      <w:r>
        <w:t>105</w:t>
      </w:r>
      <w:r w:rsidRPr="002A3876">
        <w:t xml:space="preserve">, Essential Energy, </w:t>
      </w:r>
      <w:r w:rsidRPr="005623BD">
        <w:rPr>
          <w:rStyle w:val="AERtextitalic"/>
        </w:rPr>
        <w:t>Regulatory proposal</w:t>
      </w:r>
      <w:r w:rsidRPr="002A3876">
        <w:t>, May 2014</w:t>
      </w:r>
      <w:r>
        <w:t>, pp. 90</w:t>
      </w:r>
      <w:r>
        <w:rPr>
          <w:rFonts w:cs="Gautami"/>
        </w:rPr>
        <w:t>–</w:t>
      </w:r>
      <w:r>
        <w:t xml:space="preserve">92; </w:t>
      </w:r>
      <w:r w:rsidRPr="002A3876">
        <w:t xml:space="preserve">ActewAGL, </w:t>
      </w:r>
      <w:r w:rsidRPr="005623BD">
        <w:rPr>
          <w:rStyle w:val="AERtextitalic"/>
        </w:rPr>
        <w:t>Regulatory proposal</w:t>
      </w:r>
      <w:r w:rsidRPr="002A3876">
        <w:t>, 2 June 2014 (resubmitted 10 July 2014)</w:t>
      </w:r>
      <w:r>
        <w:t xml:space="preserve">, p. 255; </w:t>
      </w:r>
      <w:r w:rsidRPr="005623BD">
        <w:t xml:space="preserve">JGN, </w:t>
      </w:r>
      <w:r w:rsidRPr="005623BD">
        <w:rPr>
          <w:rStyle w:val="AERtextitalic"/>
        </w:rPr>
        <w:t>Access arrangement information</w:t>
      </w:r>
      <w:r w:rsidRPr="005623BD">
        <w:t xml:space="preserve">, </w:t>
      </w:r>
      <w:r>
        <w:t xml:space="preserve">30 </w:t>
      </w:r>
      <w:r w:rsidRPr="005623BD">
        <w:t>June 2014</w:t>
      </w:r>
      <w:r>
        <w:t>, p. 9.</w:t>
      </w:r>
    </w:p>
  </w:footnote>
  <w:footnote w:id="83">
    <w:p w:rsidR="00CF23CB" w:rsidRDefault="00CF23CB" w:rsidP="00C45EFC">
      <w:pPr>
        <w:pStyle w:val="FootnoteText"/>
      </w:pPr>
      <w:r>
        <w:rPr>
          <w:rStyle w:val="FootnoteReference"/>
        </w:rPr>
        <w:footnoteRef/>
      </w:r>
      <w:r>
        <w:t xml:space="preserve"> </w:t>
      </w:r>
      <w:r>
        <w:tab/>
        <w:t>NER cl.</w:t>
      </w:r>
      <w:r w:rsidRPr="00D40C0A">
        <w:t>6A.6.2(l)</w:t>
      </w:r>
      <w:r>
        <w:t>.</w:t>
      </w:r>
    </w:p>
  </w:footnote>
  <w:footnote w:id="84">
    <w:p w:rsidR="00CF23CB" w:rsidRDefault="00CF23CB" w:rsidP="00A054D0">
      <w:pPr>
        <w:pStyle w:val="FootnoteText"/>
      </w:pPr>
      <w:r>
        <w:rPr>
          <w:rStyle w:val="FootnoteReference"/>
        </w:rPr>
        <w:footnoteRef/>
      </w:r>
      <w:r>
        <w:t xml:space="preserve"> </w:t>
      </w:r>
      <w:r>
        <w:tab/>
      </w:r>
      <w:r w:rsidRPr="00890E69">
        <w:rPr>
          <w:rStyle w:val="AERtextitalic"/>
        </w:rPr>
        <w:t>Income Tax Assessment Act 1997</w:t>
      </w:r>
      <w:r>
        <w:t>, parts 3–6.</w:t>
      </w:r>
    </w:p>
  </w:footnote>
  <w:footnote w:id="85">
    <w:p w:rsidR="00CF23CB" w:rsidRDefault="00CF23CB" w:rsidP="00A054D0">
      <w:pPr>
        <w:pStyle w:val="FootnoteText"/>
      </w:pPr>
      <w:r>
        <w:rPr>
          <w:rStyle w:val="FootnoteReference"/>
        </w:rPr>
        <w:footnoteRef/>
      </w:r>
      <w:r>
        <w:t xml:space="preserve"> </w:t>
      </w:r>
      <w:r>
        <w:tab/>
        <w:t>NER, cll. 6.4.3(a)(4), 6.4.3(b)(4), 6.5.3, 6A.5.4(a)(4), 6A.5.4(b)(4) and 6A.6.4; NGR, rr. 76(c) and 87A.</w:t>
      </w:r>
    </w:p>
  </w:footnote>
  <w:footnote w:id="86">
    <w:p w:rsidR="00CF23CB" w:rsidRDefault="00CF23CB" w:rsidP="00A054D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w:t>
      </w:r>
      <w:r w:rsidRPr="00582678">
        <w:t xml:space="preserve">M. Lally, </w:t>
      </w:r>
      <w:r w:rsidRPr="00582678">
        <w:rPr>
          <w:rStyle w:val="AERtextitalic"/>
        </w:rPr>
        <w:t>The estimation of gamma</w:t>
      </w:r>
      <w:r w:rsidRPr="00582678">
        <w:t>, 23 November 2013</w:t>
      </w:r>
      <w:r>
        <w:t>, p. 4</w:t>
      </w:r>
      <w:r w:rsidRPr="00582678">
        <w:t>.</w:t>
      </w:r>
    </w:p>
  </w:footnote>
  <w:footnote w:id="87">
    <w:p w:rsidR="00CF23CB" w:rsidRDefault="00CF23CB" w:rsidP="00A054D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p.31</w:t>
      </w:r>
      <w:r w:rsidRPr="00874F27">
        <w:t>.</w:t>
      </w:r>
    </w:p>
  </w:footnote>
  <w:footnote w:id="88">
    <w:p w:rsidR="00CF23CB" w:rsidRDefault="00CF23CB" w:rsidP="00A054D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9">
    <w:p w:rsidR="00CF23CB" w:rsidRDefault="00CF23CB" w:rsidP="00A054D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w:t>
      </w:r>
      <w:r w:rsidRPr="00874F27">
        <w:t>.</w:t>
      </w:r>
    </w:p>
  </w:footnote>
  <w:footnote w:id="90">
    <w:p w:rsidR="00CF23CB" w:rsidRDefault="00CF23CB" w:rsidP="00A054D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p.32</w:t>
      </w:r>
      <w:r w:rsidRPr="00874F27">
        <w:t>.</w:t>
      </w:r>
    </w:p>
  </w:footnote>
  <w:footnote w:id="91">
    <w:p w:rsidR="00CF23CB" w:rsidRDefault="00CF23CB" w:rsidP="00C862D1">
      <w:pPr>
        <w:pStyle w:val="FootnoteText"/>
      </w:pPr>
      <w:r>
        <w:rPr>
          <w:rStyle w:val="FootnoteReference"/>
        </w:rPr>
        <w:footnoteRef/>
      </w:r>
      <w:r>
        <w:t xml:space="preserve"> </w:t>
      </w:r>
      <w:r>
        <w:tab/>
        <w:t>NER, 6A.6.3(b)</w:t>
      </w:r>
    </w:p>
  </w:footnote>
  <w:footnote w:id="92">
    <w:p w:rsidR="00CF23CB" w:rsidRDefault="00CF23CB" w:rsidP="00C862D1">
      <w:pPr>
        <w:pStyle w:val="FootnoteText"/>
      </w:pPr>
      <w:r>
        <w:rPr>
          <w:rStyle w:val="FootnoteReference"/>
        </w:rPr>
        <w:footnoteRef/>
      </w:r>
      <w:r>
        <w:t xml:space="preserve"> </w:t>
      </w:r>
      <w:r>
        <w:tab/>
        <w:t>NER, cl. 6A.6.3(b).</w:t>
      </w:r>
    </w:p>
  </w:footnote>
  <w:footnote w:id="93">
    <w:p w:rsidR="00CF23CB" w:rsidRDefault="00CF23CB" w:rsidP="00B96485">
      <w:pPr>
        <w:pStyle w:val="FootnoteText"/>
      </w:pPr>
      <w:r>
        <w:rPr>
          <w:rStyle w:val="FootnoteReference"/>
        </w:rPr>
        <w:footnoteRef/>
      </w:r>
      <w:r>
        <w:t xml:space="preserve"> </w:t>
      </w:r>
      <w:r>
        <w:tab/>
        <w:t>NER, cl. 6A.6.3(b).</w:t>
      </w:r>
    </w:p>
  </w:footnote>
  <w:footnote w:id="94">
    <w:p w:rsidR="00CF23CB" w:rsidRDefault="00CF23CB" w:rsidP="000E05AF">
      <w:pPr>
        <w:pStyle w:val="FootnoteText"/>
      </w:pPr>
      <w:r>
        <w:rPr>
          <w:rStyle w:val="FootnoteReference"/>
        </w:rPr>
        <w:footnoteRef/>
      </w:r>
      <w:r>
        <w:t xml:space="preserve"> </w:t>
      </w:r>
      <w:r>
        <w:tab/>
        <w:t xml:space="preserve">TransGrid, </w:t>
      </w:r>
      <w:r w:rsidRPr="00C6686B">
        <w:rPr>
          <w:rStyle w:val="AERtextitalic"/>
        </w:rPr>
        <w:t>Regulatory proposal</w:t>
      </w:r>
      <w:r>
        <w:t>, 31 May 2014, p. 66.</w:t>
      </w:r>
    </w:p>
  </w:footnote>
  <w:footnote w:id="95">
    <w:p w:rsidR="00CF23CB" w:rsidRDefault="00CF23CB" w:rsidP="000E05AF">
      <w:pPr>
        <w:pStyle w:val="FootnoteText"/>
      </w:pPr>
      <w:r>
        <w:rPr>
          <w:rStyle w:val="FootnoteReference"/>
        </w:rPr>
        <w:footnoteRef/>
      </w:r>
      <w:r>
        <w:t xml:space="preserve"> </w:t>
      </w:r>
      <w:r>
        <w:tab/>
        <w:t>NER, cl. 6A.14.1(2)(ii).</w:t>
      </w:r>
    </w:p>
  </w:footnote>
  <w:footnote w:id="96">
    <w:p w:rsidR="00CF23CB" w:rsidRDefault="00CF23CB" w:rsidP="000E05AF">
      <w:pPr>
        <w:pStyle w:val="FootnoteText"/>
      </w:pPr>
      <w:r>
        <w:rPr>
          <w:rStyle w:val="FootnoteReference"/>
        </w:rPr>
        <w:footnoteRef/>
      </w:r>
      <w:r>
        <w:t xml:space="preserve"> </w:t>
      </w:r>
      <w:r>
        <w:tab/>
        <w:t xml:space="preserve">TransGrid, </w:t>
      </w:r>
      <w:r w:rsidRPr="00D76A2F">
        <w:rPr>
          <w:rStyle w:val="AERtextitalic"/>
        </w:rPr>
        <w:t>Capex accumulation model v3.10</w:t>
      </w:r>
      <w:r>
        <w:t>, May 2014.</w:t>
      </w:r>
    </w:p>
  </w:footnote>
  <w:footnote w:id="97">
    <w:p w:rsidR="00CF23CB" w:rsidRDefault="00CF23CB" w:rsidP="000E05AF">
      <w:pPr>
        <w:pStyle w:val="FootnoteText"/>
      </w:pPr>
      <w:r>
        <w:rPr>
          <w:rStyle w:val="FootnoteReference"/>
        </w:rPr>
        <w:footnoteRef/>
      </w:r>
      <w:r>
        <w:t xml:space="preserve"> </w:t>
      </w:r>
      <w:r>
        <w:tab/>
        <w:t>NER, cl. 6A.14.1(2)(ii).</w:t>
      </w:r>
    </w:p>
  </w:footnote>
  <w:footnote w:id="98">
    <w:p w:rsidR="00CF23CB" w:rsidRDefault="00CF23CB" w:rsidP="000E05AF">
      <w:pPr>
        <w:pStyle w:val="FootnoteText"/>
      </w:pPr>
      <w:r>
        <w:rPr>
          <w:rStyle w:val="FootnoteReference"/>
        </w:rPr>
        <w:footnoteRef/>
      </w:r>
      <w:r>
        <w:t xml:space="preserve"> </w:t>
      </w:r>
      <w:r>
        <w:tab/>
        <w:t xml:space="preserve">NER, cl. 6A.8.1(c)(5)(i). </w:t>
      </w:r>
    </w:p>
  </w:footnote>
  <w:footnote w:id="99">
    <w:p w:rsidR="00CF23CB" w:rsidRDefault="00CF23CB" w:rsidP="0046320A">
      <w:pPr>
        <w:pStyle w:val="FootnoteText"/>
      </w:pPr>
      <w:r>
        <w:rPr>
          <w:rStyle w:val="FootnoteReference"/>
        </w:rPr>
        <w:footnoteRef/>
      </w:r>
      <w:r>
        <w:t xml:space="preserve"> </w:t>
      </w:r>
      <w:r>
        <w:tab/>
        <w:t>NER, cl. 6A.6.6(c).</w:t>
      </w:r>
    </w:p>
  </w:footnote>
  <w:footnote w:id="100">
    <w:p w:rsidR="00CF23CB" w:rsidRDefault="00CF23CB" w:rsidP="0046782F">
      <w:pPr>
        <w:pStyle w:val="FootnoteText"/>
      </w:pPr>
      <w:r>
        <w:rPr>
          <w:rStyle w:val="FootnoteReference"/>
        </w:rPr>
        <w:footnoteRef/>
      </w:r>
      <w:r>
        <w:t xml:space="preserve"> </w:t>
      </w:r>
      <w:r>
        <w:tab/>
        <w:t>We have previously referred to this forecasting approach as the 'base-step-trend' approach or the revealed cost approach.</w:t>
      </w:r>
    </w:p>
  </w:footnote>
  <w:footnote w:id="101">
    <w:p w:rsidR="00CF23CB" w:rsidRDefault="00CF23CB">
      <w:pPr>
        <w:pStyle w:val="FootnoteText"/>
      </w:pPr>
      <w:r>
        <w:rPr>
          <w:rStyle w:val="FootnoteReference"/>
        </w:rPr>
        <w:footnoteRef/>
      </w:r>
      <w:r>
        <w:t xml:space="preserve"> </w:t>
      </w:r>
      <w:r>
        <w:tab/>
        <w:t xml:space="preserve">This involves different forecasting methods being applied to different categories or components of opex and can have the effect of upwardly biasing the total forecast of opex. </w:t>
      </w:r>
    </w:p>
  </w:footnote>
  <w:footnote w:id="102">
    <w:p w:rsidR="00CF23CB" w:rsidRDefault="00CF23CB" w:rsidP="00250BBD">
      <w:pPr>
        <w:pStyle w:val="FootnoteText"/>
      </w:pPr>
      <w:r>
        <w:rPr>
          <w:rStyle w:val="FootnoteReference"/>
        </w:rPr>
        <w:footnoteRef/>
      </w:r>
      <w:r>
        <w:t xml:space="preserve"> </w:t>
      </w:r>
      <w:r>
        <w:tab/>
        <w:t>Whole-of-business benchmarking for transmission is in its infancy so we cannot confidently measure the relative efficiency of TransGrid's opex.</w:t>
      </w:r>
    </w:p>
  </w:footnote>
  <w:footnote w:id="103">
    <w:p w:rsidR="00CF23CB" w:rsidRDefault="00CF23CB" w:rsidP="00D05F9A">
      <w:pPr>
        <w:pStyle w:val="FootnoteText"/>
      </w:pPr>
      <w:r>
        <w:rPr>
          <w:rStyle w:val="FootnoteReference"/>
        </w:rPr>
        <w:footnoteRef/>
      </w:r>
      <w:r>
        <w:t xml:space="preserve"> </w:t>
      </w:r>
      <w:r>
        <w:tab/>
        <w:t xml:space="preserve">TransGrid, </w:t>
      </w:r>
      <w:r w:rsidRPr="0047330E">
        <w:rPr>
          <w:rStyle w:val="AERtextitalic"/>
        </w:rPr>
        <w:t>Sydney inner metropolitan forecasts - adjustments to revenue proposal in light of Ausgrid updated forecasts</w:t>
      </w:r>
      <w:r>
        <w:t>, 14 October 2014.</w:t>
      </w:r>
    </w:p>
  </w:footnote>
  <w:footnote w:id="104">
    <w:p w:rsidR="00CF23CB" w:rsidRDefault="00CF23CB" w:rsidP="00DF0F03">
      <w:pPr>
        <w:pStyle w:val="FootnoteText"/>
      </w:pPr>
      <w:r>
        <w:rPr>
          <w:rStyle w:val="FootnoteReference"/>
        </w:rPr>
        <w:footnoteRef/>
      </w:r>
      <w:r>
        <w:t xml:space="preserve"> </w:t>
      </w:r>
      <w:r>
        <w:tab/>
        <w:t>NER, cl. 6A.6.4.</w:t>
      </w:r>
    </w:p>
  </w:footnote>
  <w:footnote w:id="105">
    <w:p w:rsidR="00CF23CB" w:rsidRDefault="00CF23CB" w:rsidP="000071FE">
      <w:pPr>
        <w:pStyle w:val="FootnoteText"/>
      </w:pPr>
      <w:r>
        <w:rPr>
          <w:rStyle w:val="FootnoteReference"/>
        </w:rPr>
        <w:footnoteRef/>
      </w:r>
      <w:r>
        <w:t xml:space="preserve"> </w:t>
      </w:r>
      <w:r>
        <w:tab/>
        <w:t xml:space="preserve">AER, </w:t>
      </w:r>
      <w:r w:rsidRPr="00135689">
        <w:rPr>
          <w:rStyle w:val="AERtextitalic"/>
        </w:rPr>
        <w:t>Electricity transmission network service providers: Efficiency benefit sharing scheme</w:t>
      </w:r>
      <w:r>
        <w:t>, September 2007.</w:t>
      </w:r>
    </w:p>
  </w:footnote>
  <w:footnote w:id="106">
    <w:p w:rsidR="00CF23CB" w:rsidRDefault="00CF23CB" w:rsidP="000071FE">
      <w:pPr>
        <w:pStyle w:val="FootnoteText"/>
      </w:pPr>
      <w:r>
        <w:rPr>
          <w:rStyle w:val="FootnoteReference"/>
        </w:rPr>
        <w:footnoteRef/>
      </w:r>
      <w:r>
        <w:t xml:space="preserve"> </w:t>
      </w:r>
      <w:r>
        <w:tab/>
        <w:t>Note TransGrid will also receive an adjustment to its revenues for the Efficiency Carryover Mechanism which applied to TransGrid during the 2004–09 regulatory control period.</w:t>
      </w:r>
    </w:p>
  </w:footnote>
  <w:footnote w:id="107">
    <w:p w:rsidR="00CF23CB" w:rsidRDefault="00CF23CB">
      <w:pPr>
        <w:pStyle w:val="FootnoteText"/>
      </w:pPr>
      <w:r>
        <w:rPr>
          <w:rStyle w:val="FootnoteReference"/>
        </w:rPr>
        <w:footnoteRef/>
      </w:r>
      <w:r>
        <w:t xml:space="preserve"> </w:t>
      </w:r>
      <w:r>
        <w:tab/>
      </w:r>
      <w:r w:rsidRPr="003E7ED9">
        <w:t xml:space="preserve">AER, </w:t>
      </w:r>
      <w:r w:rsidRPr="003E7ED9">
        <w:rPr>
          <w:rStyle w:val="AERtextitalic"/>
        </w:rPr>
        <w:t>Capex incentive guideline</w:t>
      </w:r>
      <w:r w:rsidRPr="003E7ED9">
        <w:t>, Nov 2013, pp. 5–9.</w:t>
      </w:r>
    </w:p>
  </w:footnote>
  <w:footnote w:id="108">
    <w:p w:rsidR="00CF23CB" w:rsidRDefault="00CF23CB" w:rsidP="00EA0540">
      <w:pPr>
        <w:pStyle w:val="FootnoteText"/>
      </w:pPr>
      <w:r>
        <w:rPr>
          <w:rStyle w:val="FootnoteReference"/>
        </w:rPr>
        <w:footnoteRef/>
      </w:r>
      <w:r>
        <w:t xml:space="preserve"> </w:t>
      </w:r>
      <w:r>
        <w:tab/>
      </w:r>
      <w:r w:rsidRPr="00FF37E1">
        <w:t>Regarding the target for the last half of 2014, we pro-rate the performance by measuring the average 2013/2014 performance against the average 2011/2012/2013 target and then multiplying by 0.5. </w:t>
      </w:r>
    </w:p>
  </w:footnote>
  <w:footnote w:id="109">
    <w:p w:rsidR="00CF23CB" w:rsidRDefault="00CF23CB" w:rsidP="00EA0540">
      <w:pPr>
        <w:pStyle w:val="FootnoteText"/>
      </w:pPr>
      <w:r>
        <w:rPr>
          <w:rStyle w:val="FootnoteReference"/>
        </w:rPr>
        <w:footnoteRef/>
      </w:r>
      <w:r>
        <w:t xml:space="preserve"> </w:t>
      </w:r>
      <w:r>
        <w:tab/>
      </w:r>
      <w:r w:rsidRPr="00FF37E1">
        <w:t>Regarding the target for the last half of 2014, we pro-rate the performance by measuring the average 2013/2014 performance against the average 2011/2012/2013 target and then multiplying by 0.5. </w:t>
      </w:r>
    </w:p>
  </w:footnote>
  <w:footnote w:id="110">
    <w:p w:rsidR="00CF23CB" w:rsidRDefault="00CF23CB" w:rsidP="00EA0540">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D26760">
        <w:rPr>
          <w:rStyle w:val="AERtextitalic"/>
        </w:rPr>
        <w:t>September 2014, clause 5.2.</w:t>
      </w:r>
      <w:r>
        <w:rPr>
          <w:rStyle w:val="AERtextitalic"/>
        </w:rPr>
        <w:t xml:space="preserve"> </w:t>
      </w:r>
    </w:p>
  </w:footnote>
  <w:footnote w:id="111">
    <w:p w:rsidR="00CF23CB" w:rsidRPr="001501D4" w:rsidRDefault="00CF23CB" w:rsidP="005B2F9C">
      <w:pPr>
        <w:pStyle w:val="FootnoteText"/>
      </w:pPr>
      <w:r w:rsidRPr="001501D4">
        <w:rPr>
          <w:rStyle w:val="FootnoteReference"/>
        </w:rPr>
        <w:footnoteRef/>
      </w:r>
      <w:r w:rsidRPr="001501D4">
        <w:t xml:space="preserve"> </w:t>
      </w:r>
      <w:r w:rsidRPr="001501D4">
        <w:tab/>
        <w:t xml:space="preserve">AEMC, </w:t>
      </w:r>
      <w:r w:rsidRPr="001501D4">
        <w:rPr>
          <w:rStyle w:val="AERtextitalic"/>
        </w:rPr>
        <w:t>Rule Determination National Electricity Amendment (Economic Regulation of Network Service Providers) Rule 2012, National Gas Amendment (Price and Revenue Regulation of Gas Services) Rule 2012</w:t>
      </w:r>
      <w:r w:rsidRPr="001501D4">
        <w:t xml:space="preserve">, </w:t>
      </w:r>
      <w:r>
        <w:t xml:space="preserve">November 2012, </w:t>
      </w:r>
      <w:r w:rsidRPr="001501D4">
        <w:t>p. 36.</w:t>
      </w:r>
    </w:p>
  </w:footnote>
  <w:footnote w:id="112">
    <w:p w:rsidR="00CF23CB" w:rsidRPr="001501D4" w:rsidRDefault="00CF23CB" w:rsidP="005B2F9C">
      <w:pPr>
        <w:pStyle w:val="FootnoteText"/>
      </w:pPr>
      <w:r w:rsidRPr="001501D4">
        <w:rPr>
          <w:rStyle w:val="FootnoteReference"/>
        </w:rPr>
        <w:footnoteRef/>
      </w:r>
      <w:r w:rsidRPr="001501D4">
        <w:t xml:space="preserve"> </w:t>
      </w:r>
      <w:r w:rsidRPr="001501D4">
        <w:tab/>
        <w:t>See for example: EUAA submission on TransGrid’s revenue proposal, p. 1; EMRF submission on TransGrid’s revenue proposal, p. 12; CCP6 submission on TransGrid</w:t>
      </w:r>
      <w:r>
        <w:t>'</w:t>
      </w:r>
      <w:r w:rsidRPr="001501D4">
        <w:t>s</w:t>
      </w:r>
      <w:r>
        <w:t xml:space="preserve"> revenue proposal, p. 3.</w:t>
      </w:r>
    </w:p>
  </w:footnote>
  <w:footnote w:id="113">
    <w:p w:rsidR="00CF23CB" w:rsidRPr="001501D4" w:rsidRDefault="00CF23CB" w:rsidP="005B2F9C">
      <w:pPr>
        <w:pStyle w:val="FootnoteText"/>
      </w:pPr>
      <w:r w:rsidRPr="001501D4">
        <w:rPr>
          <w:rStyle w:val="FootnoteReference"/>
        </w:rPr>
        <w:footnoteRef/>
      </w:r>
      <w:r w:rsidRPr="001501D4">
        <w:t xml:space="preserve"> </w:t>
      </w:r>
      <w:r w:rsidRPr="001501D4">
        <w:tab/>
        <w:t xml:space="preserve">AER, </w:t>
      </w:r>
      <w:r w:rsidRPr="001501D4">
        <w:rPr>
          <w:rStyle w:val="AERtextitalic"/>
        </w:rPr>
        <w:t>Consumer engagement guideline for network service providers</w:t>
      </w:r>
      <w:r w:rsidRPr="001501D4">
        <w:t>, November 2013.</w:t>
      </w:r>
    </w:p>
  </w:footnote>
  <w:footnote w:id="114">
    <w:p w:rsidR="00CF23CB" w:rsidRPr="00301771" w:rsidRDefault="00CF23CB" w:rsidP="005B2F9C">
      <w:pPr>
        <w:pStyle w:val="FootnoteText"/>
      </w:pPr>
      <w:r w:rsidRPr="00301771">
        <w:rPr>
          <w:rStyle w:val="FootnoteReference"/>
        </w:rPr>
        <w:footnoteRef/>
      </w:r>
      <w:r w:rsidRPr="00301771">
        <w:t xml:space="preserve"> </w:t>
      </w:r>
      <w:r w:rsidRPr="00301771">
        <w:tab/>
        <w:t>NER, cll. 6A.6.6(e)(5A) 6A.6.7(e)(5A</w:t>
      </w:r>
      <w:r>
        <w:t>).</w:t>
      </w:r>
    </w:p>
  </w:footnote>
  <w:footnote w:id="115">
    <w:p w:rsidR="00CF23CB" w:rsidRPr="00301771" w:rsidRDefault="00CF23CB" w:rsidP="005B2F9C">
      <w:pPr>
        <w:pStyle w:val="FootnoteText"/>
      </w:pPr>
      <w:r w:rsidRPr="00301771">
        <w:rPr>
          <w:rStyle w:val="FootnoteReference"/>
        </w:rPr>
        <w:footnoteRef/>
      </w:r>
      <w:r w:rsidRPr="00301771">
        <w:t xml:space="preserve"> </w:t>
      </w:r>
      <w:r w:rsidRPr="00301771">
        <w:tab/>
        <w:t>TransGrid</w:t>
      </w:r>
      <w:r>
        <w:t>,</w:t>
      </w:r>
      <w:r w:rsidRPr="00301771">
        <w:t xml:space="preserve"> </w:t>
      </w:r>
      <w:r w:rsidRPr="004D7D72">
        <w:rPr>
          <w:rStyle w:val="AERtextitalic"/>
        </w:rPr>
        <w:t>Revenue Proposal</w:t>
      </w:r>
      <w:r w:rsidRPr="00301771">
        <w:t xml:space="preserve">, </w:t>
      </w:r>
      <w:r>
        <w:t xml:space="preserve">May 2014, </w:t>
      </w:r>
      <w:r w:rsidRPr="00301771">
        <w:t>p. 35</w:t>
      </w:r>
      <w:r>
        <w:t>.</w:t>
      </w:r>
    </w:p>
  </w:footnote>
  <w:footnote w:id="116">
    <w:p w:rsidR="00CF23CB" w:rsidRPr="00301771" w:rsidRDefault="00CF23CB" w:rsidP="005B2F9C">
      <w:pPr>
        <w:pStyle w:val="FootnoteText"/>
      </w:pPr>
      <w:r w:rsidRPr="00301771">
        <w:rPr>
          <w:rStyle w:val="FootnoteReference"/>
        </w:rPr>
        <w:footnoteRef/>
      </w:r>
      <w:r w:rsidRPr="00301771">
        <w:t xml:space="preserve"> </w:t>
      </w:r>
      <w:r w:rsidRPr="00301771">
        <w:tab/>
        <w:t>TransGrid</w:t>
      </w:r>
      <w:r>
        <w:t>,</w:t>
      </w:r>
      <w:r w:rsidRPr="00301771">
        <w:t xml:space="preserve"> </w:t>
      </w:r>
      <w:r w:rsidRPr="004D7D72">
        <w:rPr>
          <w:rStyle w:val="AERtextitalic"/>
        </w:rPr>
        <w:t>Revenue Proposal</w:t>
      </w:r>
      <w:r w:rsidRPr="00301771">
        <w:t xml:space="preserve">, </w:t>
      </w:r>
      <w:r>
        <w:t xml:space="preserve">May 2014, </w:t>
      </w:r>
      <w:r w:rsidRPr="00301771">
        <w:t>p. 35</w:t>
      </w:r>
      <w:r>
        <w:t>.</w:t>
      </w:r>
    </w:p>
  </w:footnote>
  <w:footnote w:id="117">
    <w:p w:rsidR="00CF23CB" w:rsidRPr="00301771" w:rsidRDefault="00CF23CB" w:rsidP="005B2F9C">
      <w:pPr>
        <w:pStyle w:val="FootnoteText"/>
      </w:pPr>
      <w:r w:rsidRPr="00301771">
        <w:rPr>
          <w:rStyle w:val="FootnoteReference"/>
        </w:rPr>
        <w:footnoteRef/>
      </w:r>
      <w:r w:rsidRPr="00301771">
        <w:t xml:space="preserve"> </w:t>
      </w:r>
      <w:r w:rsidRPr="00301771">
        <w:tab/>
        <w:t>TransGrid</w:t>
      </w:r>
      <w:r>
        <w:t>,</w:t>
      </w:r>
      <w:r w:rsidRPr="00301771">
        <w:t xml:space="preserve"> </w:t>
      </w:r>
      <w:r w:rsidRPr="004D7D72">
        <w:rPr>
          <w:rStyle w:val="AERtextitalic"/>
        </w:rPr>
        <w:t>Revenue Proposal</w:t>
      </w:r>
      <w:r w:rsidRPr="00301771">
        <w:t xml:space="preserve">, </w:t>
      </w:r>
      <w:r>
        <w:t xml:space="preserve">May 2014, </w:t>
      </w:r>
      <w:r w:rsidRPr="00301771">
        <w:t>p. 35</w:t>
      </w:r>
      <w:r>
        <w:t>.</w:t>
      </w:r>
    </w:p>
  </w:footnote>
  <w:footnote w:id="118">
    <w:p w:rsidR="00CF23CB" w:rsidRPr="00301771" w:rsidRDefault="00CF23CB" w:rsidP="005B2F9C">
      <w:pPr>
        <w:pStyle w:val="FootnoteText"/>
      </w:pPr>
      <w:r w:rsidRPr="00301771">
        <w:rPr>
          <w:rStyle w:val="FootnoteReference"/>
        </w:rPr>
        <w:footnoteRef/>
      </w:r>
      <w:r w:rsidRPr="00301771">
        <w:t xml:space="preserve"> </w:t>
      </w:r>
      <w:r w:rsidRPr="00301771">
        <w:tab/>
        <w:t>TransGrid</w:t>
      </w:r>
      <w:r>
        <w:t>,</w:t>
      </w:r>
      <w:r w:rsidRPr="00301771">
        <w:t xml:space="preserve"> </w:t>
      </w:r>
      <w:r w:rsidRPr="004D7D72">
        <w:rPr>
          <w:rStyle w:val="AERtextitalic"/>
        </w:rPr>
        <w:t>Revenue Proposal</w:t>
      </w:r>
      <w:r w:rsidRPr="00301771">
        <w:t xml:space="preserve">, </w:t>
      </w:r>
      <w:r>
        <w:t xml:space="preserve">May 2014, </w:t>
      </w:r>
      <w:r w:rsidRPr="00301771">
        <w:t>p. 36</w:t>
      </w:r>
      <w:r>
        <w:t>.</w:t>
      </w:r>
    </w:p>
  </w:footnote>
  <w:footnote w:id="119">
    <w:p w:rsidR="00CF23CB" w:rsidRPr="00301771" w:rsidRDefault="00CF23CB" w:rsidP="005B2F9C">
      <w:pPr>
        <w:pStyle w:val="FootnoteText"/>
      </w:pPr>
      <w:r w:rsidRPr="00301771">
        <w:rPr>
          <w:rStyle w:val="FootnoteReference"/>
        </w:rPr>
        <w:footnoteRef/>
      </w:r>
      <w:r w:rsidRPr="00301771">
        <w:t xml:space="preserve"> </w:t>
      </w:r>
      <w:r w:rsidRPr="00301771">
        <w:tab/>
        <w:t>TransGrid</w:t>
      </w:r>
      <w:r>
        <w:t>,</w:t>
      </w:r>
      <w:r w:rsidRPr="00301771">
        <w:t xml:space="preserve"> </w:t>
      </w:r>
      <w:r w:rsidRPr="004D7D72">
        <w:rPr>
          <w:rStyle w:val="AERtextitalic"/>
        </w:rPr>
        <w:t>Revenue Proposal</w:t>
      </w:r>
      <w:r w:rsidRPr="00301771">
        <w:t xml:space="preserve">, </w:t>
      </w:r>
      <w:r>
        <w:t>May 2014, pp. 36</w:t>
      </w:r>
      <w:r>
        <w:rPr>
          <w:rFonts w:cs="Gautami"/>
        </w:rPr>
        <w:t>–</w:t>
      </w:r>
      <w:r w:rsidRPr="00301771">
        <w:t>37</w:t>
      </w:r>
      <w:r>
        <w:t>.</w:t>
      </w:r>
    </w:p>
  </w:footnote>
  <w:footnote w:id="120">
    <w:p w:rsidR="00CF23CB" w:rsidRDefault="00CF23CB" w:rsidP="005B2F9C">
      <w:pPr>
        <w:pStyle w:val="FootnoteText"/>
      </w:pPr>
      <w:r>
        <w:rPr>
          <w:rStyle w:val="FootnoteReference"/>
        </w:rPr>
        <w:footnoteRef/>
      </w:r>
      <w:r>
        <w:t xml:space="preserve"> </w:t>
      </w:r>
      <w:r>
        <w:tab/>
        <w:t xml:space="preserve">TransGrid, </w:t>
      </w:r>
      <w:r w:rsidRPr="004D7D72">
        <w:rPr>
          <w:rStyle w:val="AERtextitalic"/>
        </w:rPr>
        <w:t>Revenue Proposal</w:t>
      </w:r>
      <w:r>
        <w:t>, May 2014, p. 36.</w:t>
      </w:r>
    </w:p>
  </w:footnote>
  <w:footnote w:id="121">
    <w:p w:rsidR="00CF23CB" w:rsidRDefault="00CF23CB" w:rsidP="005B2F9C">
      <w:pPr>
        <w:pStyle w:val="FootnoteText"/>
      </w:pPr>
      <w:r>
        <w:rPr>
          <w:rStyle w:val="FootnoteReference"/>
        </w:rPr>
        <w:footnoteRef/>
      </w:r>
      <w:r>
        <w:t xml:space="preserve"> </w:t>
      </w:r>
      <w:r>
        <w:tab/>
        <w:t xml:space="preserve">TransGrid, </w:t>
      </w:r>
      <w:r w:rsidRPr="004D7D72">
        <w:rPr>
          <w:rStyle w:val="AERtextitalic"/>
        </w:rPr>
        <w:t>Revenue Proposal</w:t>
      </w:r>
      <w:r>
        <w:t>, May 2014, pp. 35</w:t>
      </w:r>
      <w:r>
        <w:rPr>
          <w:rFonts w:cs="Gautami"/>
        </w:rPr>
        <w:t>–</w:t>
      </w:r>
      <w:r>
        <w:t>36.</w:t>
      </w:r>
    </w:p>
  </w:footnote>
  <w:footnote w:id="122">
    <w:p w:rsidR="00CF23CB" w:rsidRPr="00301771" w:rsidRDefault="00CF23CB" w:rsidP="005B2F9C">
      <w:pPr>
        <w:pStyle w:val="FootnoteText"/>
      </w:pPr>
      <w:r w:rsidRPr="00301771">
        <w:rPr>
          <w:rStyle w:val="FootnoteReference"/>
        </w:rPr>
        <w:footnoteRef/>
      </w:r>
      <w:r w:rsidRPr="00301771">
        <w:t xml:space="preserve"> </w:t>
      </w:r>
      <w:r w:rsidRPr="00301771">
        <w:tab/>
        <w:t>CCP6</w:t>
      </w:r>
      <w:r>
        <w:t>,</w:t>
      </w:r>
      <w:r w:rsidRPr="00301771">
        <w:t xml:space="preserve"> </w:t>
      </w:r>
      <w:r w:rsidRPr="004D7D72">
        <w:rPr>
          <w:rStyle w:val="AERtextitalic"/>
        </w:rPr>
        <w:t>Submission on TransGrid’s revenue proposal</w:t>
      </w:r>
      <w:r w:rsidRPr="00301771">
        <w:t>, p. 3</w:t>
      </w:r>
      <w:r>
        <w:t>.</w:t>
      </w:r>
    </w:p>
  </w:footnote>
  <w:footnote w:id="123">
    <w:p w:rsidR="00CF23CB" w:rsidRDefault="00CF23CB" w:rsidP="005B2F9C">
      <w:pPr>
        <w:pStyle w:val="FootnoteText"/>
      </w:pPr>
      <w:r>
        <w:rPr>
          <w:rStyle w:val="FootnoteReference"/>
        </w:rPr>
        <w:footnoteRef/>
      </w:r>
      <w:r>
        <w:t xml:space="preserve"> </w:t>
      </w:r>
      <w:r>
        <w:tab/>
        <w:t xml:space="preserve">EMRF, </w:t>
      </w:r>
      <w:r w:rsidRPr="004D7D72">
        <w:rPr>
          <w:rStyle w:val="AERtextitalic"/>
        </w:rPr>
        <w:t>Submission on TransGrid’s revenue proposal</w:t>
      </w:r>
      <w:r>
        <w:t>, p. 13.</w:t>
      </w:r>
    </w:p>
  </w:footnote>
  <w:footnote w:id="124">
    <w:p w:rsidR="00CF23CB" w:rsidRDefault="00CF23CB" w:rsidP="005B2F9C">
      <w:pPr>
        <w:pStyle w:val="FootnoteText"/>
      </w:pPr>
      <w:r>
        <w:rPr>
          <w:rStyle w:val="FootnoteReference"/>
        </w:rPr>
        <w:footnoteRef/>
      </w:r>
      <w:r>
        <w:t xml:space="preserve"> </w:t>
      </w:r>
      <w:r>
        <w:tab/>
        <w:t xml:space="preserve">TransGrid, </w:t>
      </w:r>
      <w:r w:rsidRPr="000471FE">
        <w:rPr>
          <w:rStyle w:val="AERtextitalic"/>
        </w:rPr>
        <w:t>Revenue Proposal</w:t>
      </w:r>
      <w:r>
        <w:t>, May 2014, pp. 39-40.</w:t>
      </w:r>
    </w:p>
  </w:footnote>
  <w:footnote w:id="125">
    <w:p w:rsidR="00CF23CB" w:rsidRDefault="00CF23CB" w:rsidP="005B2F9C">
      <w:pPr>
        <w:pStyle w:val="FootnoteText"/>
      </w:pPr>
      <w:r>
        <w:rPr>
          <w:rStyle w:val="FootnoteReference"/>
        </w:rPr>
        <w:footnoteRef/>
      </w:r>
      <w:r>
        <w:t xml:space="preserve"> </w:t>
      </w:r>
      <w:r>
        <w:tab/>
        <w:t xml:space="preserve">TransGrid, </w:t>
      </w:r>
      <w:r w:rsidRPr="000471FE">
        <w:rPr>
          <w:rStyle w:val="AERtextitalic"/>
        </w:rPr>
        <w:t>Revenue Proposal</w:t>
      </w:r>
      <w:r>
        <w:t>, May 2014, p. 40.</w:t>
      </w:r>
    </w:p>
  </w:footnote>
  <w:footnote w:id="126">
    <w:p w:rsidR="00CF23CB" w:rsidRDefault="00CF23CB" w:rsidP="005B2F9C">
      <w:pPr>
        <w:pStyle w:val="FootnoteText"/>
      </w:pPr>
      <w:r>
        <w:rPr>
          <w:rStyle w:val="FootnoteReference"/>
        </w:rPr>
        <w:footnoteRef/>
      </w:r>
      <w:r>
        <w:t xml:space="preserve"> </w:t>
      </w:r>
      <w:r>
        <w:tab/>
        <w:t xml:space="preserve">For example, see: Norske Skog Albury Mill submission on TransGrid’s revenue proposal, p. 11; EUAA, </w:t>
      </w:r>
      <w:r w:rsidRPr="000471FE">
        <w:rPr>
          <w:rStyle w:val="AERtextitalic"/>
        </w:rPr>
        <w:t>Submission on TransGrid’s revenue proposal</w:t>
      </w:r>
      <w:r>
        <w:t xml:space="preserve">, pp. 8-9; </w:t>
      </w:r>
    </w:p>
  </w:footnote>
  <w:footnote w:id="127">
    <w:p w:rsidR="00CF23CB" w:rsidRDefault="00CF23CB">
      <w:pPr>
        <w:pStyle w:val="FootnoteText"/>
      </w:pPr>
      <w:r>
        <w:rPr>
          <w:rStyle w:val="FootnoteReference"/>
        </w:rPr>
        <w:footnoteRef/>
      </w:r>
      <w:r>
        <w:t xml:space="preserve"> </w:t>
      </w:r>
      <w:r>
        <w:tab/>
        <w:t>Our assessment of TransGrid's pricing methodology is discussed in attachment 12.</w:t>
      </w:r>
    </w:p>
  </w:footnote>
  <w:footnote w:id="128">
    <w:p w:rsidR="00CF23CB" w:rsidRDefault="00CF23CB" w:rsidP="005B2F9C">
      <w:pPr>
        <w:pStyle w:val="FootnoteText"/>
      </w:pPr>
      <w:r>
        <w:rPr>
          <w:rStyle w:val="FootnoteReference"/>
        </w:rPr>
        <w:footnoteRef/>
      </w:r>
      <w:r>
        <w:t xml:space="preserve"> </w:t>
      </w:r>
      <w:r>
        <w:tab/>
        <w:t xml:space="preserve">For example, see EMRF, </w:t>
      </w:r>
      <w:r w:rsidRPr="000471FE">
        <w:rPr>
          <w:rStyle w:val="AERtextitalic"/>
        </w:rPr>
        <w:t>Submission on TransGrid’s revenue proposal</w:t>
      </w:r>
      <w:r>
        <w:t>, pp. 15</w:t>
      </w:r>
      <w:r>
        <w:rPr>
          <w:rFonts w:cs="Gautami"/>
        </w:rPr>
        <w:t>–</w:t>
      </w:r>
      <w:r>
        <w:t>16.</w:t>
      </w:r>
    </w:p>
  </w:footnote>
  <w:footnote w:id="129">
    <w:p w:rsidR="00CF23CB" w:rsidRDefault="00CF23CB" w:rsidP="005B2F9C">
      <w:pPr>
        <w:pStyle w:val="FootnoteText"/>
      </w:pPr>
      <w:r>
        <w:rPr>
          <w:rStyle w:val="FootnoteReference"/>
        </w:rPr>
        <w:footnoteRef/>
      </w:r>
      <w:r>
        <w:t xml:space="preserve"> </w:t>
      </w:r>
      <w:r>
        <w:tab/>
        <w:t>Norske Skog Albury Mill submission on TransGrid’s revenue proposal, p. 20.</w:t>
      </w:r>
    </w:p>
  </w:footnote>
  <w:footnote w:id="130">
    <w:p w:rsidR="00CF23CB" w:rsidRDefault="00CF23CB" w:rsidP="005B2F9C">
      <w:pPr>
        <w:pStyle w:val="FootnoteText"/>
      </w:pPr>
      <w:r>
        <w:rPr>
          <w:rStyle w:val="FootnoteReference"/>
        </w:rPr>
        <w:footnoteRef/>
      </w:r>
      <w:r>
        <w:t xml:space="preserve"> </w:t>
      </w:r>
      <w:r>
        <w:tab/>
        <w:t xml:space="preserve">TransGrid, </w:t>
      </w:r>
      <w:r w:rsidRPr="000471FE">
        <w:rPr>
          <w:rStyle w:val="AERtextitalic"/>
        </w:rPr>
        <w:t>Revenue Proposal</w:t>
      </w:r>
      <w:r>
        <w:t>, May 2014, p. 35.</w:t>
      </w:r>
    </w:p>
  </w:footnote>
  <w:footnote w:id="131">
    <w:p w:rsidR="00CF23CB" w:rsidRDefault="00CF23CB" w:rsidP="005B2F9C">
      <w:pPr>
        <w:pStyle w:val="FootnoteText"/>
      </w:pPr>
      <w:r>
        <w:rPr>
          <w:rStyle w:val="FootnoteReference"/>
        </w:rPr>
        <w:footnoteRef/>
      </w:r>
      <w:r>
        <w:t xml:space="preserve"> </w:t>
      </w:r>
      <w:r>
        <w:tab/>
        <w:t xml:space="preserve">TransGrid, </w:t>
      </w:r>
      <w:r w:rsidRPr="000471FE">
        <w:rPr>
          <w:rStyle w:val="AERtextitalic"/>
        </w:rPr>
        <w:t>Revenue Proposal</w:t>
      </w:r>
      <w:r>
        <w:t>, May 2014, p. 36.</w:t>
      </w:r>
    </w:p>
  </w:footnote>
  <w:footnote w:id="132">
    <w:p w:rsidR="00CF23CB" w:rsidRDefault="00CF23CB" w:rsidP="005B2F9C">
      <w:pPr>
        <w:pStyle w:val="FootnoteText"/>
      </w:pPr>
      <w:r>
        <w:rPr>
          <w:rStyle w:val="FootnoteReference"/>
        </w:rPr>
        <w:footnoteRef/>
      </w:r>
      <w:r>
        <w:t xml:space="preserve"> </w:t>
      </w:r>
      <w:r>
        <w:tab/>
        <w:t xml:space="preserve">TransGrid, </w:t>
      </w:r>
      <w:r w:rsidRPr="000471FE">
        <w:rPr>
          <w:rStyle w:val="AERtextitalic"/>
        </w:rPr>
        <w:t>Revenue Proposal</w:t>
      </w:r>
      <w:r>
        <w:t>, May 2014, pp. 35</w:t>
      </w:r>
      <w:r>
        <w:rPr>
          <w:rFonts w:cs="Gautami"/>
        </w:rPr>
        <w:t>–</w:t>
      </w:r>
      <w:r>
        <w:t>36.</w:t>
      </w:r>
    </w:p>
  </w:footnote>
  <w:footnote w:id="133">
    <w:p w:rsidR="00CF23CB" w:rsidRDefault="00CF23CB" w:rsidP="005B2F9C">
      <w:pPr>
        <w:pStyle w:val="FootnoteText"/>
      </w:pPr>
      <w:r>
        <w:rPr>
          <w:rStyle w:val="FootnoteReference"/>
        </w:rPr>
        <w:footnoteRef/>
      </w:r>
      <w:r>
        <w:t xml:space="preserve"> </w:t>
      </w:r>
      <w:r>
        <w:tab/>
        <w:t xml:space="preserve">EMRF, </w:t>
      </w:r>
      <w:r w:rsidRPr="000471FE">
        <w:rPr>
          <w:rStyle w:val="AERtextitalic"/>
        </w:rPr>
        <w:t>Submission on TransGrid’s revenue proposal</w:t>
      </w:r>
      <w:r>
        <w:t>, p. 16.</w:t>
      </w:r>
    </w:p>
  </w:footnote>
  <w:footnote w:id="134">
    <w:p w:rsidR="00CF23CB" w:rsidRDefault="00CF23CB" w:rsidP="005B2F9C">
      <w:pPr>
        <w:pStyle w:val="FootnoteText"/>
      </w:pPr>
      <w:r>
        <w:rPr>
          <w:rStyle w:val="FootnoteReference"/>
        </w:rPr>
        <w:footnoteRef/>
      </w:r>
      <w:r>
        <w:t xml:space="preserve"> </w:t>
      </w:r>
      <w:r>
        <w:tab/>
        <w:t xml:space="preserve">EMRF, </w:t>
      </w:r>
      <w:r w:rsidRPr="000471FE">
        <w:rPr>
          <w:rStyle w:val="AERtextitalic"/>
        </w:rPr>
        <w:t>Submission on TransGrid’s revenue proposal</w:t>
      </w:r>
      <w:r>
        <w:t>, p. 16.</w:t>
      </w:r>
    </w:p>
  </w:footnote>
  <w:footnote w:id="135">
    <w:p w:rsidR="00CF23CB" w:rsidRDefault="00CF23CB" w:rsidP="001B76EB">
      <w:pPr>
        <w:pStyle w:val="FootnoteText"/>
      </w:pPr>
      <w:r>
        <w:rPr>
          <w:rStyle w:val="FootnoteReference"/>
        </w:rPr>
        <w:footnoteRef/>
      </w:r>
      <w:r>
        <w:t xml:space="preserve"> </w:t>
      </w:r>
      <w:r>
        <w:tab/>
        <w:t>NER, cl. 6A.12.3.</w:t>
      </w:r>
    </w:p>
  </w:footnote>
  <w:footnote w:id="136">
    <w:p w:rsidR="00CF23CB" w:rsidRDefault="00CF23CB" w:rsidP="001B76EB">
      <w:pPr>
        <w:pStyle w:val="FootnoteText"/>
      </w:pPr>
      <w:r>
        <w:rPr>
          <w:rStyle w:val="FootnoteReference"/>
        </w:rPr>
        <w:footnoteRef/>
      </w:r>
      <w:r>
        <w:t xml:space="preserve"> </w:t>
      </w:r>
      <w:r>
        <w:tab/>
        <w:t xml:space="preserve">NER, cll. </w:t>
      </w:r>
      <w:r w:rsidRPr="00C55075">
        <w:t>6A.12.3(a), 11.58.4(n)</w:t>
      </w:r>
      <w:r>
        <w:t>.</w:t>
      </w:r>
    </w:p>
  </w:footnote>
  <w:footnote w:id="137">
    <w:p w:rsidR="00CF23CB" w:rsidRDefault="00CF23CB" w:rsidP="001B76EB">
      <w:pPr>
        <w:pStyle w:val="FootnoteText"/>
      </w:pPr>
      <w:r>
        <w:rPr>
          <w:rStyle w:val="FootnoteReference"/>
        </w:rPr>
        <w:footnoteRef/>
      </w:r>
      <w:r>
        <w:t xml:space="preserve"> </w:t>
      </w:r>
      <w:r>
        <w:tab/>
        <w:t>NER, cll. 6A.12.2(a) and (b).</w:t>
      </w:r>
    </w:p>
  </w:footnote>
  <w:footnote w:id="138">
    <w:p w:rsidR="00CF23CB" w:rsidRDefault="00CF23CB" w:rsidP="001B76EB">
      <w:pPr>
        <w:pStyle w:val="FootnoteText"/>
      </w:pPr>
      <w:r>
        <w:rPr>
          <w:rStyle w:val="FootnoteReference"/>
        </w:rPr>
        <w:footnoteRef/>
      </w:r>
      <w:r>
        <w:t xml:space="preserve"> </w:t>
      </w:r>
      <w:r>
        <w:tab/>
        <w:t>NER, cll. 6A.12.2(c), 11.58.4(n).</w:t>
      </w:r>
    </w:p>
  </w:footnote>
  <w:footnote w:id="139">
    <w:p w:rsidR="00CF23CB" w:rsidRDefault="00CF23CB" w:rsidP="001B76EB">
      <w:pPr>
        <w:pStyle w:val="FootnoteText"/>
      </w:pPr>
      <w:r>
        <w:rPr>
          <w:rStyle w:val="FootnoteReference"/>
        </w:rPr>
        <w:footnoteRef/>
      </w:r>
      <w:r>
        <w:t xml:space="preserve"> </w:t>
      </w:r>
      <w:r>
        <w:tab/>
        <w:t>NER, cl. 6A.13.1.</w:t>
      </w:r>
    </w:p>
  </w:footnote>
  <w:footnote w:id="140">
    <w:p w:rsidR="00CF23CB" w:rsidRDefault="00CF23CB" w:rsidP="00551C54">
      <w:pPr>
        <w:pStyle w:val="FootnoteText"/>
      </w:pPr>
      <w:r>
        <w:rPr>
          <w:rStyle w:val="FootnoteReference"/>
        </w:rPr>
        <w:footnoteRef/>
      </w:r>
      <w:r>
        <w:t xml:space="preserve"> </w:t>
      </w:r>
      <w:r>
        <w:tab/>
        <w:t>NEL, s. 16(1)(c).</w:t>
      </w:r>
    </w:p>
  </w:footnote>
  <w:footnote w:id="141">
    <w:p w:rsidR="00CF23CB" w:rsidRDefault="00CF23CB" w:rsidP="0048366A">
      <w:pPr>
        <w:pStyle w:val="FootnoteText"/>
      </w:pPr>
      <w:r>
        <w:rPr>
          <w:rStyle w:val="FootnoteReference"/>
        </w:rPr>
        <w:footnoteRef/>
      </w:r>
      <w:r>
        <w:t xml:space="preserve"> </w:t>
      </w:r>
      <w:r>
        <w:tab/>
      </w:r>
      <w:r w:rsidRPr="0058315B">
        <w:t xml:space="preserve">AEMC Final Rule Determination, </w:t>
      </w:r>
      <w:r w:rsidRPr="0058315B">
        <w:rPr>
          <w:rStyle w:val="AERtextitalic"/>
        </w:rPr>
        <w:t>National Electricity Amendment (Economic Regulation of Network Service Providers) Rule 2012</w:t>
      </w:r>
      <w:r w:rsidRPr="0058315B">
        <w:t xml:space="preserve">, 29 November </w:t>
      </w:r>
      <w:r>
        <w:t>2012.</w:t>
      </w:r>
    </w:p>
  </w:footnote>
  <w:footnote w:id="142">
    <w:p w:rsidR="00CF23CB" w:rsidRDefault="00CF23CB" w:rsidP="0048366A">
      <w:pPr>
        <w:pStyle w:val="FootnoteText"/>
      </w:pPr>
      <w:r>
        <w:rPr>
          <w:rStyle w:val="FootnoteReference"/>
        </w:rPr>
        <w:footnoteRef/>
      </w:r>
      <w:r>
        <w:t xml:space="preserve"> </w:t>
      </w:r>
      <w:r>
        <w:tab/>
      </w:r>
      <w:r w:rsidRPr="007C58B6">
        <w:t>NER, cl.11.5</w:t>
      </w:r>
      <w:r>
        <w:t>7</w:t>
      </w:r>
      <w:r w:rsidRPr="007C58B6">
        <w:t>.1 defines ‘transitional regulatory control period’ and ‘subsequent regulatory control period’ Cl. 11.5</w:t>
      </w:r>
      <w:r>
        <w:t>8.2</w:t>
      </w:r>
      <w:r w:rsidRPr="007C58B6">
        <w:t xml:space="preserve"> outlines the requirements of a transitional regulatory proposal and cl.11.5</w:t>
      </w:r>
      <w:r>
        <w:t>8</w:t>
      </w:r>
      <w:r w:rsidRPr="007C58B6">
        <w:t>.4 the subsequent regulatory control period</w:t>
      </w:r>
      <w:r>
        <w:t xml:space="preserve"> </w:t>
      </w:r>
    </w:p>
  </w:footnote>
  <w:footnote w:id="143">
    <w:p w:rsidR="00CF23CB" w:rsidRDefault="00CF23CB">
      <w:pPr>
        <w:pStyle w:val="FootnoteText"/>
      </w:pPr>
      <w:r>
        <w:rPr>
          <w:rStyle w:val="FootnoteReference"/>
        </w:rPr>
        <w:footnoteRef/>
      </w:r>
      <w:r>
        <w:t xml:space="preserve"> </w:t>
      </w:r>
      <w:r>
        <w:tab/>
        <w:t>As discussed in section 2.4, we have approved a three year subsequent regulatory control period for TransGrid.</w:t>
      </w:r>
    </w:p>
  </w:footnote>
  <w:footnote w:id="144">
    <w:p w:rsidR="00CF23CB" w:rsidRDefault="00CF23CB" w:rsidP="0048366A">
      <w:pPr>
        <w:pStyle w:val="FootnoteText"/>
      </w:pPr>
      <w:r>
        <w:rPr>
          <w:rStyle w:val="FootnoteReference"/>
        </w:rPr>
        <w:footnoteRef/>
      </w:r>
      <w:r>
        <w:t xml:space="preserve"> </w:t>
      </w:r>
      <w:r>
        <w:tab/>
        <w:t>NER, cl.11.57.1 definitions.</w:t>
      </w:r>
    </w:p>
  </w:footnote>
  <w:footnote w:id="145">
    <w:p w:rsidR="00CF23CB" w:rsidRDefault="00CF23CB" w:rsidP="0048366A">
      <w:pPr>
        <w:pStyle w:val="FootnoteText"/>
      </w:pPr>
      <w:r>
        <w:rPr>
          <w:rStyle w:val="FootnoteReference"/>
        </w:rPr>
        <w:footnoteRef/>
      </w:r>
      <w:r>
        <w:t xml:space="preserve"> </w:t>
      </w:r>
      <w:r>
        <w:tab/>
        <w:t>NER, cl.</w:t>
      </w:r>
      <w:r w:rsidRPr="0006370D">
        <w:t xml:space="preserve"> </w:t>
      </w:r>
      <w:r w:rsidRPr="002154F3">
        <w:t>11.5</w:t>
      </w:r>
      <w:r>
        <w:t>8</w:t>
      </w:r>
      <w:r w:rsidRPr="002154F3">
        <w:t>.4(g)</w:t>
      </w:r>
      <w:r>
        <w:t>.</w:t>
      </w:r>
    </w:p>
  </w:footnote>
  <w:footnote w:id="146">
    <w:p w:rsidR="00CF23CB" w:rsidRDefault="00CF23CB" w:rsidP="0048366A">
      <w:pPr>
        <w:pStyle w:val="FootnoteText"/>
      </w:pPr>
      <w:r>
        <w:rPr>
          <w:rStyle w:val="FootnoteReference"/>
        </w:rPr>
        <w:footnoteRef/>
      </w:r>
      <w:r>
        <w:t xml:space="preserve"> </w:t>
      </w:r>
      <w:r>
        <w:tab/>
        <w:t>NER, cl. 11.58.4(g).</w:t>
      </w:r>
    </w:p>
  </w:footnote>
  <w:footnote w:id="147">
    <w:p w:rsidR="00CF23CB" w:rsidRDefault="00CF23CB" w:rsidP="0048366A">
      <w:pPr>
        <w:pStyle w:val="FootnoteText"/>
      </w:pPr>
      <w:r>
        <w:rPr>
          <w:rStyle w:val="FootnoteReference"/>
        </w:rPr>
        <w:footnoteRef/>
      </w:r>
      <w:r>
        <w:t xml:space="preserve"> </w:t>
      </w:r>
      <w:r>
        <w:tab/>
        <w:t>The size of the true-up reflects not only further reductions in costs from the transitional decision but also any difference in the smoothing profile of revenues that occurred between that transitional decision and this draft decision.</w:t>
      </w:r>
    </w:p>
  </w:footnote>
  <w:footnote w:id="148">
    <w:p w:rsidR="00CF23CB" w:rsidRDefault="00CF23CB">
      <w:pPr>
        <w:pStyle w:val="FootnoteText"/>
      </w:pPr>
      <w:r>
        <w:rPr>
          <w:rStyle w:val="FootnoteReference"/>
        </w:rPr>
        <w:footnoteRef/>
      </w:r>
      <w:r>
        <w:t xml:space="preserve"> </w:t>
      </w:r>
      <w:r>
        <w:tab/>
        <w:t>Under transitional rules no ex post adjustments have been made in this determination. See NER, schedule 6A.2.2A, cl. 11.58.5.</w:t>
      </w:r>
    </w:p>
  </w:footnote>
  <w:footnote w:id="149">
    <w:p w:rsidR="00CF23CB" w:rsidRDefault="00CF23CB" w:rsidP="003B0D45">
      <w:pPr>
        <w:pStyle w:val="FootnoteText"/>
      </w:pPr>
      <w:r>
        <w:rPr>
          <w:rStyle w:val="FootnoteReference"/>
        </w:rPr>
        <w:footnoteRef/>
      </w:r>
      <w:r>
        <w:t xml:space="preserve"> </w:t>
      </w:r>
      <w:r>
        <w:tab/>
        <w:t>W</w:t>
      </w:r>
      <w:r w:rsidRPr="00F75FAC">
        <w:t>e can</w:t>
      </w:r>
      <w:r>
        <w:t>not</w:t>
      </w:r>
      <w:r w:rsidRPr="00F75FAC">
        <w:t xml:space="preserve"> exclude inefficient capex overspends if a business spent the capex </w:t>
      </w:r>
      <w:r>
        <w:t xml:space="preserve">prior to </w:t>
      </w:r>
      <w:r w:rsidRPr="00F75FAC">
        <w:t>2014</w:t>
      </w:r>
      <w:r>
        <w:t xml:space="preserve">, but this timing differs slightly for different businesses. </w:t>
      </w:r>
    </w:p>
  </w:footnote>
  <w:footnote w:id="150">
    <w:p w:rsidR="00CF23CB" w:rsidRPr="00A6284B" w:rsidRDefault="00CF23CB" w:rsidP="003B0D45">
      <w:pPr>
        <w:pStyle w:val="FootnoteText"/>
      </w:pPr>
      <w:r>
        <w:rPr>
          <w:rStyle w:val="FootnoteReference"/>
        </w:rPr>
        <w:footnoteRef/>
      </w:r>
      <w:r>
        <w:t xml:space="preserve"> </w:t>
      </w:r>
      <w:r>
        <w:tab/>
        <w:t xml:space="preserve">AER, </w:t>
      </w:r>
      <w:r w:rsidRPr="00BD2126">
        <w:rPr>
          <w:rStyle w:val="AERtextitalic"/>
        </w:rPr>
        <w:t>Statement of intent 2014–15 to COAG Energy Council</w:t>
      </w:r>
      <w:r>
        <w:t xml:space="preserve">, 2014, p. 5. CCP members involved in the TransGrid reset are Mr Hugh Grant and  Ms Ruth Lavery. Member biographies and information on the CCP is available at </w:t>
      </w:r>
      <w:hyperlink r:id="rId5" w:history="1">
        <w:r w:rsidRPr="00A6284B">
          <w:rPr>
            <w:rStyle w:val="Hyperlink"/>
            <w:color w:val="auto"/>
            <w:u w:val="none"/>
          </w:rPr>
          <w:t>www.aer.gov.au/node/19305</w:t>
        </w:r>
      </w:hyperlink>
      <w:r w:rsidRPr="00A6284B">
        <w:t>.</w:t>
      </w:r>
    </w:p>
  </w:footnote>
  <w:footnote w:id="151">
    <w:p w:rsidR="00CF23CB" w:rsidRDefault="00CF23CB" w:rsidP="003B0D45">
      <w:pPr>
        <w:pStyle w:val="FootnoteText"/>
      </w:pPr>
      <w:r>
        <w:rPr>
          <w:rStyle w:val="FootnoteReference"/>
        </w:rPr>
        <w:footnoteRef/>
      </w:r>
      <w:r>
        <w:t xml:space="preserve"> </w:t>
      </w:r>
      <w:r>
        <w:tab/>
        <w:t xml:space="preserve">CCP advice is available at </w:t>
      </w:r>
      <w:hyperlink r:id="rId6" w:history="1">
        <w:r w:rsidRPr="00A6284B">
          <w:rPr>
            <w:rStyle w:val="Hyperlink"/>
            <w:color w:val="auto"/>
            <w:u w:val="none"/>
          </w:rPr>
          <w:t>www.aer.gov.au/node/11483</w:t>
        </w:r>
      </w:hyperlink>
      <w:r w:rsidRPr="00A6284B">
        <w:t>.</w:t>
      </w:r>
      <w:r>
        <w:t xml:space="preserve"> </w:t>
      </w:r>
    </w:p>
  </w:footnote>
  <w:footnote w:id="152">
    <w:p w:rsidR="00CF23CB" w:rsidRDefault="00CF23CB" w:rsidP="003B0D45">
      <w:pPr>
        <w:pStyle w:val="FootnoteText"/>
      </w:pPr>
      <w:r>
        <w:rPr>
          <w:rStyle w:val="FootnoteReference"/>
        </w:rPr>
        <w:footnoteRef/>
      </w:r>
      <w:r>
        <w:t xml:space="preserve"> </w:t>
      </w:r>
      <w:r>
        <w:tab/>
        <w:t xml:space="preserve">All submissions are available at </w:t>
      </w:r>
      <w:r w:rsidRPr="00DB1660">
        <w:t>www.aer.gov.au/node/11483</w:t>
      </w:r>
      <w:r>
        <w:t>.</w:t>
      </w:r>
    </w:p>
  </w:footnote>
  <w:footnote w:id="153">
    <w:p w:rsidR="00CF23CB" w:rsidRDefault="00CF23CB" w:rsidP="00EC69F2">
      <w:pPr>
        <w:pStyle w:val="FootnoteText"/>
      </w:pPr>
      <w:r>
        <w:rPr>
          <w:rStyle w:val="FootnoteReference"/>
        </w:rPr>
        <w:footnoteRef/>
      </w:r>
      <w:r>
        <w:t xml:space="preserve"> </w:t>
      </w:r>
      <w:r>
        <w:tab/>
        <w:t>Delta Electricity, Snowy Hydro, Stanwell Corporation, ERM Power, Hydro Tasmania, Energy Australia, GDF Suez Australian Energy, Alinta Energy, Origin Energy and CS Energy provided a joint submission.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82FA08"/>
    <w:lvl w:ilvl="0">
      <w:start w:val="1"/>
      <w:numFmt w:val="decimal"/>
      <w:lvlText w:val="%1."/>
      <w:lvlJc w:val="left"/>
      <w:pPr>
        <w:tabs>
          <w:tab w:val="num" w:pos="1209"/>
        </w:tabs>
        <w:ind w:left="1209" w:hanging="360"/>
      </w:pPr>
    </w:lvl>
  </w:abstractNum>
  <w:abstractNum w:abstractNumId="1">
    <w:nsid w:val="FFFFFF7E"/>
    <w:multiLevelType w:val="singleLevel"/>
    <w:tmpl w:val="13DC2BB8"/>
    <w:lvl w:ilvl="0">
      <w:start w:val="1"/>
      <w:numFmt w:val="decimal"/>
      <w:lvlText w:val="%1."/>
      <w:lvlJc w:val="left"/>
      <w:pPr>
        <w:tabs>
          <w:tab w:val="num" w:pos="926"/>
        </w:tabs>
        <w:ind w:left="926" w:hanging="360"/>
      </w:pPr>
    </w:lvl>
  </w:abstractNum>
  <w:abstractNum w:abstractNumId="2">
    <w:nsid w:val="FFFFFF80"/>
    <w:multiLevelType w:val="singleLevel"/>
    <w:tmpl w:val="D842104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FB5455F6"/>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A392C308"/>
    <w:lvl w:ilvl="0">
      <w:start w:val="1"/>
      <w:numFmt w:val="bullet"/>
      <w:lvlText w:val=""/>
      <w:lvlJc w:val="left"/>
      <w:pPr>
        <w:tabs>
          <w:tab w:val="num" w:pos="926"/>
        </w:tabs>
        <w:ind w:left="926" w:hanging="360"/>
      </w:pPr>
      <w:rPr>
        <w:rFonts w:ascii="Symbol" w:hAnsi="Symbol" w:hint="default"/>
      </w:rPr>
    </w:lvl>
  </w:abstractNum>
  <w:abstractNum w:abstractNumId="5">
    <w:nsid w:val="FFFFFF88"/>
    <w:multiLevelType w:val="singleLevel"/>
    <w:tmpl w:val="5FFE00BC"/>
    <w:lvl w:ilvl="0">
      <w:start w:val="1"/>
      <w:numFmt w:val="decimal"/>
      <w:lvlText w:val="%1."/>
      <w:lvlJc w:val="left"/>
      <w:pPr>
        <w:tabs>
          <w:tab w:val="num" w:pos="360"/>
        </w:tabs>
        <w:ind w:left="360" w:hanging="360"/>
      </w:pPr>
    </w:lvl>
  </w:abstractNum>
  <w:abstractNum w:abstractNumId="6">
    <w:nsid w:val="02E83E63"/>
    <w:multiLevelType w:val="multilevel"/>
    <w:tmpl w:val="950A1C52"/>
    <w:numStyleLink w:val="AERHeadings"/>
  </w:abstractNum>
  <w:abstractNum w:abstractNumId="7">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9">
    <w:nsid w:val="28D06E02"/>
    <w:multiLevelType w:val="multilevel"/>
    <w:tmpl w:val="0534EF44"/>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52A55D7"/>
    <w:multiLevelType w:val="multilevel"/>
    <w:tmpl w:val="B7A60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AF336BC"/>
    <w:multiLevelType w:val="hybridMultilevel"/>
    <w:tmpl w:val="955A02CC"/>
    <w:lvl w:ilvl="0" w:tplc="C90C7928">
      <w:start w:val="1"/>
      <w:numFmt w:val="bullet"/>
      <w:pStyle w:val="AERbulletlistfirststyle"/>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9DE698E"/>
    <w:multiLevelType w:val="multilevel"/>
    <w:tmpl w:val="64A21DAA"/>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AAC6DD7"/>
    <w:multiLevelType w:val="multilevel"/>
    <w:tmpl w:val="950A1C52"/>
    <w:numStyleLink w:val="AERHeadings"/>
  </w:abstractNum>
  <w:abstractNum w:abstractNumId="1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8"/>
  </w:num>
  <w:num w:numId="4">
    <w:abstractNumId w:val="7"/>
  </w:num>
  <w:num w:numId="5">
    <w:abstractNumId w:val="15"/>
  </w:num>
  <w:num w:numId="6">
    <w:abstractNumId w:val="12"/>
  </w:num>
  <w:num w:numId="7">
    <w:abstractNumId w:val="17"/>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abstractNumId w:val="6"/>
  </w:num>
  <w:num w:numId="9">
    <w:abstractNumId w:val="10"/>
    <w:lvlOverride w:ilvl="3">
      <w:lvl w:ilvl="3">
        <w:start w:val="1"/>
        <w:numFmt w:val="decimal"/>
        <w:pStyle w:val="Heading3"/>
        <w:lvlText w:val="%2.%3.%4"/>
        <w:lvlJc w:val="left"/>
        <w:pPr>
          <w:tabs>
            <w:tab w:val="num" w:pos="0"/>
          </w:tabs>
          <w:ind w:left="0" w:hanging="851"/>
        </w:pPr>
        <w:rPr>
          <w:rFonts w:hint="default"/>
        </w:rPr>
      </w:lvl>
    </w:lvlOverride>
  </w:num>
  <w:num w:numId="10">
    <w:abstractNumId w:val="9"/>
  </w:num>
  <w:num w:numId="11">
    <w:abstractNumId w:val="10"/>
  </w:num>
  <w:num w:numId="12">
    <w:abstractNumId w:val="16"/>
  </w:num>
  <w:num w:numId="13">
    <w:abstractNumId w:val="13"/>
  </w:num>
  <w:num w:numId="14">
    <w:abstractNumId w:val="8"/>
  </w:num>
  <w:num w:numId="15">
    <w:abstractNumId w:val="17"/>
  </w:num>
  <w:num w:numId="16">
    <w:abstractNumId w:val="4"/>
  </w:num>
  <w:num w:numId="17">
    <w:abstractNumId w:val="3"/>
  </w:num>
  <w:num w:numId="18">
    <w:abstractNumId w:val="2"/>
  </w:num>
  <w:num w:numId="19">
    <w:abstractNumId w:val="5"/>
  </w:num>
  <w:num w:numId="20">
    <w:abstractNumId w:val="1"/>
  </w:num>
  <w:num w:numId="21">
    <w:abstractNumId w:val="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evenAndOddHeaders/>
  <w:drawingGridHorizontalSpacing w:val="100"/>
  <w:displayHorizontalDrawingGridEvery w:val="2"/>
  <w:characterSpacingControl w:val="doNotCompress"/>
  <w:hdrShapeDefaults>
    <o:shapedefaults v:ext="edit" spidmax="430081"/>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076\D14 127714  TransGrid reset 2014-19 - Draft decision - Overview - SUPERSEDED DO NOT USE.DOCX"/>
  </w:docVars>
  <w:rsids>
    <w:rsidRoot w:val="000C052F"/>
    <w:rsid w:val="000006B8"/>
    <w:rsid w:val="000036F6"/>
    <w:rsid w:val="00003EBE"/>
    <w:rsid w:val="00004B7D"/>
    <w:rsid w:val="000071FE"/>
    <w:rsid w:val="000102D7"/>
    <w:rsid w:val="00011129"/>
    <w:rsid w:val="00012C72"/>
    <w:rsid w:val="00014D98"/>
    <w:rsid w:val="0001634F"/>
    <w:rsid w:val="00017A1D"/>
    <w:rsid w:val="0002150A"/>
    <w:rsid w:val="00021E3B"/>
    <w:rsid w:val="00022606"/>
    <w:rsid w:val="000236ED"/>
    <w:rsid w:val="00023A1B"/>
    <w:rsid w:val="000244F1"/>
    <w:rsid w:val="00027271"/>
    <w:rsid w:val="00030884"/>
    <w:rsid w:val="00030FA7"/>
    <w:rsid w:val="00034686"/>
    <w:rsid w:val="00034B96"/>
    <w:rsid w:val="00040599"/>
    <w:rsid w:val="00040749"/>
    <w:rsid w:val="0004145B"/>
    <w:rsid w:val="000441F9"/>
    <w:rsid w:val="00044DC4"/>
    <w:rsid w:val="000471FE"/>
    <w:rsid w:val="000476A6"/>
    <w:rsid w:val="00050981"/>
    <w:rsid w:val="00050D25"/>
    <w:rsid w:val="000554DA"/>
    <w:rsid w:val="00057C5F"/>
    <w:rsid w:val="0006019E"/>
    <w:rsid w:val="00060BE8"/>
    <w:rsid w:val="00060E31"/>
    <w:rsid w:val="00063DDE"/>
    <w:rsid w:val="000653F0"/>
    <w:rsid w:val="000659D9"/>
    <w:rsid w:val="00066131"/>
    <w:rsid w:val="000664AA"/>
    <w:rsid w:val="00066A58"/>
    <w:rsid w:val="00071395"/>
    <w:rsid w:val="00073591"/>
    <w:rsid w:val="00073F5B"/>
    <w:rsid w:val="00074A11"/>
    <w:rsid w:val="00075562"/>
    <w:rsid w:val="000775B1"/>
    <w:rsid w:val="000804BF"/>
    <w:rsid w:val="00083547"/>
    <w:rsid w:val="00084424"/>
    <w:rsid w:val="000854E8"/>
    <w:rsid w:val="0008665B"/>
    <w:rsid w:val="00086A6C"/>
    <w:rsid w:val="00090B48"/>
    <w:rsid w:val="00091BFB"/>
    <w:rsid w:val="000927CF"/>
    <w:rsid w:val="00093D6F"/>
    <w:rsid w:val="00093F9C"/>
    <w:rsid w:val="00096010"/>
    <w:rsid w:val="000A0A5B"/>
    <w:rsid w:val="000A1A59"/>
    <w:rsid w:val="000A1CC2"/>
    <w:rsid w:val="000A1E06"/>
    <w:rsid w:val="000A2423"/>
    <w:rsid w:val="000A2910"/>
    <w:rsid w:val="000A2B6F"/>
    <w:rsid w:val="000A3F06"/>
    <w:rsid w:val="000A487D"/>
    <w:rsid w:val="000A4A15"/>
    <w:rsid w:val="000A5342"/>
    <w:rsid w:val="000B087A"/>
    <w:rsid w:val="000B14CA"/>
    <w:rsid w:val="000B15CA"/>
    <w:rsid w:val="000B257E"/>
    <w:rsid w:val="000B2828"/>
    <w:rsid w:val="000B3978"/>
    <w:rsid w:val="000C0425"/>
    <w:rsid w:val="000C052F"/>
    <w:rsid w:val="000C1011"/>
    <w:rsid w:val="000C3430"/>
    <w:rsid w:val="000C4E67"/>
    <w:rsid w:val="000C71D1"/>
    <w:rsid w:val="000C78C8"/>
    <w:rsid w:val="000D03C2"/>
    <w:rsid w:val="000D04B1"/>
    <w:rsid w:val="000D12D3"/>
    <w:rsid w:val="000D258B"/>
    <w:rsid w:val="000D3B3D"/>
    <w:rsid w:val="000D401F"/>
    <w:rsid w:val="000D4609"/>
    <w:rsid w:val="000D4C41"/>
    <w:rsid w:val="000D53C8"/>
    <w:rsid w:val="000D5930"/>
    <w:rsid w:val="000D5DFB"/>
    <w:rsid w:val="000D76C0"/>
    <w:rsid w:val="000D7DCF"/>
    <w:rsid w:val="000E05AF"/>
    <w:rsid w:val="000E18EC"/>
    <w:rsid w:val="000E1A25"/>
    <w:rsid w:val="000E3AA4"/>
    <w:rsid w:val="000E423A"/>
    <w:rsid w:val="000E44D1"/>
    <w:rsid w:val="000E5A93"/>
    <w:rsid w:val="000E5F5A"/>
    <w:rsid w:val="000E6418"/>
    <w:rsid w:val="000E6793"/>
    <w:rsid w:val="000E69AC"/>
    <w:rsid w:val="000F0668"/>
    <w:rsid w:val="000F0F07"/>
    <w:rsid w:val="000F3A6A"/>
    <w:rsid w:val="000F63D9"/>
    <w:rsid w:val="000F699B"/>
    <w:rsid w:val="000F69DD"/>
    <w:rsid w:val="000F713A"/>
    <w:rsid w:val="000F7889"/>
    <w:rsid w:val="00102DC6"/>
    <w:rsid w:val="001032DE"/>
    <w:rsid w:val="001033B3"/>
    <w:rsid w:val="00103425"/>
    <w:rsid w:val="00103F56"/>
    <w:rsid w:val="00105636"/>
    <w:rsid w:val="00106233"/>
    <w:rsid w:val="0010790A"/>
    <w:rsid w:val="00107A4E"/>
    <w:rsid w:val="001110F1"/>
    <w:rsid w:val="00111EE0"/>
    <w:rsid w:val="00112C94"/>
    <w:rsid w:val="00114245"/>
    <w:rsid w:val="00117FB6"/>
    <w:rsid w:val="00125968"/>
    <w:rsid w:val="00125A56"/>
    <w:rsid w:val="0013022D"/>
    <w:rsid w:val="00130364"/>
    <w:rsid w:val="00130EBB"/>
    <w:rsid w:val="00131287"/>
    <w:rsid w:val="00131A60"/>
    <w:rsid w:val="00133751"/>
    <w:rsid w:val="0013674D"/>
    <w:rsid w:val="001367D1"/>
    <w:rsid w:val="0014159B"/>
    <w:rsid w:val="001423FC"/>
    <w:rsid w:val="0014414D"/>
    <w:rsid w:val="001450D9"/>
    <w:rsid w:val="001455FA"/>
    <w:rsid w:val="00145C9E"/>
    <w:rsid w:val="00147568"/>
    <w:rsid w:val="00147B97"/>
    <w:rsid w:val="001508A6"/>
    <w:rsid w:val="001514F8"/>
    <w:rsid w:val="00151558"/>
    <w:rsid w:val="001522DA"/>
    <w:rsid w:val="001537F0"/>
    <w:rsid w:val="00153E37"/>
    <w:rsid w:val="001543D2"/>
    <w:rsid w:val="0015774F"/>
    <w:rsid w:val="00160F18"/>
    <w:rsid w:val="00161B1C"/>
    <w:rsid w:val="0016208A"/>
    <w:rsid w:val="00163A3C"/>
    <w:rsid w:val="001658DE"/>
    <w:rsid w:val="001663B2"/>
    <w:rsid w:val="00166AF0"/>
    <w:rsid w:val="00167375"/>
    <w:rsid w:val="001676D4"/>
    <w:rsid w:val="001708CC"/>
    <w:rsid w:val="00170E4E"/>
    <w:rsid w:val="0017260B"/>
    <w:rsid w:val="00172D6D"/>
    <w:rsid w:val="00174026"/>
    <w:rsid w:val="001741E8"/>
    <w:rsid w:val="00175097"/>
    <w:rsid w:val="00175A8C"/>
    <w:rsid w:val="00184B4F"/>
    <w:rsid w:val="00184BFA"/>
    <w:rsid w:val="001856EE"/>
    <w:rsid w:val="00187E09"/>
    <w:rsid w:val="0019062A"/>
    <w:rsid w:val="00190BFB"/>
    <w:rsid w:val="00191E12"/>
    <w:rsid w:val="00194C3C"/>
    <w:rsid w:val="00195453"/>
    <w:rsid w:val="00195BD8"/>
    <w:rsid w:val="00197890"/>
    <w:rsid w:val="001978B5"/>
    <w:rsid w:val="00197985"/>
    <w:rsid w:val="00197F71"/>
    <w:rsid w:val="001A3477"/>
    <w:rsid w:val="001A48E5"/>
    <w:rsid w:val="001A729B"/>
    <w:rsid w:val="001B1C51"/>
    <w:rsid w:val="001B326B"/>
    <w:rsid w:val="001B58CB"/>
    <w:rsid w:val="001B5AC8"/>
    <w:rsid w:val="001B6619"/>
    <w:rsid w:val="001B76EB"/>
    <w:rsid w:val="001B7F55"/>
    <w:rsid w:val="001C12E5"/>
    <w:rsid w:val="001C1DA8"/>
    <w:rsid w:val="001C37CC"/>
    <w:rsid w:val="001D11A0"/>
    <w:rsid w:val="001D1EB1"/>
    <w:rsid w:val="001D1F89"/>
    <w:rsid w:val="001D4B1A"/>
    <w:rsid w:val="001D5EC5"/>
    <w:rsid w:val="001D7856"/>
    <w:rsid w:val="001E029E"/>
    <w:rsid w:val="001E1240"/>
    <w:rsid w:val="001E199B"/>
    <w:rsid w:val="001E2499"/>
    <w:rsid w:val="001E2792"/>
    <w:rsid w:val="001E34B6"/>
    <w:rsid w:val="001E4325"/>
    <w:rsid w:val="001E638E"/>
    <w:rsid w:val="001F0AB0"/>
    <w:rsid w:val="001F1CC9"/>
    <w:rsid w:val="001F2B15"/>
    <w:rsid w:val="001F3179"/>
    <w:rsid w:val="001F34EB"/>
    <w:rsid w:val="001F3CFE"/>
    <w:rsid w:val="001F75F1"/>
    <w:rsid w:val="001F7B8C"/>
    <w:rsid w:val="00200F27"/>
    <w:rsid w:val="00202087"/>
    <w:rsid w:val="002023C1"/>
    <w:rsid w:val="0020258B"/>
    <w:rsid w:val="002036F2"/>
    <w:rsid w:val="00204D6B"/>
    <w:rsid w:val="002055F1"/>
    <w:rsid w:val="00205AAF"/>
    <w:rsid w:val="00206E71"/>
    <w:rsid w:val="0020711E"/>
    <w:rsid w:val="00207746"/>
    <w:rsid w:val="00210880"/>
    <w:rsid w:val="00212238"/>
    <w:rsid w:val="00212510"/>
    <w:rsid w:val="002148BF"/>
    <w:rsid w:val="00215F62"/>
    <w:rsid w:val="002174A9"/>
    <w:rsid w:val="002202AC"/>
    <w:rsid w:val="00222448"/>
    <w:rsid w:val="00224F45"/>
    <w:rsid w:val="002257B9"/>
    <w:rsid w:val="00227F3C"/>
    <w:rsid w:val="0023137D"/>
    <w:rsid w:val="002314A4"/>
    <w:rsid w:val="00232355"/>
    <w:rsid w:val="00232BB2"/>
    <w:rsid w:val="00234F91"/>
    <w:rsid w:val="00240DBC"/>
    <w:rsid w:val="0024212B"/>
    <w:rsid w:val="002444AA"/>
    <w:rsid w:val="00245878"/>
    <w:rsid w:val="00245AFB"/>
    <w:rsid w:val="002471E6"/>
    <w:rsid w:val="00250BBD"/>
    <w:rsid w:val="00251E16"/>
    <w:rsid w:val="0025356A"/>
    <w:rsid w:val="00253C74"/>
    <w:rsid w:val="00254CBF"/>
    <w:rsid w:val="002556AD"/>
    <w:rsid w:val="00255B0C"/>
    <w:rsid w:val="00255B6A"/>
    <w:rsid w:val="00255F01"/>
    <w:rsid w:val="002613B2"/>
    <w:rsid w:val="0026285E"/>
    <w:rsid w:val="0026376A"/>
    <w:rsid w:val="0026483B"/>
    <w:rsid w:val="00264B9C"/>
    <w:rsid w:val="002650AD"/>
    <w:rsid w:val="0026528C"/>
    <w:rsid w:val="002661CD"/>
    <w:rsid w:val="002663F2"/>
    <w:rsid w:val="00266710"/>
    <w:rsid w:val="002670F0"/>
    <w:rsid w:val="002735B7"/>
    <w:rsid w:val="00276D75"/>
    <w:rsid w:val="002805B8"/>
    <w:rsid w:val="00281144"/>
    <w:rsid w:val="00282800"/>
    <w:rsid w:val="00282A26"/>
    <w:rsid w:val="00282F4C"/>
    <w:rsid w:val="00283CB1"/>
    <w:rsid w:val="00290944"/>
    <w:rsid w:val="00290EBC"/>
    <w:rsid w:val="00291A97"/>
    <w:rsid w:val="00293473"/>
    <w:rsid w:val="002938CE"/>
    <w:rsid w:val="002A0BA6"/>
    <w:rsid w:val="002A0C7D"/>
    <w:rsid w:val="002A14E5"/>
    <w:rsid w:val="002B05E3"/>
    <w:rsid w:val="002B1956"/>
    <w:rsid w:val="002B462F"/>
    <w:rsid w:val="002B55C0"/>
    <w:rsid w:val="002B5D1A"/>
    <w:rsid w:val="002B601B"/>
    <w:rsid w:val="002B60D2"/>
    <w:rsid w:val="002B6640"/>
    <w:rsid w:val="002C1B79"/>
    <w:rsid w:val="002C1DAF"/>
    <w:rsid w:val="002C3BDA"/>
    <w:rsid w:val="002C4886"/>
    <w:rsid w:val="002C695A"/>
    <w:rsid w:val="002C6E4F"/>
    <w:rsid w:val="002C70C0"/>
    <w:rsid w:val="002D61AC"/>
    <w:rsid w:val="002E2870"/>
    <w:rsid w:val="002E3331"/>
    <w:rsid w:val="002E3F25"/>
    <w:rsid w:val="002E4720"/>
    <w:rsid w:val="002E6543"/>
    <w:rsid w:val="002F012A"/>
    <w:rsid w:val="002F07B4"/>
    <w:rsid w:val="002F0AF3"/>
    <w:rsid w:val="002F240A"/>
    <w:rsid w:val="002F26F9"/>
    <w:rsid w:val="002F2F90"/>
    <w:rsid w:val="002F4CD2"/>
    <w:rsid w:val="002F623F"/>
    <w:rsid w:val="002F7547"/>
    <w:rsid w:val="00300F1D"/>
    <w:rsid w:val="0030141C"/>
    <w:rsid w:val="0030175A"/>
    <w:rsid w:val="00301B97"/>
    <w:rsid w:val="003023E1"/>
    <w:rsid w:val="00303452"/>
    <w:rsid w:val="003043A6"/>
    <w:rsid w:val="003056B1"/>
    <w:rsid w:val="00305A15"/>
    <w:rsid w:val="00310367"/>
    <w:rsid w:val="0031055C"/>
    <w:rsid w:val="0031193A"/>
    <w:rsid w:val="003132A3"/>
    <w:rsid w:val="0031359E"/>
    <w:rsid w:val="003137EC"/>
    <w:rsid w:val="00321B45"/>
    <w:rsid w:val="003229C6"/>
    <w:rsid w:val="00322D6C"/>
    <w:rsid w:val="00323311"/>
    <w:rsid w:val="00325692"/>
    <w:rsid w:val="003257F4"/>
    <w:rsid w:val="00325CCD"/>
    <w:rsid w:val="00327675"/>
    <w:rsid w:val="003324F7"/>
    <w:rsid w:val="00334365"/>
    <w:rsid w:val="00334645"/>
    <w:rsid w:val="00334F7C"/>
    <w:rsid w:val="00334F88"/>
    <w:rsid w:val="0033500F"/>
    <w:rsid w:val="00335AF8"/>
    <w:rsid w:val="00335C34"/>
    <w:rsid w:val="0033733C"/>
    <w:rsid w:val="00337369"/>
    <w:rsid w:val="003375AA"/>
    <w:rsid w:val="00337877"/>
    <w:rsid w:val="00341531"/>
    <w:rsid w:val="003429FD"/>
    <w:rsid w:val="00343119"/>
    <w:rsid w:val="0034489C"/>
    <w:rsid w:val="00345328"/>
    <w:rsid w:val="00347116"/>
    <w:rsid w:val="003542C9"/>
    <w:rsid w:val="00360A46"/>
    <w:rsid w:val="00360C63"/>
    <w:rsid w:val="00360E5D"/>
    <w:rsid w:val="00362DED"/>
    <w:rsid w:val="00363F72"/>
    <w:rsid w:val="003642C2"/>
    <w:rsid w:val="00364583"/>
    <w:rsid w:val="003653D4"/>
    <w:rsid w:val="003667B9"/>
    <w:rsid w:val="00366CAF"/>
    <w:rsid w:val="0036726E"/>
    <w:rsid w:val="00370507"/>
    <w:rsid w:val="003707DB"/>
    <w:rsid w:val="00370A71"/>
    <w:rsid w:val="00371154"/>
    <w:rsid w:val="00371CFB"/>
    <w:rsid w:val="00372542"/>
    <w:rsid w:val="0037298A"/>
    <w:rsid w:val="003750A2"/>
    <w:rsid w:val="00375510"/>
    <w:rsid w:val="00375939"/>
    <w:rsid w:val="00375AEC"/>
    <w:rsid w:val="00376236"/>
    <w:rsid w:val="00376280"/>
    <w:rsid w:val="0037652C"/>
    <w:rsid w:val="003800E4"/>
    <w:rsid w:val="00380BF2"/>
    <w:rsid w:val="00380FF5"/>
    <w:rsid w:val="003827BB"/>
    <w:rsid w:val="00383416"/>
    <w:rsid w:val="00384F69"/>
    <w:rsid w:val="00386C56"/>
    <w:rsid w:val="00386F1A"/>
    <w:rsid w:val="00387780"/>
    <w:rsid w:val="00390DC7"/>
    <w:rsid w:val="0039350B"/>
    <w:rsid w:val="0039524C"/>
    <w:rsid w:val="003970B0"/>
    <w:rsid w:val="003A10C4"/>
    <w:rsid w:val="003A240C"/>
    <w:rsid w:val="003A24F9"/>
    <w:rsid w:val="003A502E"/>
    <w:rsid w:val="003A5DAF"/>
    <w:rsid w:val="003A5F5D"/>
    <w:rsid w:val="003A6174"/>
    <w:rsid w:val="003A61EA"/>
    <w:rsid w:val="003A63C5"/>
    <w:rsid w:val="003A6B17"/>
    <w:rsid w:val="003A75A9"/>
    <w:rsid w:val="003B0D45"/>
    <w:rsid w:val="003B0D58"/>
    <w:rsid w:val="003B4F15"/>
    <w:rsid w:val="003B50E2"/>
    <w:rsid w:val="003B5A58"/>
    <w:rsid w:val="003B5E34"/>
    <w:rsid w:val="003B6627"/>
    <w:rsid w:val="003C1336"/>
    <w:rsid w:val="003C19E7"/>
    <w:rsid w:val="003C1E92"/>
    <w:rsid w:val="003C2883"/>
    <w:rsid w:val="003C45E3"/>
    <w:rsid w:val="003C60C9"/>
    <w:rsid w:val="003C6491"/>
    <w:rsid w:val="003C65B2"/>
    <w:rsid w:val="003D0C25"/>
    <w:rsid w:val="003D100A"/>
    <w:rsid w:val="003D11A1"/>
    <w:rsid w:val="003D137B"/>
    <w:rsid w:val="003D2305"/>
    <w:rsid w:val="003D2AA1"/>
    <w:rsid w:val="003D301A"/>
    <w:rsid w:val="003D3763"/>
    <w:rsid w:val="003D3FA1"/>
    <w:rsid w:val="003D5592"/>
    <w:rsid w:val="003D70F0"/>
    <w:rsid w:val="003E0383"/>
    <w:rsid w:val="003E0A83"/>
    <w:rsid w:val="003E0E39"/>
    <w:rsid w:val="003E4D56"/>
    <w:rsid w:val="003E684F"/>
    <w:rsid w:val="003E6B38"/>
    <w:rsid w:val="003E75BE"/>
    <w:rsid w:val="003E7ED9"/>
    <w:rsid w:val="003F01EA"/>
    <w:rsid w:val="003F024E"/>
    <w:rsid w:val="003F0A7D"/>
    <w:rsid w:val="003F1532"/>
    <w:rsid w:val="003F2EBA"/>
    <w:rsid w:val="003F5D92"/>
    <w:rsid w:val="003F5EE6"/>
    <w:rsid w:val="004030AB"/>
    <w:rsid w:val="0040453E"/>
    <w:rsid w:val="0040599E"/>
    <w:rsid w:val="00405E68"/>
    <w:rsid w:val="00406039"/>
    <w:rsid w:val="00406BAA"/>
    <w:rsid w:val="00406F38"/>
    <w:rsid w:val="00411433"/>
    <w:rsid w:val="00412282"/>
    <w:rsid w:val="00412459"/>
    <w:rsid w:val="00413CE5"/>
    <w:rsid w:val="0041473A"/>
    <w:rsid w:val="00416248"/>
    <w:rsid w:val="00416F5F"/>
    <w:rsid w:val="00417685"/>
    <w:rsid w:val="00421B25"/>
    <w:rsid w:val="0042201C"/>
    <w:rsid w:val="0042347C"/>
    <w:rsid w:val="004236F5"/>
    <w:rsid w:val="004256BA"/>
    <w:rsid w:val="004276B3"/>
    <w:rsid w:val="00431999"/>
    <w:rsid w:val="00432792"/>
    <w:rsid w:val="00433447"/>
    <w:rsid w:val="00433475"/>
    <w:rsid w:val="004339F1"/>
    <w:rsid w:val="00434A35"/>
    <w:rsid w:val="00435682"/>
    <w:rsid w:val="0043622D"/>
    <w:rsid w:val="00436C61"/>
    <w:rsid w:val="00440A25"/>
    <w:rsid w:val="00441E20"/>
    <w:rsid w:val="0044241B"/>
    <w:rsid w:val="004431B0"/>
    <w:rsid w:val="004436D3"/>
    <w:rsid w:val="00444185"/>
    <w:rsid w:val="00444576"/>
    <w:rsid w:val="0044542C"/>
    <w:rsid w:val="004459FC"/>
    <w:rsid w:val="0044706A"/>
    <w:rsid w:val="00451C81"/>
    <w:rsid w:val="00451D6C"/>
    <w:rsid w:val="00452C92"/>
    <w:rsid w:val="00452E77"/>
    <w:rsid w:val="00453CDE"/>
    <w:rsid w:val="00454AC2"/>
    <w:rsid w:val="004554DD"/>
    <w:rsid w:val="00456081"/>
    <w:rsid w:val="00456276"/>
    <w:rsid w:val="00456DA6"/>
    <w:rsid w:val="00460481"/>
    <w:rsid w:val="004607E8"/>
    <w:rsid w:val="00461DEF"/>
    <w:rsid w:val="0046320A"/>
    <w:rsid w:val="00464064"/>
    <w:rsid w:val="00464F5D"/>
    <w:rsid w:val="00466719"/>
    <w:rsid w:val="00467051"/>
    <w:rsid w:val="0046782F"/>
    <w:rsid w:val="00470B4F"/>
    <w:rsid w:val="004731DB"/>
    <w:rsid w:val="00474FBD"/>
    <w:rsid w:val="00475AB1"/>
    <w:rsid w:val="004819CC"/>
    <w:rsid w:val="0048293D"/>
    <w:rsid w:val="0048366A"/>
    <w:rsid w:val="00484ACE"/>
    <w:rsid w:val="00484CAC"/>
    <w:rsid w:val="004850BE"/>
    <w:rsid w:val="00485C5B"/>
    <w:rsid w:val="00485D72"/>
    <w:rsid w:val="00491D7D"/>
    <w:rsid w:val="004932D6"/>
    <w:rsid w:val="004936A9"/>
    <w:rsid w:val="004939F1"/>
    <w:rsid w:val="00493EC8"/>
    <w:rsid w:val="00495A93"/>
    <w:rsid w:val="004964DB"/>
    <w:rsid w:val="00497450"/>
    <w:rsid w:val="00497CB4"/>
    <w:rsid w:val="00497FAC"/>
    <w:rsid w:val="004A0261"/>
    <w:rsid w:val="004A0DEF"/>
    <w:rsid w:val="004A2E79"/>
    <w:rsid w:val="004A300B"/>
    <w:rsid w:val="004A37F2"/>
    <w:rsid w:val="004A3F59"/>
    <w:rsid w:val="004A4F32"/>
    <w:rsid w:val="004A5743"/>
    <w:rsid w:val="004A5BF5"/>
    <w:rsid w:val="004A68EF"/>
    <w:rsid w:val="004A7572"/>
    <w:rsid w:val="004A791E"/>
    <w:rsid w:val="004B144D"/>
    <w:rsid w:val="004B16A9"/>
    <w:rsid w:val="004B211C"/>
    <w:rsid w:val="004B2F8D"/>
    <w:rsid w:val="004B4F91"/>
    <w:rsid w:val="004B511A"/>
    <w:rsid w:val="004B55C8"/>
    <w:rsid w:val="004B58F4"/>
    <w:rsid w:val="004B5E6A"/>
    <w:rsid w:val="004C0324"/>
    <w:rsid w:val="004C100F"/>
    <w:rsid w:val="004C115A"/>
    <w:rsid w:val="004C3190"/>
    <w:rsid w:val="004C3DDF"/>
    <w:rsid w:val="004C3F45"/>
    <w:rsid w:val="004C513B"/>
    <w:rsid w:val="004C5B5E"/>
    <w:rsid w:val="004C721D"/>
    <w:rsid w:val="004C7893"/>
    <w:rsid w:val="004D1B24"/>
    <w:rsid w:val="004D1CF6"/>
    <w:rsid w:val="004D5416"/>
    <w:rsid w:val="004D5D3E"/>
    <w:rsid w:val="004D6359"/>
    <w:rsid w:val="004D664D"/>
    <w:rsid w:val="004D798C"/>
    <w:rsid w:val="004D7D72"/>
    <w:rsid w:val="004E005B"/>
    <w:rsid w:val="004E07FC"/>
    <w:rsid w:val="004E0B11"/>
    <w:rsid w:val="004E188C"/>
    <w:rsid w:val="004E1C04"/>
    <w:rsid w:val="004E27AF"/>
    <w:rsid w:val="004E2835"/>
    <w:rsid w:val="004E40EF"/>
    <w:rsid w:val="004E4491"/>
    <w:rsid w:val="004E689A"/>
    <w:rsid w:val="004E73F7"/>
    <w:rsid w:val="004F0154"/>
    <w:rsid w:val="004F231B"/>
    <w:rsid w:val="004F36D2"/>
    <w:rsid w:val="004F6CD6"/>
    <w:rsid w:val="004F76A0"/>
    <w:rsid w:val="004F7E2D"/>
    <w:rsid w:val="00500046"/>
    <w:rsid w:val="00500E7F"/>
    <w:rsid w:val="00501370"/>
    <w:rsid w:val="005017D3"/>
    <w:rsid w:val="00503E42"/>
    <w:rsid w:val="005042DE"/>
    <w:rsid w:val="00504FEB"/>
    <w:rsid w:val="00505D62"/>
    <w:rsid w:val="00506F4A"/>
    <w:rsid w:val="00507400"/>
    <w:rsid w:val="00507CF2"/>
    <w:rsid w:val="0051015A"/>
    <w:rsid w:val="00510A50"/>
    <w:rsid w:val="00512882"/>
    <w:rsid w:val="0051524A"/>
    <w:rsid w:val="00516AD7"/>
    <w:rsid w:val="005200C5"/>
    <w:rsid w:val="00520D6C"/>
    <w:rsid w:val="00521192"/>
    <w:rsid w:val="0052179D"/>
    <w:rsid w:val="00525102"/>
    <w:rsid w:val="00525604"/>
    <w:rsid w:val="00525C0B"/>
    <w:rsid w:val="0052714F"/>
    <w:rsid w:val="00527280"/>
    <w:rsid w:val="0052791E"/>
    <w:rsid w:val="00531B94"/>
    <w:rsid w:val="00531C18"/>
    <w:rsid w:val="00533EBC"/>
    <w:rsid w:val="00534AC8"/>
    <w:rsid w:val="00536677"/>
    <w:rsid w:val="00536BA0"/>
    <w:rsid w:val="00537148"/>
    <w:rsid w:val="005374A3"/>
    <w:rsid w:val="00537D0D"/>
    <w:rsid w:val="0054066C"/>
    <w:rsid w:val="0054280B"/>
    <w:rsid w:val="00542D71"/>
    <w:rsid w:val="005456A9"/>
    <w:rsid w:val="00547800"/>
    <w:rsid w:val="00547A54"/>
    <w:rsid w:val="00551863"/>
    <w:rsid w:val="00551C54"/>
    <w:rsid w:val="005520DB"/>
    <w:rsid w:val="005524E7"/>
    <w:rsid w:val="005530ED"/>
    <w:rsid w:val="00553AF7"/>
    <w:rsid w:val="005545CB"/>
    <w:rsid w:val="00554BE1"/>
    <w:rsid w:val="00555944"/>
    <w:rsid w:val="00555D52"/>
    <w:rsid w:val="005566D7"/>
    <w:rsid w:val="00557661"/>
    <w:rsid w:val="00557E23"/>
    <w:rsid w:val="00560973"/>
    <w:rsid w:val="00561227"/>
    <w:rsid w:val="00561F7F"/>
    <w:rsid w:val="00563854"/>
    <w:rsid w:val="00563EA0"/>
    <w:rsid w:val="005654D0"/>
    <w:rsid w:val="00565997"/>
    <w:rsid w:val="005661D8"/>
    <w:rsid w:val="00566B35"/>
    <w:rsid w:val="00566B8F"/>
    <w:rsid w:val="00570097"/>
    <w:rsid w:val="00570B6A"/>
    <w:rsid w:val="005726F9"/>
    <w:rsid w:val="00572886"/>
    <w:rsid w:val="005732CC"/>
    <w:rsid w:val="00575422"/>
    <w:rsid w:val="00575696"/>
    <w:rsid w:val="005767F6"/>
    <w:rsid w:val="00577715"/>
    <w:rsid w:val="0058054C"/>
    <w:rsid w:val="00583C57"/>
    <w:rsid w:val="0058401D"/>
    <w:rsid w:val="0058542B"/>
    <w:rsid w:val="00585E66"/>
    <w:rsid w:val="005868A1"/>
    <w:rsid w:val="00586EA7"/>
    <w:rsid w:val="005878E6"/>
    <w:rsid w:val="005920E4"/>
    <w:rsid w:val="005923E2"/>
    <w:rsid w:val="00592434"/>
    <w:rsid w:val="005931BF"/>
    <w:rsid w:val="005938C6"/>
    <w:rsid w:val="00596294"/>
    <w:rsid w:val="00597B05"/>
    <w:rsid w:val="005A0431"/>
    <w:rsid w:val="005A128D"/>
    <w:rsid w:val="005A1E9C"/>
    <w:rsid w:val="005A3382"/>
    <w:rsid w:val="005A523D"/>
    <w:rsid w:val="005A5D26"/>
    <w:rsid w:val="005A60BB"/>
    <w:rsid w:val="005A7482"/>
    <w:rsid w:val="005A7F37"/>
    <w:rsid w:val="005B0E45"/>
    <w:rsid w:val="005B18D1"/>
    <w:rsid w:val="005B1A7F"/>
    <w:rsid w:val="005B21FF"/>
    <w:rsid w:val="005B2F9C"/>
    <w:rsid w:val="005B3752"/>
    <w:rsid w:val="005B3AB9"/>
    <w:rsid w:val="005B61C2"/>
    <w:rsid w:val="005B6CF9"/>
    <w:rsid w:val="005C3A8C"/>
    <w:rsid w:val="005C483F"/>
    <w:rsid w:val="005C5C0D"/>
    <w:rsid w:val="005C6AAF"/>
    <w:rsid w:val="005C7BF3"/>
    <w:rsid w:val="005D05F3"/>
    <w:rsid w:val="005D0A90"/>
    <w:rsid w:val="005D131F"/>
    <w:rsid w:val="005D26B7"/>
    <w:rsid w:val="005D3A8B"/>
    <w:rsid w:val="005D4AA1"/>
    <w:rsid w:val="005D7218"/>
    <w:rsid w:val="005D7A2A"/>
    <w:rsid w:val="005E0B37"/>
    <w:rsid w:val="005E189E"/>
    <w:rsid w:val="005E3E0C"/>
    <w:rsid w:val="005E3F54"/>
    <w:rsid w:val="005E5598"/>
    <w:rsid w:val="005E6E34"/>
    <w:rsid w:val="005E7A44"/>
    <w:rsid w:val="005F1346"/>
    <w:rsid w:val="005F2D21"/>
    <w:rsid w:val="005F47A0"/>
    <w:rsid w:val="005F5297"/>
    <w:rsid w:val="005F5E59"/>
    <w:rsid w:val="005F7371"/>
    <w:rsid w:val="005F756D"/>
    <w:rsid w:val="005F77B2"/>
    <w:rsid w:val="006001E4"/>
    <w:rsid w:val="0060146C"/>
    <w:rsid w:val="006016C5"/>
    <w:rsid w:val="006019A9"/>
    <w:rsid w:val="0060207D"/>
    <w:rsid w:val="00602E21"/>
    <w:rsid w:val="00603659"/>
    <w:rsid w:val="006039F2"/>
    <w:rsid w:val="006061B0"/>
    <w:rsid w:val="0060732E"/>
    <w:rsid w:val="006076A9"/>
    <w:rsid w:val="00607729"/>
    <w:rsid w:val="006077A3"/>
    <w:rsid w:val="006105AE"/>
    <w:rsid w:val="00610710"/>
    <w:rsid w:val="0061228F"/>
    <w:rsid w:val="00613A48"/>
    <w:rsid w:val="00613CE5"/>
    <w:rsid w:val="00614ED2"/>
    <w:rsid w:val="00615C37"/>
    <w:rsid w:val="00617B35"/>
    <w:rsid w:val="00620F98"/>
    <w:rsid w:val="0062180D"/>
    <w:rsid w:val="00621F30"/>
    <w:rsid w:val="0062315F"/>
    <w:rsid w:val="00623DFB"/>
    <w:rsid w:val="00625521"/>
    <w:rsid w:val="00625E1D"/>
    <w:rsid w:val="0063028F"/>
    <w:rsid w:val="00631C31"/>
    <w:rsid w:val="006332D0"/>
    <w:rsid w:val="006335AE"/>
    <w:rsid w:val="00633B8A"/>
    <w:rsid w:val="006341BE"/>
    <w:rsid w:val="006349AA"/>
    <w:rsid w:val="006363D3"/>
    <w:rsid w:val="006368F4"/>
    <w:rsid w:val="0064039A"/>
    <w:rsid w:val="0064055F"/>
    <w:rsid w:val="006411C2"/>
    <w:rsid w:val="00641BFB"/>
    <w:rsid w:val="0064243A"/>
    <w:rsid w:val="00643114"/>
    <w:rsid w:val="00643E9A"/>
    <w:rsid w:val="00645D13"/>
    <w:rsid w:val="00646C55"/>
    <w:rsid w:val="00647871"/>
    <w:rsid w:val="0065125A"/>
    <w:rsid w:val="00651401"/>
    <w:rsid w:val="00651867"/>
    <w:rsid w:val="00651E40"/>
    <w:rsid w:val="006526E4"/>
    <w:rsid w:val="00652BC8"/>
    <w:rsid w:val="006531F1"/>
    <w:rsid w:val="00653B92"/>
    <w:rsid w:val="006544EA"/>
    <w:rsid w:val="006600FE"/>
    <w:rsid w:val="00663E8E"/>
    <w:rsid w:val="0066569F"/>
    <w:rsid w:val="00667784"/>
    <w:rsid w:val="0067130B"/>
    <w:rsid w:val="006716CD"/>
    <w:rsid w:val="00672D28"/>
    <w:rsid w:val="00676B21"/>
    <w:rsid w:val="00676E88"/>
    <w:rsid w:val="00677F2F"/>
    <w:rsid w:val="00681A73"/>
    <w:rsid w:val="00682C06"/>
    <w:rsid w:val="006834B6"/>
    <w:rsid w:val="00684084"/>
    <w:rsid w:val="006842D0"/>
    <w:rsid w:val="006851A0"/>
    <w:rsid w:val="006864B8"/>
    <w:rsid w:val="00687275"/>
    <w:rsid w:val="00687B1E"/>
    <w:rsid w:val="0069004B"/>
    <w:rsid w:val="00690440"/>
    <w:rsid w:val="00693231"/>
    <w:rsid w:val="0069345C"/>
    <w:rsid w:val="00693D0B"/>
    <w:rsid w:val="0069476E"/>
    <w:rsid w:val="0069499A"/>
    <w:rsid w:val="00694BE7"/>
    <w:rsid w:val="00695A16"/>
    <w:rsid w:val="006A0952"/>
    <w:rsid w:val="006A145D"/>
    <w:rsid w:val="006A180F"/>
    <w:rsid w:val="006A2BC6"/>
    <w:rsid w:val="006A3C9B"/>
    <w:rsid w:val="006A4D84"/>
    <w:rsid w:val="006A5A02"/>
    <w:rsid w:val="006B08EB"/>
    <w:rsid w:val="006B1BEA"/>
    <w:rsid w:val="006B1C9A"/>
    <w:rsid w:val="006B3509"/>
    <w:rsid w:val="006B481F"/>
    <w:rsid w:val="006B50D4"/>
    <w:rsid w:val="006B55E9"/>
    <w:rsid w:val="006B7207"/>
    <w:rsid w:val="006B7961"/>
    <w:rsid w:val="006C009B"/>
    <w:rsid w:val="006C2486"/>
    <w:rsid w:val="006C3D5C"/>
    <w:rsid w:val="006C4322"/>
    <w:rsid w:val="006C4723"/>
    <w:rsid w:val="006C63BE"/>
    <w:rsid w:val="006D0527"/>
    <w:rsid w:val="006D1840"/>
    <w:rsid w:val="006D23A2"/>
    <w:rsid w:val="006D31F8"/>
    <w:rsid w:val="006D3FEE"/>
    <w:rsid w:val="006D4FA2"/>
    <w:rsid w:val="006D7989"/>
    <w:rsid w:val="006E003F"/>
    <w:rsid w:val="006E0B85"/>
    <w:rsid w:val="006E106E"/>
    <w:rsid w:val="006E17A5"/>
    <w:rsid w:val="006E27ED"/>
    <w:rsid w:val="006E2BD3"/>
    <w:rsid w:val="006E2E76"/>
    <w:rsid w:val="006E4078"/>
    <w:rsid w:val="006E42A8"/>
    <w:rsid w:val="006E4DF7"/>
    <w:rsid w:val="006E6296"/>
    <w:rsid w:val="006F18E2"/>
    <w:rsid w:val="006F59F5"/>
    <w:rsid w:val="006F5FCA"/>
    <w:rsid w:val="006F6324"/>
    <w:rsid w:val="006F638E"/>
    <w:rsid w:val="006F697C"/>
    <w:rsid w:val="006F741F"/>
    <w:rsid w:val="00702700"/>
    <w:rsid w:val="00702D8E"/>
    <w:rsid w:val="00703E42"/>
    <w:rsid w:val="00704139"/>
    <w:rsid w:val="007044EE"/>
    <w:rsid w:val="00710841"/>
    <w:rsid w:val="00710C49"/>
    <w:rsid w:val="007118DB"/>
    <w:rsid w:val="00714428"/>
    <w:rsid w:val="0071444A"/>
    <w:rsid w:val="00716474"/>
    <w:rsid w:val="007205B5"/>
    <w:rsid w:val="00721056"/>
    <w:rsid w:val="00722DFB"/>
    <w:rsid w:val="00722E50"/>
    <w:rsid w:val="007233AF"/>
    <w:rsid w:val="0072389D"/>
    <w:rsid w:val="00723C76"/>
    <w:rsid w:val="0072403B"/>
    <w:rsid w:val="007251AC"/>
    <w:rsid w:val="00726487"/>
    <w:rsid w:val="00727852"/>
    <w:rsid w:val="00727F52"/>
    <w:rsid w:val="00731102"/>
    <w:rsid w:val="00731E17"/>
    <w:rsid w:val="00732B85"/>
    <w:rsid w:val="00733AC8"/>
    <w:rsid w:val="00733E65"/>
    <w:rsid w:val="00735086"/>
    <w:rsid w:val="007368AD"/>
    <w:rsid w:val="0073777F"/>
    <w:rsid w:val="00737862"/>
    <w:rsid w:val="007403B6"/>
    <w:rsid w:val="00741272"/>
    <w:rsid w:val="007423FF"/>
    <w:rsid w:val="00743C39"/>
    <w:rsid w:val="00745C53"/>
    <w:rsid w:val="00745FD5"/>
    <w:rsid w:val="00747123"/>
    <w:rsid w:val="00747206"/>
    <w:rsid w:val="0075063C"/>
    <w:rsid w:val="00750A20"/>
    <w:rsid w:val="00750BA5"/>
    <w:rsid w:val="00751264"/>
    <w:rsid w:val="00751C6B"/>
    <w:rsid w:val="00751D2A"/>
    <w:rsid w:val="00752C33"/>
    <w:rsid w:val="00753181"/>
    <w:rsid w:val="007532A7"/>
    <w:rsid w:val="007548C2"/>
    <w:rsid w:val="00755095"/>
    <w:rsid w:val="0075544F"/>
    <w:rsid w:val="00757A57"/>
    <w:rsid w:val="00760725"/>
    <w:rsid w:val="007613A0"/>
    <w:rsid w:val="0076179B"/>
    <w:rsid w:val="00761CC2"/>
    <w:rsid w:val="007624A1"/>
    <w:rsid w:val="007628C7"/>
    <w:rsid w:val="007631E3"/>
    <w:rsid w:val="007633BD"/>
    <w:rsid w:val="00763ADF"/>
    <w:rsid w:val="00763C12"/>
    <w:rsid w:val="007663B1"/>
    <w:rsid w:val="0076789C"/>
    <w:rsid w:val="00767923"/>
    <w:rsid w:val="0077116D"/>
    <w:rsid w:val="00772864"/>
    <w:rsid w:val="00773FCC"/>
    <w:rsid w:val="00774304"/>
    <w:rsid w:val="00776382"/>
    <w:rsid w:val="00777B67"/>
    <w:rsid w:val="00781D2D"/>
    <w:rsid w:val="007831A7"/>
    <w:rsid w:val="007833AB"/>
    <w:rsid w:val="007848D9"/>
    <w:rsid w:val="00785F63"/>
    <w:rsid w:val="00786CBF"/>
    <w:rsid w:val="007871BB"/>
    <w:rsid w:val="00793A7F"/>
    <w:rsid w:val="00793BD2"/>
    <w:rsid w:val="00793DB7"/>
    <w:rsid w:val="007947F4"/>
    <w:rsid w:val="00796A07"/>
    <w:rsid w:val="00796FA5"/>
    <w:rsid w:val="007A4DCA"/>
    <w:rsid w:val="007A4F35"/>
    <w:rsid w:val="007A5027"/>
    <w:rsid w:val="007A51FE"/>
    <w:rsid w:val="007A590E"/>
    <w:rsid w:val="007A5B3D"/>
    <w:rsid w:val="007A7107"/>
    <w:rsid w:val="007B0207"/>
    <w:rsid w:val="007B1DCA"/>
    <w:rsid w:val="007B2112"/>
    <w:rsid w:val="007B4C27"/>
    <w:rsid w:val="007B5FCD"/>
    <w:rsid w:val="007B62EF"/>
    <w:rsid w:val="007B796D"/>
    <w:rsid w:val="007B7B60"/>
    <w:rsid w:val="007C1368"/>
    <w:rsid w:val="007C1B07"/>
    <w:rsid w:val="007C2FC5"/>
    <w:rsid w:val="007C3BF8"/>
    <w:rsid w:val="007C6699"/>
    <w:rsid w:val="007D0C02"/>
    <w:rsid w:val="007D1FFA"/>
    <w:rsid w:val="007D28DD"/>
    <w:rsid w:val="007D4008"/>
    <w:rsid w:val="007D500C"/>
    <w:rsid w:val="007D59C9"/>
    <w:rsid w:val="007D66DD"/>
    <w:rsid w:val="007D7247"/>
    <w:rsid w:val="007D754A"/>
    <w:rsid w:val="007D7967"/>
    <w:rsid w:val="007D7C35"/>
    <w:rsid w:val="007E115B"/>
    <w:rsid w:val="007E1DF4"/>
    <w:rsid w:val="007E2610"/>
    <w:rsid w:val="007E2BE6"/>
    <w:rsid w:val="007E5085"/>
    <w:rsid w:val="007E6C4B"/>
    <w:rsid w:val="007F10E3"/>
    <w:rsid w:val="007F16DD"/>
    <w:rsid w:val="007F2884"/>
    <w:rsid w:val="007F2C0E"/>
    <w:rsid w:val="007F3B4B"/>
    <w:rsid w:val="007F5ABB"/>
    <w:rsid w:val="007F783F"/>
    <w:rsid w:val="00801D54"/>
    <w:rsid w:val="008038AA"/>
    <w:rsid w:val="00804AD9"/>
    <w:rsid w:val="00804AEB"/>
    <w:rsid w:val="00805CEC"/>
    <w:rsid w:val="008067D6"/>
    <w:rsid w:val="008067FF"/>
    <w:rsid w:val="0080684F"/>
    <w:rsid w:val="00810B62"/>
    <w:rsid w:val="00815C4E"/>
    <w:rsid w:val="008172A1"/>
    <w:rsid w:val="008177C3"/>
    <w:rsid w:val="00817B47"/>
    <w:rsid w:val="00820136"/>
    <w:rsid w:val="00820405"/>
    <w:rsid w:val="00824CC8"/>
    <w:rsid w:val="00825024"/>
    <w:rsid w:val="00826DB8"/>
    <w:rsid w:val="00826FF5"/>
    <w:rsid w:val="0082731B"/>
    <w:rsid w:val="00830F2D"/>
    <w:rsid w:val="00832B1E"/>
    <w:rsid w:val="008349B4"/>
    <w:rsid w:val="00834B3D"/>
    <w:rsid w:val="00836B2A"/>
    <w:rsid w:val="00836D17"/>
    <w:rsid w:val="00840A55"/>
    <w:rsid w:val="00841E25"/>
    <w:rsid w:val="00842428"/>
    <w:rsid w:val="008429CF"/>
    <w:rsid w:val="008430F8"/>
    <w:rsid w:val="0084378B"/>
    <w:rsid w:val="0084435D"/>
    <w:rsid w:val="008458CA"/>
    <w:rsid w:val="008464CD"/>
    <w:rsid w:val="00847071"/>
    <w:rsid w:val="00847565"/>
    <w:rsid w:val="008477DC"/>
    <w:rsid w:val="0085122C"/>
    <w:rsid w:val="008515EE"/>
    <w:rsid w:val="00853E91"/>
    <w:rsid w:val="00854B39"/>
    <w:rsid w:val="00857DC8"/>
    <w:rsid w:val="00857EB2"/>
    <w:rsid w:val="008609E3"/>
    <w:rsid w:val="008612D5"/>
    <w:rsid w:val="00861C4E"/>
    <w:rsid w:val="0086235D"/>
    <w:rsid w:val="00862C70"/>
    <w:rsid w:val="00864D56"/>
    <w:rsid w:val="008666EC"/>
    <w:rsid w:val="00866D21"/>
    <w:rsid w:val="00867FF2"/>
    <w:rsid w:val="00872D85"/>
    <w:rsid w:val="00873176"/>
    <w:rsid w:val="008734B7"/>
    <w:rsid w:val="00874472"/>
    <w:rsid w:val="00876AA1"/>
    <w:rsid w:val="0088107F"/>
    <w:rsid w:val="008813A6"/>
    <w:rsid w:val="0088200D"/>
    <w:rsid w:val="00882357"/>
    <w:rsid w:val="00882D06"/>
    <w:rsid w:val="00883249"/>
    <w:rsid w:val="00883457"/>
    <w:rsid w:val="00883DDA"/>
    <w:rsid w:val="008841F1"/>
    <w:rsid w:val="008856F3"/>
    <w:rsid w:val="00885D48"/>
    <w:rsid w:val="00887795"/>
    <w:rsid w:val="00891FF9"/>
    <w:rsid w:val="00892ECD"/>
    <w:rsid w:val="00893367"/>
    <w:rsid w:val="00893D07"/>
    <w:rsid w:val="00893F5E"/>
    <w:rsid w:val="008946CB"/>
    <w:rsid w:val="00894879"/>
    <w:rsid w:val="00897117"/>
    <w:rsid w:val="008A03E5"/>
    <w:rsid w:val="008A179D"/>
    <w:rsid w:val="008A33B3"/>
    <w:rsid w:val="008A3680"/>
    <w:rsid w:val="008A36BE"/>
    <w:rsid w:val="008A46BD"/>
    <w:rsid w:val="008A53D5"/>
    <w:rsid w:val="008A7653"/>
    <w:rsid w:val="008A7C1E"/>
    <w:rsid w:val="008B04B5"/>
    <w:rsid w:val="008B0BBA"/>
    <w:rsid w:val="008B2320"/>
    <w:rsid w:val="008B29BC"/>
    <w:rsid w:val="008B37AA"/>
    <w:rsid w:val="008B410A"/>
    <w:rsid w:val="008B4429"/>
    <w:rsid w:val="008B5329"/>
    <w:rsid w:val="008B7956"/>
    <w:rsid w:val="008B7E78"/>
    <w:rsid w:val="008C0B05"/>
    <w:rsid w:val="008C1A6E"/>
    <w:rsid w:val="008C1BB4"/>
    <w:rsid w:val="008C3722"/>
    <w:rsid w:val="008C38D7"/>
    <w:rsid w:val="008C3B67"/>
    <w:rsid w:val="008C3F48"/>
    <w:rsid w:val="008C470F"/>
    <w:rsid w:val="008C4CDB"/>
    <w:rsid w:val="008C6D8B"/>
    <w:rsid w:val="008D03D9"/>
    <w:rsid w:val="008D08EC"/>
    <w:rsid w:val="008D1BFA"/>
    <w:rsid w:val="008D49B4"/>
    <w:rsid w:val="008D6BD8"/>
    <w:rsid w:val="008D7498"/>
    <w:rsid w:val="008E1F11"/>
    <w:rsid w:val="008E3F8F"/>
    <w:rsid w:val="008F252D"/>
    <w:rsid w:val="00900820"/>
    <w:rsid w:val="0090093F"/>
    <w:rsid w:val="00900DD6"/>
    <w:rsid w:val="00900F91"/>
    <w:rsid w:val="00901819"/>
    <w:rsid w:val="00905007"/>
    <w:rsid w:val="009052E0"/>
    <w:rsid w:val="00905A49"/>
    <w:rsid w:val="00906327"/>
    <w:rsid w:val="00911552"/>
    <w:rsid w:val="00912CEC"/>
    <w:rsid w:val="009135B6"/>
    <w:rsid w:val="009140F6"/>
    <w:rsid w:val="00914A64"/>
    <w:rsid w:val="00914B24"/>
    <w:rsid w:val="009203F4"/>
    <w:rsid w:val="00920C3E"/>
    <w:rsid w:val="00921D63"/>
    <w:rsid w:val="00926346"/>
    <w:rsid w:val="009264FA"/>
    <w:rsid w:val="00930EF4"/>
    <w:rsid w:val="00932E96"/>
    <w:rsid w:val="00932FE7"/>
    <w:rsid w:val="009340F2"/>
    <w:rsid w:val="009355FA"/>
    <w:rsid w:val="009375C1"/>
    <w:rsid w:val="009410E2"/>
    <w:rsid w:val="009418E6"/>
    <w:rsid w:val="00941C01"/>
    <w:rsid w:val="0094235F"/>
    <w:rsid w:val="009426C7"/>
    <w:rsid w:val="0094279F"/>
    <w:rsid w:val="0094524C"/>
    <w:rsid w:val="00946B98"/>
    <w:rsid w:val="0095052A"/>
    <w:rsid w:val="00950781"/>
    <w:rsid w:val="009515E6"/>
    <w:rsid w:val="009516DF"/>
    <w:rsid w:val="00951AB5"/>
    <w:rsid w:val="00953BC0"/>
    <w:rsid w:val="009542FF"/>
    <w:rsid w:val="00955BD0"/>
    <w:rsid w:val="0095665A"/>
    <w:rsid w:val="009623FD"/>
    <w:rsid w:val="0096286F"/>
    <w:rsid w:val="00963C1D"/>
    <w:rsid w:val="009652D6"/>
    <w:rsid w:val="009658F0"/>
    <w:rsid w:val="009663D6"/>
    <w:rsid w:val="00966A7D"/>
    <w:rsid w:val="00971655"/>
    <w:rsid w:val="00971B76"/>
    <w:rsid w:val="00971C63"/>
    <w:rsid w:val="00972175"/>
    <w:rsid w:val="009727BB"/>
    <w:rsid w:val="0097715A"/>
    <w:rsid w:val="00981223"/>
    <w:rsid w:val="00981542"/>
    <w:rsid w:val="00981EA1"/>
    <w:rsid w:val="00986344"/>
    <w:rsid w:val="00986F7F"/>
    <w:rsid w:val="009877EA"/>
    <w:rsid w:val="0098787E"/>
    <w:rsid w:val="00990507"/>
    <w:rsid w:val="00991AC0"/>
    <w:rsid w:val="009924EB"/>
    <w:rsid w:val="009925B6"/>
    <w:rsid w:val="009927E0"/>
    <w:rsid w:val="00993825"/>
    <w:rsid w:val="00995318"/>
    <w:rsid w:val="00996357"/>
    <w:rsid w:val="00996807"/>
    <w:rsid w:val="00997902"/>
    <w:rsid w:val="009A2E0F"/>
    <w:rsid w:val="009A36C7"/>
    <w:rsid w:val="009A3B0F"/>
    <w:rsid w:val="009A4464"/>
    <w:rsid w:val="009A47C1"/>
    <w:rsid w:val="009A4AE9"/>
    <w:rsid w:val="009A5CDD"/>
    <w:rsid w:val="009B080D"/>
    <w:rsid w:val="009B358D"/>
    <w:rsid w:val="009B3EFA"/>
    <w:rsid w:val="009B46FD"/>
    <w:rsid w:val="009B4D49"/>
    <w:rsid w:val="009B53A2"/>
    <w:rsid w:val="009B5BFF"/>
    <w:rsid w:val="009B5D45"/>
    <w:rsid w:val="009B643B"/>
    <w:rsid w:val="009B6CD4"/>
    <w:rsid w:val="009B788D"/>
    <w:rsid w:val="009B790C"/>
    <w:rsid w:val="009C1843"/>
    <w:rsid w:val="009C35DC"/>
    <w:rsid w:val="009C3E26"/>
    <w:rsid w:val="009C4148"/>
    <w:rsid w:val="009C57E8"/>
    <w:rsid w:val="009C6204"/>
    <w:rsid w:val="009C71D5"/>
    <w:rsid w:val="009C79ED"/>
    <w:rsid w:val="009D00E3"/>
    <w:rsid w:val="009D0222"/>
    <w:rsid w:val="009D05D0"/>
    <w:rsid w:val="009D1735"/>
    <w:rsid w:val="009D1CE9"/>
    <w:rsid w:val="009D38FE"/>
    <w:rsid w:val="009D3BFE"/>
    <w:rsid w:val="009D44C1"/>
    <w:rsid w:val="009D481E"/>
    <w:rsid w:val="009D72E7"/>
    <w:rsid w:val="009E0A64"/>
    <w:rsid w:val="009E1141"/>
    <w:rsid w:val="009E405E"/>
    <w:rsid w:val="009E69C0"/>
    <w:rsid w:val="009F017F"/>
    <w:rsid w:val="009F0737"/>
    <w:rsid w:val="009F1E14"/>
    <w:rsid w:val="009F210A"/>
    <w:rsid w:val="009F490A"/>
    <w:rsid w:val="009F4C42"/>
    <w:rsid w:val="009F5E95"/>
    <w:rsid w:val="009F7CE4"/>
    <w:rsid w:val="00A0132E"/>
    <w:rsid w:val="00A0280F"/>
    <w:rsid w:val="00A04AC0"/>
    <w:rsid w:val="00A04E08"/>
    <w:rsid w:val="00A051E7"/>
    <w:rsid w:val="00A054D0"/>
    <w:rsid w:val="00A0631F"/>
    <w:rsid w:val="00A078FF"/>
    <w:rsid w:val="00A07936"/>
    <w:rsid w:val="00A11162"/>
    <w:rsid w:val="00A11FF3"/>
    <w:rsid w:val="00A143DD"/>
    <w:rsid w:val="00A20903"/>
    <w:rsid w:val="00A21989"/>
    <w:rsid w:val="00A22175"/>
    <w:rsid w:val="00A26D7E"/>
    <w:rsid w:val="00A277EC"/>
    <w:rsid w:val="00A2794C"/>
    <w:rsid w:val="00A27950"/>
    <w:rsid w:val="00A30A12"/>
    <w:rsid w:val="00A33220"/>
    <w:rsid w:val="00A33F88"/>
    <w:rsid w:val="00A34A4B"/>
    <w:rsid w:val="00A35263"/>
    <w:rsid w:val="00A373B6"/>
    <w:rsid w:val="00A43227"/>
    <w:rsid w:val="00A43B26"/>
    <w:rsid w:val="00A45149"/>
    <w:rsid w:val="00A46CCD"/>
    <w:rsid w:val="00A4737F"/>
    <w:rsid w:val="00A50416"/>
    <w:rsid w:val="00A52415"/>
    <w:rsid w:val="00A53709"/>
    <w:rsid w:val="00A54EBF"/>
    <w:rsid w:val="00A55436"/>
    <w:rsid w:val="00A558F1"/>
    <w:rsid w:val="00A55D8F"/>
    <w:rsid w:val="00A56C36"/>
    <w:rsid w:val="00A570F9"/>
    <w:rsid w:val="00A571AB"/>
    <w:rsid w:val="00A57895"/>
    <w:rsid w:val="00A61166"/>
    <w:rsid w:val="00A6284B"/>
    <w:rsid w:val="00A65133"/>
    <w:rsid w:val="00A652C5"/>
    <w:rsid w:val="00A670C7"/>
    <w:rsid w:val="00A709DA"/>
    <w:rsid w:val="00A71B01"/>
    <w:rsid w:val="00A71B88"/>
    <w:rsid w:val="00A728E9"/>
    <w:rsid w:val="00A7369F"/>
    <w:rsid w:val="00A74198"/>
    <w:rsid w:val="00A743F3"/>
    <w:rsid w:val="00A756D5"/>
    <w:rsid w:val="00A77755"/>
    <w:rsid w:val="00A77781"/>
    <w:rsid w:val="00A778F7"/>
    <w:rsid w:val="00A806B9"/>
    <w:rsid w:val="00A821DE"/>
    <w:rsid w:val="00A82679"/>
    <w:rsid w:val="00A82E60"/>
    <w:rsid w:val="00A84DA3"/>
    <w:rsid w:val="00A85C5A"/>
    <w:rsid w:val="00A86A7D"/>
    <w:rsid w:val="00A8757D"/>
    <w:rsid w:val="00A8758C"/>
    <w:rsid w:val="00A87C32"/>
    <w:rsid w:val="00A923B4"/>
    <w:rsid w:val="00A92936"/>
    <w:rsid w:val="00A934EB"/>
    <w:rsid w:val="00A93866"/>
    <w:rsid w:val="00A94152"/>
    <w:rsid w:val="00A9488E"/>
    <w:rsid w:val="00A96302"/>
    <w:rsid w:val="00A96A08"/>
    <w:rsid w:val="00A97AE6"/>
    <w:rsid w:val="00A97D11"/>
    <w:rsid w:val="00AA0161"/>
    <w:rsid w:val="00AA0D74"/>
    <w:rsid w:val="00AA239E"/>
    <w:rsid w:val="00AA360C"/>
    <w:rsid w:val="00AA766B"/>
    <w:rsid w:val="00AA7F68"/>
    <w:rsid w:val="00AB068C"/>
    <w:rsid w:val="00AB130D"/>
    <w:rsid w:val="00AB1D08"/>
    <w:rsid w:val="00AB230D"/>
    <w:rsid w:val="00AB264B"/>
    <w:rsid w:val="00AB3640"/>
    <w:rsid w:val="00AB4345"/>
    <w:rsid w:val="00AB54CB"/>
    <w:rsid w:val="00AB5BD7"/>
    <w:rsid w:val="00AB6EB6"/>
    <w:rsid w:val="00AC0135"/>
    <w:rsid w:val="00AC070D"/>
    <w:rsid w:val="00AC1B94"/>
    <w:rsid w:val="00AC23B4"/>
    <w:rsid w:val="00AC2563"/>
    <w:rsid w:val="00AC3315"/>
    <w:rsid w:val="00AC3B68"/>
    <w:rsid w:val="00AC3B7A"/>
    <w:rsid w:val="00AC4904"/>
    <w:rsid w:val="00AC586B"/>
    <w:rsid w:val="00AC5D94"/>
    <w:rsid w:val="00AC770E"/>
    <w:rsid w:val="00AD0616"/>
    <w:rsid w:val="00AD34FF"/>
    <w:rsid w:val="00AD4728"/>
    <w:rsid w:val="00AD4D62"/>
    <w:rsid w:val="00AD4DE6"/>
    <w:rsid w:val="00AD5511"/>
    <w:rsid w:val="00AD6493"/>
    <w:rsid w:val="00AD6C03"/>
    <w:rsid w:val="00AE3AB7"/>
    <w:rsid w:val="00AE6D9A"/>
    <w:rsid w:val="00AE6DBC"/>
    <w:rsid w:val="00AE75CB"/>
    <w:rsid w:val="00AE7E69"/>
    <w:rsid w:val="00AF1E1A"/>
    <w:rsid w:val="00AF3043"/>
    <w:rsid w:val="00AF3E95"/>
    <w:rsid w:val="00AF4133"/>
    <w:rsid w:val="00AF64EC"/>
    <w:rsid w:val="00AF71C5"/>
    <w:rsid w:val="00AF7755"/>
    <w:rsid w:val="00AF7C67"/>
    <w:rsid w:val="00B003C1"/>
    <w:rsid w:val="00B019AA"/>
    <w:rsid w:val="00B03F04"/>
    <w:rsid w:val="00B04016"/>
    <w:rsid w:val="00B062E5"/>
    <w:rsid w:val="00B065FD"/>
    <w:rsid w:val="00B07728"/>
    <w:rsid w:val="00B07BD1"/>
    <w:rsid w:val="00B12F83"/>
    <w:rsid w:val="00B15CB2"/>
    <w:rsid w:val="00B15FE9"/>
    <w:rsid w:val="00B16A03"/>
    <w:rsid w:val="00B20410"/>
    <w:rsid w:val="00B22389"/>
    <w:rsid w:val="00B231A7"/>
    <w:rsid w:val="00B32703"/>
    <w:rsid w:val="00B32ADB"/>
    <w:rsid w:val="00B32FFF"/>
    <w:rsid w:val="00B34B1E"/>
    <w:rsid w:val="00B34C44"/>
    <w:rsid w:val="00B3652D"/>
    <w:rsid w:val="00B37FC5"/>
    <w:rsid w:val="00B40033"/>
    <w:rsid w:val="00B40D98"/>
    <w:rsid w:val="00B47295"/>
    <w:rsid w:val="00B50690"/>
    <w:rsid w:val="00B51883"/>
    <w:rsid w:val="00B51A6C"/>
    <w:rsid w:val="00B51E22"/>
    <w:rsid w:val="00B5272F"/>
    <w:rsid w:val="00B542C4"/>
    <w:rsid w:val="00B556AD"/>
    <w:rsid w:val="00B5648E"/>
    <w:rsid w:val="00B61FD4"/>
    <w:rsid w:val="00B626C7"/>
    <w:rsid w:val="00B64C4B"/>
    <w:rsid w:val="00B6513D"/>
    <w:rsid w:val="00B65455"/>
    <w:rsid w:val="00B65644"/>
    <w:rsid w:val="00B657F8"/>
    <w:rsid w:val="00B6585E"/>
    <w:rsid w:val="00B674DB"/>
    <w:rsid w:val="00B706BB"/>
    <w:rsid w:val="00B70EB0"/>
    <w:rsid w:val="00B74568"/>
    <w:rsid w:val="00B75292"/>
    <w:rsid w:val="00B75C12"/>
    <w:rsid w:val="00B765CF"/>
    <w:rsid w:val="00B77A43"/>
    <w:rsid w:val="00B77EA7"/>
    <w:rsid w:val="00B81874"/>
    <w:rsid w:val="00B82E8D"/>
    <w:rsid w:val="00B863B7"/>
    <w:rsid w:val="00B873A6"/>
    <w:rsid w:val="00B9264D"/>
    <w:rsid w:val="00B92886"/>
    <w:rsid w:val="00B92CE0"/>
    <w:rsid w:val="00B94D99"/>
    <w:rsid w:val="00B95983"/>
    <w:rsid w:val="00B95DA0"/>
    <w:rsid w:val="00B96485"/>
    <w:rsid w:val="00B975A7"/>
    <w:rsid w:val="00BA042A"/>
    <w:rsid w:val="00BA09AE"/>
    <w:rsid w:val="00BA0A7C"/>
    <w:rsid w:val="00BA1723"/>
    <w:rsid w:val="00BA2BE8"/>
    <w:rsid w:val="00BA46B5"/>
    <w:rsid w:val="00BA4D7E"/>
    <w:rsid w:val="00BA5B04"/>
    <w:rsid w:val="00BA73C0"/>
    <w:rsid w:val="00BA78B1"/>
    <w:rsid w:val="00BA7B31"/>
    <w:rsid w:val="00BA7F13"/>
    <w:rsid w:val="00BB2FBC"/>
    <w:rsid w:val="00BB33FD"/>
    <w:rsid w:val="00BB3CB8"/>
    <w:rsid w:val="00BB3FA1"/>
    <w:rsid w:val="00BB5F2D"/>
    <w:rsid w:val="00BB62BB"/>
    <w:rsid w:val="00BC02A2"/>
    <w:rsid w:val="00BC0522"/>
    <w:rsid w:val="00BC05C5"/>
    <w:rsid w:val="00BC0992"/>
    <w:rsid w:val="00BC3617"/>
    <w:rsid w:val="00BC3727"/>
    <w:rsid w:val="00BC4288"/>
    <w:rsid w:val="00BC4ECB"/>
    <w:rsid w:val="00BC55C8"/>
    <w:rsid w:val="00BC6804"/>
    <w:rsid w:val="00BD04BE"/>
    <w:rsid w:val="00BD2126"/>
    <w:rsid w:val="00BD3043"/>
    <w:rsid w:val="00BD33DA"/>
    <w:rsid w:val="00BD5DB3"/>
    <w:rsid w:val="00BE04D3"/>
    <w:rsid w:val="00BE0630"/>
    <w:rsid w:val="00BE219E"/>
    <w:rsid w:val="00BE57D9"/>
    <w:rsid w:val="00BE6F28"/>
    <w:rsid w:val="00BE7984"/>
    <w:rsid w:val="00BF017F"/>
    <w:rsid w:val="00BF068A"/>
    <w:rsid w:val="00BF0876"/>
    <w:rsid w:val="00BF1048"/>
    <w:rsid w:val="00BF1A52"/>
    <w:rsid w:val="00BF29FA"/>
    <w:rsid w:val="00BF2D6E"/>
    <w:rsid w:val="00BF3804"/>
    <w:rsid w:val="00BF561F"/>
    <w:rsid w:val="00BF612B"/>
    <w:rsid w:val="00BF64B5"/>
    <w:rsid w:val="00BF6F58"/>
    <w:rsid w:val="00C00BC8"/>
    <w:rsid w:val="00C03181"/>
    <w:rsid w:val="00C04D2B"/>
    <w:rsid w:val="00C050D8"/>
    <w:rsid w:val="00C0783B"/>
    <w:rsid w:val="00C108D0"/>
    <w:rsid w:val="00C11BEA"/>
    <w:rsid w:val="00C12B08"/>
    <w:rsid w:val="00C13314"/>
    <w:rsid w:val="00C14BCE"/>
    <w:rsid w:val="00C14F2B"/>
    <w:rsid w:val="00C15553"/>
    <w:rsid w:val="00C15DFF"/>
    <w:rsid w:val="00C17CA0"/>
    <w:rsid w:val="00C2122C"/>
    <w:rsid w:val="00C22C94"/>
    <w:rsid w:val="00C22CE5"/>
    <w:rsid w:val="00C2312A"/>
    <w:rsid w:val="00C24DB1"/>
    <w:rsid w:val="00C26479"/>
    <w:rsid w:val="00C270B0"/>
    <w:rsid w:val="00C326B5"/>
    <w:rsid w:val="00C32996"/>
    <w:rsid w:val="00C32EBD"/>
    <w:rsid w:val="00C35AAB"/>
    <w:rsid w:val="00C3682E"/>
    <w:rsid w:val="00C36B24"/>
    <w:rsid w:val="00C37B88"/>
    <w:rsid w:val="00C401E4"/>
    <w:rsid w:val="00C45EFC"/>
    <w:rsid w:val="00C46A52"/>
    <w:rsid w:val="00C47C4E"/>
    <w:rsid w:val="00C47F32"/>
    <w:rsid w:val="00C500F5"/>
    <w:rsid w:val="00C50D17"/>
    <w:rsid w:val="00C529A2"/>
    <w:rsid w:val="00C557F2"/>
    <w:rsid w:val="00C56670"/>
    <w:rsid w:val="00C57D4C"/>
    <w:rsid w:val="00C57D83"/>
    <w:rsid w:val="00C6385A"/>
    <w:rsid w:val="00C64069"/>
    <w:rsid w:val="00C64311"/>
    <w:rsid w:val="00C64340"/>
    <w:rsid w:val="00C65A70"/>
    <w:rsid w:val="00C6656E"/>
    <w:rsid w:val="00C67C27"/>
    <w:rsid w:val="00C708A4"/>
    <w:rsid w:val="00C70EDB"/>
    <w:rsid w:val="00C71301"/>
    <w:rsid w:val="00C7379A"/>
    <w:rsid w:val="00C737C5"/>
    <w:rsid w:val="00C73A5F"/>
    <w:rsid w:val="00C740D7"/>
    <w:rsid w:val="00C748DF"/>
    <w:rsid w:val="00C759A2"/>
    <w:rsid w:val="00C76A2F"/>
    <w:rsid w:val="00C76E08"/>
    <w:rsid w:val="00C80F61"/>
    <w:rsid w:val="00C81FAE"/>
    <w:rsid w:val="00C82D94"/>
    <w:rsid w:val="00C82E2C"/>
    <w:rsid w:val="00C83B3B"/>
    <w:rsid w:val="00C84C98"/>
    <w:rsid w:val="00C85575"/>
    <w:rsid w:val="00C85CA6"/>
    <w:rsid w:val="00C862D1"/>
    <w:rsid w:val="00C866CA"/>
    <w:rsid w:val="00C86F07"/>
    <w:rsid w:val="00C92AD7"/>
    <w:rsid w:val="00C956CC"/>
    <w:rsid w:val="00C95D71"/>
    <w:rsid w:val="00C9739E"/>
    <w:rsid w:val="00CA0195"/>
    <w:rsid w:val="00CA065A"/>
    <w:rsid w:val="00CA0B42"/>
    <w:rsid w:val="00CA1A96"/>
    <w:rsid w:val="00CA1ACF"/>
    <w:rsid w:val="00CA3540"/>
    <w:rsid w:val="00CA421C"/>
    <w:rsid w:val="00CA47A1"/>
    <w:rsid w:val="00CA5CA3"/>
    <w:rsid w:val="00CA6DED"/>
    <w:rsid w:val="00CB0D6F"/>
    <w:rsid w:val="00CB3495"/>
    <w:rsid w:val="00CB55CD"/>
    <w:rsid w:val="00CB569E"/>
    <w:rsid w:val="00CB5C76"/>
    <w:rsid w:val="00CB5DAE"/>
    <w:rsid w:val="00CB7A30"/>
    <w:rsid w:val="00CC1BD9"/>
    <w:rsid w:val="00CC1D0A"/>
    <w:rsid w:val="00CC217F"/>
    <w:rsid w:val="00CC324E"/>
    <w:rsid w:val="00CC39D5"/>
    <w:rsid w:val="00CC49D4"/>
    <w:rsid w:val="00CC560A"/>
    <w:rsid w:val="00CC5C12"/>
    <w:rsid w:val="00CC5D12"/>
    <w:rsid w:val="00CC6C30"/>
    <w:rsid w:val="00CD04AC"/>
    <w:rsid w:val="00CD266B"/>
    <w:rsid w:val="00CD3022"/>
    <w:rsid w:val="00CD49E9"/>
    <w:rsid w:val="00CD54FB"/>
    <w:rsid w:val="00CD57CB"/>
    <w:rsid w:val="00CD5AD3"/>
    <w:rsid w:val="00CD6255"/>
    <w:rsid w:val="00CD6737"/>
    <w:rsid w:val="00CD69F9"/>
    <w:rsid w:val="00CE02DE"/>
    <w:rsid w:val="00CE6F5A"/>
    <w:rsid w:val="00CE74D6"/>
    <w:rsid w:val="00CF14E2"/>
    <w:rsid w:val="00CF1F21"/>
    <w:rsid w:val="00CF23CB"/>
    <w:rsid w:val="00CF25AF"/>
    <w:rsid w:val="00CF42CF"/>
    <w:rsid w:val="00D000B5"/>
    <w:rsid w:val="00D0084C"/>
    <w:rsid w:val="00D01345"/>
    <w:rsid w:val="00D015C0"/>
    <w:rsid w:val="00D02863"/>
    <w:rsid w:val="00D029E2"/>
    <w:rsid w:val="00D0358F"/>
    <w:rsid w:val="00D0588F"/>
    <w:rsid w:val="00D05F9A"/>
    <w:rsid w:val="00D10204"/>
    <w:rsid w:val="00D102E9"/>
    <w:rsid w:val="00D107C5"/>
    <w:rsid w:val="00D10863"/>
    <w:rsid w:val="00D12107"/>
    <w:rsid w:val="00D129A9"/>
    <w:rsid w:val="00D13A91"/>
    <w:rsid w:val="00D13E87"/>
    <w:rsid w:val="00D13EEA"/>
    <w:rsid w:val="00D14C3B"/>
    <w:rsid w:val="00D15362"/>
    <w:rsid w:val="00D1688F"/>
    <w:rsid w:val="00D16AFA"/>
    <w:rsid w:val="00D20B3E"/>
    <w:rsid w:val="00D20FFC"/>
    <w:rsid w:val="00D2117F"/>
    <w:rsid w:val="00D23D8C"/>
    <w:rsid w:val="00D25317"/>
    <w:rsid w:val="00D25D80"/>
    <w:rsid w:val="00D25E77"/>
    <w:rsid w:val="00D26EAA"/>
    <w:rsid w:val="00D270E0"/>
    <w:rsid w:val="00D27423"/>
    <w:rsid w:val="00D2767A"/>
    <w:rsid w:val="00D30E05"/>
    <w:rsid w:val="00D31A6E"/>
    <w:rsid w:val="00D33430"/>
    <w:rsid w:val="00D345B9"/>
    <w:rsid w:val="00D34BEC"/>
    <w:rsid w:val="00D34EA0"/>
    <w:rsid w:val="00D354A0"/>
    <w:rsid w:val="00D4025B"/>
    <w:rsid w:val="00D407B5"/>
    <w:rsid w:val="00D40DF3"/>
    <w:rsid w:val="00D41FA3"/>
    <w:rsid w:val="00D42A5D"/>
    <w:rsid w:val="00D44331"/>
    <w:rsid w:val="00D450C0"/>
    <w:rsid w:val="00D45890"/>
    <w:rsid w:val="00D45A20"/>
    <w:rsid w:val="00D526BA"/>
    <w:rsid w:val="00D53017"/>
    <w:rsid w:val="00D53095"/>
    <w:rsid w:val="00D5585B"/>
    <w:rsid w:val="00D55CD5"/>
    <w:rsid w:val="00D5729C"/>
    <w:rsid w:val="00D60891"/>
    <w:rsid w:val="00D6112B"/>
    <w:rsid w:val="00D62842"/>
    <w:rsid w:val="00D63ABE"/>
    <w:rsid w:val="00D63EF6"/>
    <w:rsid w:val="00D65494"/>
    <w:rsid w:val="00D66E8B"/>
    <w:rsid w:val="00D70F74"/>
    <w:rsid w:val="00D7126E"/>
    <w:rsid w:val="00D71650"/>
    <w:rsid w:val="00D72CF2"/>
    <w:rsid w:val="00D731BB"/>
    <w:rsid w:val="00D7323C"/>
    <w:rsid w:val="00D732F2"/>
    <w:rsid w:val="00D76107"/>
    <w:rsid w:val="00D7672E"/>
    <w:rsid w:val="00D76C94"/>
    <w:rsid w:val="00D81F6B"/>
    <w:rsid w:val="00D85066"/>
    <w:rsid w:val="00D852F8"/>
    <w:rsid w:val="00D85434"/>
    <w:rsid w:val="00D85715"/>
    <w:rsid w:val="00D857F1"/>
    <w:rsid w:val="00D85FAB"/>
    <w:rsid w:val="00D86AF1"/>
    <w:rsid w:val="00D86DC4"/>
    <w:rsid w:val="00D8706C"/>
    <w:rsid w:val="00D9242C"/>
    <w:rsid w:val="00D94CD1"/>
    <w:rsid w:val="00D951B0"/>
    <w:rsid w:val="00DA0502"/>
    <w:rsid w:val="00DA0F41"/>
    <w:rsid w:val="00DA1079"/>
    <w:rsid w:val="00DA2A0C"/>
    <w:rsid w:val="00DA4B0D"/>
    <w:rsid w:val="00DA4C62"/>
    <w:rsid w:val="00DA560B"/>
    <w:rsid w:val="00DA5F35"/>
    <w:rsid w:val="00DB0D10"/>
    <w:rsid w:val="00DB1660"/>
    <w:rsid w:val="00DB3032"/>
    <w:rsid w:val="00DB38AB"/>
    <w:rsid w:val="00DB4827"/>
    <w:rsid w:val="00DB4F36"/>
    <w:rsid w:val="00DB5016"/>
    <w:rsid w:val="00DB6969"/>
    <w:rsid w:val="00DB6A17"/>
    <w:rsid w:val="00DC0DD5"/>
    <w:rsid w:val="00DC325E"/>
    <w:rsid w:val="00DC4E9A"/>
    <w:rsid w:val="00DC5630"/>
    <w:rsid w:val="00DC67D7"/>
    <w:rsid w:val="00DC6DCC"/>
    <w:rsid w:val="00DC732A"/>
    <w:rsid w:val="00DD0DA5"/>
    <w:rsid w:val="00DD2334"/>
    <w:rsid w:val="00DD3271"/>
    <w:rsid w:val="00DD4E84"/>
    <w:rsid w:val="00DD5520"/>
    <w:rsid w:val="00DD6BDA"/>
    <w:rsid w:val="00DE10A5"/>
    <w:rsid w:val="00DE133A"/>
    <w:rsid w:val="00DE22F1"/>
    <w:rsid w:val="00DE23A5"/>
    <w:rsid w:val="00DE4147"/>
    <w:rsid w:val="00DE6FBB"/>
    <w:rsid w:val="00DF0F03"/>
    <w:rsid w:val="00DF16C2"/>
    <w:rsid w:val="00DF2191"/>
    <w:rsid w:val="00DF242C"/>
    <w:rsid w:val="00DF3937"/>
    <w:rsid w:val="00DF3E07"/>
    <w:rsid w:val="00DF4111"/>
    <w:rsid w:val="00DF5809"/>
    <w:rsid w:val="00DF76DB"/>
    <w:rsid w:val="00E00F76"/>
    <w:rsid w:val="00E03229"/>
    <w:rsid w:val="00E04B02"/>
    <w:rsid w:val="00E04BFC"/>
    <w:rsid w:val="00E057CC"/>
    <w:rsid w:val="00E06503"/>
    <w:rsid w:val="00E07310"/>
    <w:rsid w:val="00E07DB6"/>
    <w:rsid w:val="00E07E71"/>
    <w:rsid w:val="00E112F0"/>
    <w:rsid w:val="00E13248"/>
    <w:rsid w:val="00E13C95"/>
    <w:rsid w:val="00E14922"/>
    <w:rsid w:val="00E1497B"/>
    <w:rsid w:val="00E17527"/>
    <w:rsid w:val="00E21A25"/>
    <w:rsid w:val="00E21E75"/>
    <w:rsid w:val="00E233B2"/>
    <w:rsid w:val="00E25B20"/>
    <w:rsid w:val="00E26E6A"/>
    <w:rsid w:val="00E31E45"/>
    <w:rsid w:val="00E329BA"/>
    <w:rsid w:val="00E33E81"/>
    <w:rsid w:val="00E343B4"/>
    <w:rsid w:val="00E35263"/>
    <w:rsid w:val="00E371C0"/>
    <w:rsid w:val="00E3786A"/>
    <w:rsid w:val="00E4069B"/>
    <w:rsid w:val="00E42F5B"/>
    <w:rsid w:val="00E44F5E"/>
    <w:rsid w:val="00E46F5F"/>
    <w:rsid w:val="00E4786A"/>
    <w:rsid w:val="00E47CC8"/>
    <w:rsid w:val="00E50B45"/>
    <w:rsid w:val="00E50C9E"/>
    <w:rsid w:val="00E5127B"/>
    <w:rsid w:val="00E519DC"/>
    <w:rsid w:val="00E531AC"/>
    <w:rsid w:val="00E57171"/>
    <w:rsid w:val="00E571E3"/>
    <w:rsid w:val="00E576B4"/>
    <w:rsid w:val="00E57B4D"/>
    <w:rsid w:val="00E6019E"/>
    <w:rsid w:val="00E615CC"/>
    <w:rsid w:val="00E638A9"/>
    <w:rsid w:val="00E6571F"/>
    <w:rsid w:val="00E65945"/>
    <w:rsid w:val="00E67820"/>
    <w:rsid w:val="00E67B51"/>
    <w:rsid w:val="00E71AE2"/>
    <w:rsid w:val="00E750B2"/>
    <w:rsid w:val="00E75C0B"/>
    <w:rsid w:val="00E76E52"/>
    <w:rsid w:val="00E77272"/>
    <w:rsid w:val="00E7767F"/>
    <w:rsid w:val="00E807DA"/>
    <w:rsid w:val="00E8180C"/>
    <w:rsid w:val="00E82A6E"/>
    <w:rsid w:val="00E82FC7"/>
    <w:rsid w:val="00E84E3A"/>
    <w:rsid w:val="00E86E99"/>
    <w:rsid w:val="00E875DA"/>
    <w:rsid w:val="00E8771A"/>
    <w:rsid w:val="00E90BE7"/>
    <w:rsid w:val="00E92CEA"/>
    <w:rsid w:val="00E92DD4"/>
    <w:rsid w:val="00E94BAB"/>
    <w:rsid w:val="00E94C06"/>
    <w:rsid w:val="00E95C4B"/>
    <w:rsid w:val="00EA0540"/>
    <w:rsid w:val="00EA05AF"/>
    <w:rsid w:val="00EA1014"/>
    <w:rsid w:val="00EA13A1"/>
    <w:rsid w:val="00EA189A"/>
    <w:rsid w:val="00EA406C"/>
    <w:rsid w:val="00EA4394"/>
    <w:rsid w:val="00EA5404"/>
    <w:rsid w:val="00EA59DF"/>
    <w:rsid w:val="00EA5DA1"/>
    <w:rsid w:val="00EA63DE"/>
    <w:rsid w:val="00EA72F0"/>
    <w:rsid w:val="00EB0CD0"/>
    <w:rsid w:val="00EB1A8E"/>
    <w:rsid w:val="00EB1FB3"/>
    <w:rsid w:val="00EB3BA3"/>
    <w:rsid w:val="00EB5CDF"/>
    <w:rsid w:val="00EB6404"/>
    <w:rsid w:val="00EC0A60"/>
    <w:rsid w:val="00EC43B9"/>
    <w:rsid w:val="00EC5148"/>
    <w:rsid w:val="00EC61A2"/>
    <w:rsid w:val="00EC6330"/>
    <w:rsid w:val="00EC69F2"/>
    <w:rsid w:val="00EC6E36"/>
    <w:rsid w:val="00ED08DF"/>
    <w:rsid w:val="00ED112D"/>
    <w:rsid w:val="00ED16B4"/>
    <w:rsid w:val="00ED19E2"/>
    <w:rsid w:val="00ED2FAE"/>
    <w:rsid w:val="00ED3718"/>
    <w:rsid w:val="00ED45CA"/>
    <w:rsid w:val="00ED4D69"/>
    <w:rsid w:val="00ED50C2"/>
    <w:rsid w:val="00ED5D4E"/>
    <w:rsid w:val="00ED70B4"/>
    <w:rsid w:val="00ED736B"/>
    <w:rsid w:val="00ED7CF1"/>
    <w:rsid w:val="00EE07DD"/>
    <w:rsid w:val="00EE0D28"/>
    <w:rsid w:val="00EE1664"/>
    <w:rsid w:val="00EE2620"/>
    <w:rsid w:val="00EE362F"/>
    <w:rsid w:val="00EE674D"/>
    <w:rsid w:val="00EE761E"/>
    <w:rsid w:val="00EE7A5C"/>
    <w:rsid w:val="00EE7FDA"/>
    <w:rsid w:val="00EF0E19"/>
    <w:rsid w:val="00EF3070"/>
    <w:rsid w:val="00EF3AD8"/>
    <w:rsid w:val="00EF5472"/>
    <w:rsid w:val="00EF5B97"/>
    <w:rsid w:val="00EF5DF8"/>
    <w:rsid w:val="00EF600F"/>
    <w:rsid w:val="00EF7654"/>
    <w:rsid w:val="00F02D30"/>
    <w:rsid w:val="00F068D8"/>
    <w:rsid w:val="00F06C6D"/>
    <w:rsid w:val="00F114AE"/>
    <w:rsid w:val="00F11C3C"/>
    <w:rsid w:val="00F1266A"/>
    <w:rsid w:val="00F1706D"/>
    <w:rsid w:val="00F20261"/>
    <w:rsid w:val="00F206B0"/>
    <w:rsid w:val="00F210AC"/>
    <w:rsid w:val="00F212DF"/>
    <w:rsid w:val="00F245AF"/>
    <w:rsid w:val="00F255EB"/>
    <w:rsid w:val="00F260EB"/>
    <w:rsid w:val="00F32DCC"/>
    <w:rsid w:val="00F3302F"/>
    <w:rsid w:val="00F333AB"/>
    <w:rsid w:val="00F33D1B"/>
    <w:rsid w:val="00F340D4"/>
    <w:rsid w:val="00F369D8"/>
    <w:rsid w:val="00F413AD"/>
    <w:rsid w:val="00F419D4"/>
    <w:rsid w:val="00F4200B"/>
    <w:rsid w:val="00F42F1E"/>
    <w:rsid w:val="00F43CA0"/>
    <w:rsid w:val="00F44FF5"/>
    <w:rsid w:val="00F454EF"/>
    <w:rsid w:val="00F46402"/>
    <w:rsid w:val="00F46DC3"/>
    <w:rsid w:val="00F47A47"/>
    <w:rsid w:val="00F51020"/>
    <w:rsid w:val="00F52685"/>
    <w:rsid w:val="00F52B39"/>
    <w:rsid w:val="00F53DFE"/>
    <w:rsid w:val="00F54216"/>
    <w:rsid w:val="00F544F3"/>
    <w:rsid w:val="00F55030"/>
    <w:rsid w:val="00F5648C"/>
    <w:rsid w:val="00F572B1"/>
    <w:rsid w:val="00F610CC"/>
    <w:rsid w:val="00F61206"/>
    <w:rsid w:val="00F62D8D"/>
    <w:rsid w:val="00F62E6C"/>
    <w:rsid w:val="00F63D34"/>
    <w:rsid w:val="00F66687"/>
    <w:rsid w:val="00F71AB5"/>
    <w:rsid w:val="00F71DA2"/>
    <w:rsid w:val="00F74073"/>
    <w:rsid w:val="00F747C1"/>
    <w:rsid w:val="00F7696F"/>
    <w:rsid w:val="00F8019A"/>
    <w:rsid w:val="00F8095A"/>
    <w:rsid w:val="00F8209B"/>
    <w:rsid w:val="00F820C2"/>
    <w:rsid w:val="00F828A9"/>
    <w:rsid w:val="00F8387E"/>
    <w:rsid w:val="00F83E06"/>
    <w:rsid w:val="00F843BC"/>
    <w:rsid w:val="00F84EA6"/>
    <w:rsid w:val="00F8634A"/>
    <w:rsid w:val="00F86F50"/>
    <w:rsid w:val="00F87115"/>
    <w:rsid w:val="00F87D46"/>
    <w:rsid w:val="00F907DB"/>
    <w:rsid w:val="00F90DDD"/>
    <w:rsid w:val="00F9453E"/>
    <w:rsid w:val="00F94EDD"/>
    <w:rsid w:val="00F966FB"/>
    <w:rsid w:val="00F96A1C"/>
    <w:rsid w:val="00F975EB"/>
    <w:rsid w:val="00F97BB0"/>
    <w:rsid w:val="00F97CD9"/>
    <w:rsid w:val="00FA0576"/>
    <w:rsid w:val="00FA0979"/>
    <w:rsid w:val="00FA2379"/>
    <w:rsid w:val="00FA42F5"/>
    <w:rsid w:val="00FA67D3"/>
    <w:rsid w:val="00FA726B"/>
    <w:rsid w:val="00FB0768"/>
    <w:rsid w:val="00FB1FFD"/>
    <w:rsid w:val="00FB2E0E"/>
    <w:rsid w:val="00FB50B4"/>
    <w:rsid w:val="00FB62D6"/>
    <w:rsid w:val="00FB69FE"/>
    <w:rsid w:val="00FB74B4"/>
    <w:rsid w:val="00FB7CCC"/>
    <w:rsid w:val="00FC0CBC"/>
    <w:rsid w:val="00FC2475"/>
    <w:rsid w:val="00FC2C3F"/>
    <w:rsid w:val="00FC2CEA"/>
    <w:rsid w:val="00FC3CC3"/>
    <w:rsid w:val="00FC4904"/>
    <w:rsid w:val="00FC4CFA"/>
    <w:rsid w:val="00FC5697"/>
    <w:rsid w:val="00FC7338"/>
    <w:rsid w:val="00FD1C6F"/>
    <w:rsid w:val="00FD1EA3"/>
    <w:rsid w:val="00FD2267"/>
    <w:rsid w:val="00FD2327"/>
    <w:rsid w:val="00FD320D"/>
    <w:rsid w:val="00FD4B97"/>
    <w:rsid w:val="00FD5DA8"/>
    <w:rsid w:val="00FD678D"/>
    <w:rsid w:val="00FD7987"/>
    <w:rsid w:val="00FD7F10"/>
    <w:rsid w:val="00FE091B"/>
    <w:rsid w:val="00FE1F41"/>
    <w:rsid w:val="00FE296E"/>
    <w:rsid w:val="00FE3903"/>
    <w:rsid w:val="00FE3BAD"/>
    <w:rsid w:val="00FE48F9"/>
    <w:rsid w:val="00FE55EB"/>
    <w:rsid w:val="00FE5AA6"/>
    <w:rsid w:val="00FE6A25"/>
    <w:rsid w:val="00FF0136"/>
    <w:rsid w:val="00FF13AA"/>
    <w:rsid w:val="00FF4406"/>
    <w:rsid w:val="00FF5044"/>
    <w:rsid w:val="00FF5137"/>
    <w:rsid w:val="00FF5DC8"/>
    <w:rsid w:val="00FF5F2C"/>
    <w:rsid w:val="00FF7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7323C"/>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7"/>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5"/>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1"/>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4"/>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2"/>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3"/>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5"/>
      </w:numPr>
    </w:pPr>
  </w:style>
  <w:style w:type="numbering" w:customStyle="1" w:styleId="OldAERheadings">
    <w:name w:val="Old AER headings"/>
    <w:uiPriority w:val="99"/>
    <w:locked/>
    <w:rsid w:val="008515EE"/>
    <w:pPr>
      <w:numPr>
        <w:numId w:val="6"/>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DC6DCC"/>
    <w:pPr>
      <w:numPr>
        <w:numId w:val="8"/>
      </w:numPr>
      <w:contextualSpacing/>
    </w:pPr>
  </w:style>
  <w:style w:type="paragraph" w:styleId="NormalWeb">
    <w:name w:val="Normal (Web)"/>
    <w:basedOn w:val="Normal"/>
    <w:uiPriority w:val="99"/>
    <w:semiHidden/>
    <w:unhideWhenUsed/>
    <w:locked/>
    <w:rsid w:val="00073F5B"/>
    <w:rPr>
      <w:rFonts w:ascii="Times New Roman" w:hAnsi="Times New Roman"/>
      <w:sz w:val="24"/>
      <w:szCs w:val="24"/>
    </w:rPr>
  </w:style>
  <w:style w:type="paragraph" w:styleId="PlainText">
    <w:name w:val="Plain Text"/>
    <w:basedOn w:val="Normal"/>
    <w:link w:val="PlainTextChar"/>
    <w:uiPriority w:val="99"/>
    <w:semiHidden/>
    <w:unhideWhenUsed/>
    <w:rsid w:val="00887795"/>
    <w:pPr>
      <w:spacing w:after="100" w:afterAutospacing="1" w:line="240" w:lineRule="auto"/>
      <w:jc w:val="left"/>
    </w:pPr>
    <w:rPr>
      <w:rFonts w:ascii="Verdana" w:eastAsia="Times New Roman" w:hAnsi="Verdana"/>
      <w:sz w:val="24"/>
      <w:szCs w:val="24"/>
      <w:lang w:eastAsia="en-AU"/>
    </w:rPr>
  </w:style>
  <w:style w:type="character" w:customStyle="1" w:styleId="PlainTextChar">
    <w:name w:val="Plain Text Char"/>
    <w:basedOn w:val="DefaultParagraphFont"/>
    <w:link w:val="PlainText"/>
    <w:uiPriority w:val="99"/>
    <w:semiHidden/>
    <w:rsid w:val="00887795"/>
    <w:rPr>
      <w:rFonts w:ascii="Verdana" w:eastAsia="Times New Roman" w:hAnsi="Verdana"/>
      <w:sz w:val="24"/>
      <w:szCs w:val="24"/>
    </w:rPr>
  </w:style>
  <w:style w:type="paragraph" w:styleId="NoSpacing">
    <w:name w:val="No Spacing"/>
    <w:uiPriority w:val="1"/>
    <w:rsid w:val="007A51FE"/>
    <w:pPr>
      <w:jc w:val="both"/>
    </w:pPr>
    <w:rPr>
      <w:lang w:eastAsia="en-US"/>
    </w:rPr>
  </w:style>
  <w:style w:type="paragraph" w:styleId="Revision">
    <w:name w:val="Revision"/>
    <w:hidden/>
    <w:uiPriority w:val="99"/>
    <w:semiHidden/>
    <w:rsid w:val="008A46BD"/>
    <w:rPr>
      <w:lang w:eastAsia="en-US"/>
    </w:rPr>
  </w:style>
  <w:style w:type="paragraph" w:styleId="ListNumber2">
    <w:name w:val="List Number 2"/>
    <w:basedOn w:val="Normal"/>
    <w:uiPriority w:val="99"/>
    <w:semiHidden/>
    <w:unhideWhenUsed/>
    <w:locked/>
    <w:rsid w:val="003B0D45"/>
    <w:pPr>
      <w:numPr>
        <w:numId w:val="10"/>
      </w:numPr>
      <w:contextualSpacing/>
    </w:pPr>
  </w:style>
  <w:style w:type="character" w:styleId="FollowedHyperlink">
    <w:name w:val="FollowedHyperlink"/>
    <w:basedOn w:val="DefaultParagraphFont"/>
    <w:uiPriority w:val="99"/>
    <w:semiHidden/>
    <w:unhideWhenUsed/>
    <w:rsid w:val="006716CD"/>
    <w:rPr>
      <w:color w:val="800080" w:themeColor="followedHyperlink"/>
      <w:u w:val="single"/>
    </w:rPr>
  </w:style>
  <w:style w:type="paragraph" w:styleId="MessageHeader">
    <w:name w:val="Message Header"/>
    <w:basedOn w:val="Normal"/>
    <w:link w:val="MessageHeaderChar"/>
    <w:uiPriority w:val="99"/>
    <w:unhideWhenUsed/>
    <w:rsid w:val="00722E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722E50"/>
    <w:rPr>
      <w:rFonts w:asciiTheme="majorHAnsi" w:eastAsiaTheme="majorEastAsia" w:hAnsiTheme="majorHAnsi" w:cstheme="majorBidi"/>
      <w:sz w:val="24"/>
      <w:szCs w:val="24"/>
      <w:shd w:val="pct20" w:color="auto" w:fill="auto"/>
      <w:lang w:eastAsia="en-US"/>
    </w:rPr>
  </w:style>
  <w:style w:type="paragraph" w:styleId="ListBullet2">
    <w:name w:val="List Bullet 2"/>
    <w:basedOn w:val="Normal"/>
    <w:uiPriority w:val="99"/>
    <w:semiHidden/>
    <w:unhideWhenUsed/>
    <w:locked/>
    <w:rsid w:val="000071FE"/>
    <w:pPr>
      <w:numPr>
        <w:numId w:val="12"/>
      </w:numPr>
      <w:contextualSpacing/>
    </w:pPr>
  </w:style>
  <w:style w:type="paragraph" w:styleId="Quote">
    <w:name w:val="Quote"/>
    <w:basedOn w:val="Normal"/>
    <w:next w:val="Normal"/>
    <w:link w:val="QuoteChar"/>
    <w:uiPriority w:val="29"/>
    <w:unhideWhenUsed/>
    <w:qFormat/>
    <w:rsid w:val="00E750B2"/>
    <w:rPr>
      <w:i/>
      <w:iCs/>
      <w:color w:val="000000"/>
    </w:rPr>
  </w:style>
  <w:style w:type="character" w:customStyle="1" w:styleId="QuoteChar">
    <w:name w:val="Quote Char"/>
    <w:basedOn w:val="DefaultParagraphFont"/>
    <w:link w:val="Quote"/>
    <w:uiPriority w:val="29"/>
    <w:rsid w:val="00E750B2"/>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1"/>
      </w:numPr>
    </w:pPr>
  </w:style>
  <w:style w:type="numbering" w:customStyle="1" w:styleId="Heading1Char">
    <w:name w:val="OldAERheadings"/>
    <w:pPr>
      <w:numPr>
        <w:numId w:val="6"/>
      </w:numPr>
    </w:pPr>
  </w:style>
  <w:style w:type="numbering" w:customStyle="1" w:styleId="Heading2Char">
    <w:name w:val="AERnumbered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6018">
      <w:bodyDiv w:val="1"/>
      <w:marLeft w:val="0"/>
      <w:marRight w:val="0"/>
      <w:marTop w:val="0"/>
      <w:marBottom w:val="0"/>
      <w:divBdr>
        <w:top w:val="none" w:sz="0" w:space="0" w:color="auto"/>
        <w:left w:val="none" w:sz="0" w:space="0" w:color="auto"/>
        <w:bottom w:val="none" w:sz="0" w:space="0" w:color="auto"/>
        <w:right w:val="none" w:sz="0" w:space="0" w:color="auto"/>
      </w:divBdr>
    </w:div>
    <w:div w:id="82146742">
      <w:bodyDiv w:val="1"/>
      <w:marLeft w:val="0"/>
      <w:marRight w:val="0"/>
      <w:marTop w:val="0"/>
      <w:marBottom w:val="0"/>
      <w:divBdr>
        <w:top w:val="none" w:sz="0" w:space="0" w:color="auto"/>
        <w:left w:val="none" w:sz="0" w:space="0" w:color="auto"/>
        <w:bottom w:val="none" w:sz="0" w:space="0" w:color="auto"/>
        <w:right w:val="none" w:sz="0" w:space="0" w:color="auto"/>
      </w:divBdr>
    </w:div>
    <w:div w:id="164251114">
      <w:bodyDiv w:val="1"/>
      <w:marLeft w:val="0"/>
      <w:marRight w:val="0"/>
      <w:marTop w:val="0"/>
      <w:marBottom w:val="0"/>
      <w:divBdr>
        <w:top w:val="none" w:sz="0" w:space="0" w:color="auto"/>
        <w:left w:val="none" w:sz="0" w:space="0" w:color="auto"/>
        <w:bottom w:val="none" w:sz="0" w:space="0" w:color="auto"/>
        <w:right w:val="none" w:sz="0" w:space="0" w:color="auto"/>
      </w:divBdr>
    </w:div>
    <w:div w:id="340132934">
      <w:bodyDiv w:val="1"/>
      <w:marLeft w:val="0"/>
      <w:marRight w:val="0"/>
      <w:marTop w:val="0"/>
      <w:marBottom w:val="0"/>
      <w:divBdr>
        <w:top w:val="none" w:sz="0" w:space="0" w:color="auto"/>
        <w:left w:val="none" w:sz="0" w:space="0" w:color="auto"/>
        <w:bottom w:val="none" w:sz="0" w:space="0" w:color="auto"/>
        <w:right w:val="none" w:sz="0" w:space="0" w:color="auto"/>
      </w:divBdr>
    </w:div>
    <w:div w:id="411391216">
      <w:bodyDiv w:val="1"/>
      <w:marLeft w:val="0"/>
      <w:marRight w:val="0"/>
      <w:marTop w:val="0"/>
      <w:marBottom w:val="0"/>
      <w:divBdr>
        <w:top w:val="none" w:sz="0" w:space="0" w:color="auto"/>
        <w:left w:val="none" w:sz="0" w:space="0" w:color="auto"/>
        <w:bottom w:val="none" w:sz="0" w:space="0" w:color="auto"/>
        <w:right w:val="none" w:sz="0" w:space="0" w:color="auto"/>
      </w:divBdr>
    </w:div>
    <w:div w:id="468986027">
      <w:bodyDiv w:val="1"/>
      <w:marLeft w:val="0"/>
      <w:marRight w:val="0"/>
      <w:marTop w:val="0"/>
      <w:marBottom w:val="0"/>
      <w:divBdr>
        <w:top w:val="none" w:sz="0" w:space="0" w:color="auto"/>
        <w:left w:val="none" w:sz="0" w:space="0" w:color="auto"/>
        <w:bottom w:val="none" w:sz="0" w:space="0" w:color="auto"/>
        <w:right w:val="none" w:sz="0" w:space="0" w:color="auto"/>
      </w:divBdr>
    </w:div>
    <w:div w:id="600574029">
      <w:bodyDiv w:val="1"/>
      <w:marLeft w:val="0"/>
      <w:marRight w:val="0"/>
      <w:marTop w:val="0"/>
      <w:marBottom w:val="0"/>
      <w:divBdr>
        <w:top w:val="none" w:sz="0" w:space="0" w:color="auto"/>
        <w:left w:val="none" w:sz="0" w:space="0" w:color="auto"/>
        <w:bottom w:val="none" w:sz="0" w:space="0" w:color="auto"/>
        <w:right w:val="none" w:sz="0" w:space="0" w:color="auto"/>
      </w:divBdr>
    </w:div>
    <w:div w:id="600990286">
      <w:bodyDiv w:val="1"/>
      <w:marLeft w:val="0"/>
      <w:marRight w:val="0"/>
      <w:marTop w:val="0"/>
      <w:marBottom w:val="0"/>
      <w:divBdr>
        <w:top w:val="none" w:sz="0" w:space="0" w:color="auto"/>
        <w:left w:val="none" w:sz="0" w:space="0" w:color="auto"/>
        <w:bottom w:val="none" w:sz="0" w:space="0" w:color="auto"/>
        <w:right w:val="none" w:sz="0" w:space="0" w:color="auto"/>
      </w:divBdr>
      <w:divsChild>
        <w:div w:id="998583800">
          <w:marLeft w:val="0"/>
          <w:marRight w:val="0"/>
          <w:marTop w:val="0"/>
          <w:marBottom w:val="0"/>
          <w:divBdr>
            <w:top w:val="none" w:sz="0" w:space="0" w:color="auto"/>
            <w:left w:val="none" w:sz="0" w:space="0" w:color="auto"/>
            <w:bottom w:val="none" w:sz="0" w:space="0" w:color="auto"/>
            <w:right w:val="none" w:sz="0" w:space="0" w:color="auto"/>
          </w:divBdr>
          <w:divsChild>
            <w:div w:id="690495462">
              <w:marLeft w:val="0"/>
              <w:marRight w:val="0"/>
              <w:marTop w:val="0"/>
              <w:marBottom w:val="0"/>
              <w:divBdr>
                <w:top w:val="none" w:sz="0" w:space="0" w:color="auto"/>
                <w:left w:val="none" w:sz="0" w:space="0" w:color="auto"/>
                <w:bottom w:val="none" w:sz="0" w:space="0" w:color="auto"/>
                <w:right w:val="none" w:sz="0" w:space="0" w:color="auto"/>
              </w:divBdr>
              <w:divsChild>
                <w:div w:id="2106924545">
                  <w:marLeft w:val="0"/>
                  <w:marRight w:val="0"/>
                  <w:marTop w:val="0"/>
                  <w:marBottom w:val="0"/>
                  <w:divBdr>
                    <w:top w:val="none" w:sz="0" w:space="0" w:color="auto"/>
                    <w:left w:val="none" w:sz="0" w:space="0" w:color="auto"/>
                    <w:bottom w:val="none" w:sz="0" w:space="0" w:color="auto"/>
                    <w:right w:val="none" w:sz="0" w:space="0" w:color="auto"/>
                  </w:divBdr>
                  <w:divsChild>
                    <w:div w:id="1296259271">
                      <w:marLeft w:val="0"/>
                      <w:marRight w:val="0"/>
                      <w:marTop w:val="0"/>
                      <w:marBottom w:val="0"/>
                      <w:divBdr>
                        <w:top w:val="none" w:sz="0" w:space="0" w:color="auto"/>
                        <w:left w:val="none" w:sz="0" w:space="0" w:color="auto"/>
                        <w:bottom w:val="none" w:sz="0" w:space="0" w:color="auto"/>
                        <w:right w:val="none" w:sz="0" w:space="0" w:color="auto"/>
                      </w:divBdr>
                      <w:divsChild>
                        <w:div w:id="343896544">
                          <w:marLeft w:val="0"/>
                          <w:marRight w:val="0"/>
                          <w:marTop w:val="0"/>
                          <w:marBottom w:val="0"/>
                          <w:divBdr>
                            <w:top w:val="none" w:sz="0" w:space="0" w:color="auto"/>
                            <w:left w:val="none" w:sz="0" w:space="0" w:color="auto"/>
                            <w:bottom w:val="none" w:sz="0" w:space="0" w:color="auto"/>
                            <w:right w:val="none" w:sz="0" w:space="0" w:color="auto"/>
                          </w:divBdr>
                          <w:divsChild>
                            <w:div w:id="1170877053">
                              <w:marLeft w:val="0"/>
                              <w:marRight w:val="0"/>
                              <w:marTop w:val="0"/>
                              <w:marBottom w:val="0"/>
                              <w:divBdr>
                                <w:top w:val="none" w:sz="0" w:space="0" w:color="auto"/>
                                <w:left w:val="none" w:sz="0" w:space="0" w:color="auto"/>
                                <w:bottom w:val="none" w:sz="0" w:space="0" w:color="auto"/>
                                <w:right w:val="none" w:sz="0" w:space="0" w:color="auto"/>
                              </w:divBdr>
                              <w:divsChild>
                                <w:div w:id="101852087">
                                  <w:marLeft w:val="0"/>
                                  <w:marRight w:val="0"/>
                                  <w:marTop w:val="0"/>
                                  <w:marBottom w:val="0"/>
                                  <w:divBdr>
                                    <w:top w:val="none" w:sz="0" w:space="0" w:color="auto"/>
                                    <w:left w:val="none" w:sz="0" w:space="0" w:color="auto"/>
                                    <w:bottom w:val="none" w:sz="0" w:space="0" w:color="auto"/>
                                    <w:right w:val="none" w:sz="0" w:space="0" w:color="auto"/>
                                  </w:divBdr>
                                  <w:divsChild>
                                    <w:div w:id="782964644">
                                      <w:marLeft w:val="240"/>
                                      <w:marRight w:val="240"/>
                                      <w:marTop w:val="240"/>
                                      <w:marBottom w:val="0"/>
                                      <w:divBdr>
                                        <w:top w:val="none" w:sz="0" w:space="0" w:color="auto"/>
                                        <w:left w:val="none" w:sz="0" w:space="0" w:color="auto"/>
                                        <w:bottom w:val="none" w:sz="0" w:space="0" w:color="auto"/>
                                        <w:right w:val="none" w:sz="0" w:space="0" w:color="auto"/>
                                      </w:divBdr>
                                      <w:divsChild>
                                        <w:div w:id="900795647">
                                          <w:marLeft w:val="0"/>
                                          <w:marRight w:val="0"/>
                                          <w:marTop w:val="0"/>
                                          <w:marBottom w:val="0"/>
                                          <w:divBdr>
                                            <w:top w:val="none" w:sz="0" w:space="0" w:color="auto"/>
                                            <w:left w:val="none" w:sz="0" w:space="0" w:color="auto"/>
                                            <w:bottom w:val="none" w:sz="0" w:space="0" w:color="auto"/>
                                            <w:right w:val="none" w:sz="0" w:space="0" w:color="auto"/>
                                          </w:divBdr>
                                          <w:divsChild>
                                            <w:div w:id="386532680">
                                              <w:marLeft w:val="0"/>
                                              <w:marRight w:val="0"/>
                                              <w:marTop w:val="0"/>
                                              <w:marBottom w:val="0"/>
                                              <w:divBdr>
                                                <w:top w:val="none" w:sz="0" w:space="0" w:color="auto"/>
                                                <w:left w:val="none" w:sz="0" w:space="0" w:color="auto"/>
                                                <w:bottom w:val="none" w:sz="0" w:space="0" w:color="auto"/>
                                                <w:right w:val="none" w:sz="0" w:space="0" w:color="auto"/>
                                              </w:divBdr>
                                              <w:divsChild>
                                                <w:div w:id="1055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564726">
      <w:bodyDiv w:val="1"/>
      <w:marLeft w:val="0"/>
      <w:marRight w:val="0"/>
      <w:marTop w:val="0"/>
      <w:marBottom w:val="0"/>
      <w:divBdr>
        <w:top w:val="none" w:sz="0" w:space="0" w:color="auto"/>
        <w:left w:val="none" w:sz="0" w:space="0" w:color="auto"/>
        <w:bottom w:val="none" w:sz="0" w:space="0" w:color="auto"/>
        <w:right w:val="none" w:sz="0" w:space="0" w:color="auto"/>
      </w:divBdr>
      <w:divsChild>
        <w:div w:id="1884631612">
          <w:marLeft w:val="0"/>
          <w:marRight w:val="0"/>
          <w:marTop w:val="0"/>
          <w:marBottom w:val="0"/>
          <w:divBdr>
            <w:top w:val="none" w:sz="0" w:space="0" w:color="auto"/>
            <w:left w:val="none" w:sz="0" w:space="0" w:color="auto"/>
            <w:bottom w:val="none" w:sz="0" w:space="0" w:color="auto"/>
            <w:right w:val="none" w:sz="0" w:space="0" w:color="auto"/>
          </w:divBdr>
          <w:divsChild>
            <w:div w:id="183132867">
              <w:marLeft w:val="0"/>
              <w:marRight w:val="0"/>
              <w:marTop w:val="0"/>
              <w:marBottom w:val="0"/>
              <w:divBdr>
                <w:top w:val="none" w:sz="0" w:space="0" w:color="auto"/>
                <w:left w:val="none" w:sz="0" w:space="0" w:color="auto"/>
                <w:bottom w:val="none" w:sz="0" w:space="0" w:color="auto"/>
                <w:right w:val="none" w:sz="0" w:space="0" w:color="auto"/>
              </w:divBdr>
              <w:divsChild>
                <w:div w:id="1013604973">
                  <w:marLeft w:val="0"/>
                  <w:marRight w:val="0"/>
                  <w:marTop w:val="0"/>
                  <w:marBottom w:val="0"/>
                  <w:divBdr>
                    <w:top w:val="none" w:sz="0" w:space="0" w:color="auto"/>
                    <w:left w:val="none" w:sz="0" w:space="0" w:color="auto"/>
                    <w:bottom w:val="none" w:sz="0" w:space="0" w:color="auto"/>
                    <w:right w:val="none" w:sz="0" w:space="0" w:color="auto"/>
                  </w:divBdr>
                  <w:divsChild>
                    <w:div w:id="786580022">
                      <w:marLeft w:val="0"/>
                      <w:marRight w:val="0"/>
                      <w:marTop w:val="0"/>
                      <w:marBottom w:val="0"/>
                      <w:divBdr>
                        <w:top w:val="none" w:sz="0" w:space="0" w:color="auto"/>
                        <w:left w:val="none" w:sz="0" w:space="0" w:color="auto"/>
                        <w:bottom w:val="none" w:sz="0" w:space="0" w:color="auto"/>
                        <w:right w:val="none" w:sz="0" w:space="0" w:color="auto"/>
                      </w:divBdr>
                      <w:divsChild>
                        <w:div w:id="1285842405">
                          <w:marLeft w:val="0"/>
                          <w:marRight w:val="0"/>
                          <w:marTop w:val="0"/>
                          <w:marBottom w:val="0"/>
                          <w:divBdr>
                            <w:top w:val="none" w:sz="0" w:space="0" w:color="auto"/>
                            <w:left w:val="none" w:sz="0" w:space="0" w:color="auto"/>
                            <w:bottom w:val="none" w:sz="0" w:space="0" w:color="auto"/>
                            <w:right w:val="none" w:sz="0" w:space="0" w:color="auto"/>
                          </w:divBdr>
                          <w:divsChild>
                            <w:div w:id="1945109519">
                              <w:marLeft w:val="0"/>
                              <w:marRight w:val="0"/>
                              <w:marTop w:val="0"/>
                              <w:marBottom w:val="0"/>
                              <w:divBdr>
                                <w:top w:val="none" w:sz="0" w:space="0" w:color="auto"/>
                                <w:left w:val="none" w:sz="0" w:space="0" w:color="auto"/>
                                <w:bottom w:val="none" w:sz="0" w:space="0" w:color="auto"/>
                                <w:right w:val="none" w:sz="0" w:space="0" w:color="auto"/>
                              </w:divBdr>
                              <w:divsChild>
                                <w:div w:id="1361393637">
                                  <w:marLeft w:val="0"/>
                                  <w:marRight w:val="0"/>
                                  <w:marTop w:val="0"/>
                                  <w:marBottom w:val="0"/>
                                  <w:divBdr>
                                    <w:top w:val="none" w:sz="0" w:space="0" w:color="auto"/>
                                    <w:left w:val="none" w:sz="0" w:space="0" w:color="auto"/>
                                    <w:bottom w:val="none" w:sz="0" w:space="0" w:color="auto"/>
                                    <w:right w:val="none" w:sz="0" w:space="0" w:color="auto"/>
                                  </w:divBdr>
                                  <w:divsChild>
                                    <w:div w:id="1520702691">
                                      <w:marLeft w:val="240"/>
                                      <w:marRight w:val="240"/>
                                      <w:marTop w:val="240"/>
                                      <w:marBottom w:val="0"/>
                                      <w:divBdr>
                                        <w:top w:val="none" w:sz="0" w:space="0" w:color="auto"/>
                                        <w:left w:val="none" w:sz="0" w:space="0" w:color="auto"/>
                                        <w:bottom w:val="none" w:sz="0" w:space="0" w:color="auto"/>
                                        <w:right w:val="none" w:sz="0" w:space="0" w:color="auto"/>
                                      </w:divBdr>
                                      <w:divsChild>
                                        <w:div w:id="913858185">
                                          <w:marLeft w:val="0"/>
                                          <w:marRight w:val="0"/>
                                          <w:marTop w:val="0"/>
                                          <w:marBottom w:val="0"/>
                                          <w:divBdr>
                                            <w:top w:val="none" w:sz="0" w:space="0" w:color="auto"/>
                                            <w:left w:val="none" w:sz="0" w:space="0" w:color="auto"/>
                                            <w:bottom w:val="none" w:sz="0" w:space="0" w:color="auto"/>
                                            <w:right w:val="none" w:sz="0" w:space="0" w:color="auto"/>
                                          </w:divBdr>
                                          <w:divsChild>
                                            <w:div w:id="86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 w:id="1228028953">
      <w:bodyDiv w:val="1"/>
      <w:marLeft w:val="0"/>
      <w:marRight w:val="0"/>
      <w:marTop w:val="0"/>
      <w:marBottom w:val="0"/>
      <w:divBdr>
        <w:top w:val="none" w:sz="0" w:space="0" w:color="auto"/>
        <w:left w:val="none" w:sz="0" w:space="0" w:color="auto"/>
        <w:bottom w:val="none" w:sz="0" w:space="0" w:color="auto"/>
        <w:right w:val="none" w:sz="0" w:space="0" w:color="auto"/>
      </w:divBdr>
    </w:div>
    <w:div w:id="1234201047">
      <w:bodyDiv w:val="1"/>
      <w:marLeft w:val="0"/>
      <w:marRight w:val="0"/>
      <w:marTop w:val="0"/>
      <w:marBottom w:val="0"/>
      <w:divBdr>
        <w:top w:val="none" w:sz="0" w:space="0" w:color="auto"/>
        <w:left w:val="none" w:sz="0" w:space="0" w:color="auto"/>
        <w:bottom w:val="none" w:sz="0" w:space="0" w:color="auto"/>
        <w:right w:val="none" w:sz="0" w:space="0" w:color="auto"/>
      </w:divBdr>
    </w:div>
    <w:div w:id="1609779794">
      <w:bodyDiv w:val="1"/>
      <w:marLeft w:val="0"/>
      <w:marRight w:val="0"/>
      <w:marTop w:val="0"/>
      <w:marBottom w:val="0"/>
      <w:divBdr>
        <w:top w:val="none" w:sz="0" w:space="0" w:color="auto"/>
        <w:left w:val="none" w:sz="0" w:space="0" w:color="auto"/>
        <w:bottom w:val="none" w:sz="0" w:space="0" w:color="auto"/>
        <w:right w:val="none" w:sz="0" w:space="0" w:color="auto"/>
      </w:divBdr>
    </w:div>
    <w:div w:id="1668093538">
      <w:bodyDiv w:val="1"/>
      <w:marLeft w:val="0"/>
      <w:marRight w:val="0"/>
      <w:marTop w:val="0"/>
      <w:marBottom w:val="0"/>
      <w:divBdr>
        <w:top w:val="none" w:sz="0" w:space="0" w:color="auto"/>
        <w:left w:val="none" w:sz="0" w:space="0" w:color="auto"/>
        <w:bottom w:val="none" w:sz="0" w:space="0" w:color="auto"/>
        <w:right w:val="none" w:sz="0" w:space="0" w:color="auto"/>
      </w:divBdr>
    </w:div>
    <w:div w:id="19421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energymadeeasy.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ergymadeeasy.gov.au/" TargetMode="Externa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hyperlink" Target="mailto:publishing.unit@accc.gov.au"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Rule-Changes/Economic-Regulation-of-Network-Service-Providers" TargetMode="External"/><Relationship Id="rId2" Type="http://schemas.openxmlformats.org/officeDocument/2006/relationships/hyperlink" Target="http://www.aer.gov.au/node/19166" TargetMode="External"/><Relationship Id="rId1" Type="http://schemas.openxmlformats.org/officeDocument/2006/relationships/hyperlink" Target="http://www.scer.gov.au/files/2013/09/LMR-Decision-RIS-June-2013.pdf" TargetMode="External"/><Relationship Id="rId6" Type="http://schemas.openxmlformats.org/officeDocument/2006/relationships/hyperlink" Target="http://www.aer.gov.au/node/11483" TargetMode="External"/><Relationship Id="rId5" Type="http://schemas.openxmlformats.org/officeDocument/2006/relationships/hyperlink" Target="http://www.aer.gov.au/node/19305" TargetMode="External"/><Relationship Id="rId4" Type="http://schemas.openxmlformats.org/officeDocument/2006/relationships/hyperlink" Target="http://www.aer.gov.au/node/1885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Sheet1!$A$8</c:f>
              <c:strCache>
                <c:ptCount val="1"/>
                <c:pt idx="0">
                  <c:v>Past Repex</c:v>
                </c:pt>
              </c:strCache>
            </c:strRef>
          </c:tx>
          <c:spPr>
            <a:solidFill>
              <a:srgbClr val="A1D99B"/>
            </a:solidFill>
          </c:spPr>
          <c:invertIfNegative val="0"/>
          <c:cat>
            <c:strRef>
              <c:f>Sheet1!$B$7:$K$7</c:f>
              <c:strCache>
                <c:ptCount val="10"/>
                <c:pt idx="0">
                  <c:v>2008-09</c:v>
                </c:pt>
                <c:pt idx="1">
                  <c:v>2009-10</c:v>
                </c:pt>
                <c:pt idx="2">
                  <c:v>2010-11</c:v>
                </c:pt>
                <c:pt idx="3">
                  <c:v>2011-12</c:v>
                </c:pt>
                <c:pt idx="4">
                  <c:v>2012-13</c:v>
                </c:pt>
                <c:pt idx="5">
                  <c:v>2013-14</c:v>
                </c:pt>
                <c:pt idx="6">
                  <c:v>2014-15</c:v>
                </c:pt>
                <c:pt idx="7">
                  <c:v>2015-16</c:v>
                </c:pt>
                <c:pt idx="8">
                  <c:v>2016-17</c:v>
                </c:pt>
                <c:pt idx="9">
                  <c:v>2017-18</c:v>
                </c:pt>
              </c:strCache>
            </c:strRef>
          </c:cat>
          <c:val>
            <c:numRef>
              <c:f>Sheet1!$B$8:$K$8</c:f>
              <c:numCache>
                <c:formatCode>General</c:formatCode>
                <c:ptCount val="10"/>
                <c:pt idx="0">
                  <c:v>80.571350566534051</c:v>
                </c:pt>
                <c:pt idx="1">
                  <c:v>99.442449293284412</c:v>
                </c:pt>
                <c:pt idx="2">
                  <c:v>120.64572040949953</c:v>
                </c:pt>
                <c:pt idx="3">
                  <c:v>116.90862222113179</c:v>
                </c:pt>
                <c:pt idx="4">
                  <c:v>134.25001752410358</c:v>
                </c:pt>
                <c:pt idx="5">
                  <c:v>221.78129642214171</c:v>
                </c:pt>
                <c:pt idx="6">
                  <c:v>0</c:v>
                </c:pt>
                <c:pt idx="7">
                  <c:v>0</c:v>
                </c:pt>
                <c:pt idx="8">
                  <c:v>0</c:v>
                </c:pt>
                <c:pt idx="9">
                  <c:v>0</c:v>
                </c:pt>
              </c:numCache>
            </c:numRef>
          </c:val>
        </c:ser>
        <c:ser>
          <c:idx val="1"/>
          <c:order val="1"/>
          <c:tx>
            <c:strRef>
              <c:f>Sheet1!$A$9</c:f>
              <c:strCache>
                <c:ptCount val="1"/>
                <c:pt idx="0">
                  <c:v>Forecast Repex</c:v>
                </c:pt>
              </c:strCache>
            </c:strRef>
          </c:tx>
          <c:spPr>
            <a:solidFill>
              <a:srgbClr val="7F0026"/>
            </a:solidFill>
          </c:spPr>
          <c:invertIfNegative val="0"/>
          <c:cat>
            <c:strRef>
              <c:f>Sheet1!$B$7:$K$7</c:f>
              <c:strCache>
                <c:ptCount val="10"/>
                <c:pt idx="0">
                  <c:v>2008-09</c:v>
                </c:pt>
                <c:pt idx="1">
                  <c:v>2009-10</c:v>
                </c:pt>
                <c:pt idx="2">
                  <c:v>2010-11</c:v>
                </c:pt>
                <c:pt idx="3">
                  <c:v>2011-12</c:v>
                </c:pt>
                <c:pt idx="4">
                  <c:v>2012-13</c:v>
                </c:pt>
                <c:pt idx="5">
                  <c:v>2013-14</c:v>
                </c:pt>
                <c:pt idx="6">
                  <c:v>2014-15</c:v>
                </c:pt>
                <c:pt idx="7">
                  <c:v>2015-16</c:v>
                </c:pt>
                <c:pt idx="8">
                  <c:v>2016-17</c:v>
                </c:pt>
                <c:pt idx="9">
                  <c:v>2017-18</c:v>
                </c:pt>
              </c:strCache>
            </c:strRef>
          </c:cat>
          <c:val>
            <c:numRef>
              <c:f>Sheet1!$B$9:$K$9</c:f>
              <c:numCache>
                <c:formatCode>General</c:formatCode>
                <c:ptCount val="10"/>
                <c:pt idx="0">
                  <c:v>0</c:v>
                </c:pt>
                <c:pt idx="1">
                  <c:v>0</c:v>
                </c:pt>
                <c:pt idx="2">
                  <c:v>0</c:v>
                </c:pt>
                <c:pt idx="3">
                  <c:v>0</c:v>
                </c:pt>
                <c:pt idx="4">
                  <c:v>0</c:v>
                </c:pt>
                <c:pt idx="5">
                  <c:v>0</c:v>
                </c:pt>
                <c:pt idx="6">
                  <c:v>237.85267004776591</c:v>
                </c:pt>
                <c:pt idx="7">
                  <c:v>260.45582066423134</c:v>
                </c:pt>
                <c:pt idx="8">
                  <c:v>218.7159416237472</c:v>
                </c:pt>
                <c:pt idx="9">
                  <c:v>240.73695826167395</c:v>
                </c:pt>
              </c:numCache>
            </c:numRef>
          </c:val>
        </c:ser>
        <c:ser>
          <c:idx val="2"/>
          <c:order val="2"/>
          <c:tx>
            <c:strRef>
              <c:f>Sheet1!$A$10</c:f>
              <c:strCache>
                <c:ptCount val="1"/>
                <c:pt idx="0">
                  <c:v>Past Augex</c:v>
                </c:pt>
              </c:strCache>
            </c:strRef>
          </c:tx>
          <c:spPr>
            <a:solidFill>
              <a:srgbClr val="2171B5"/>
            </a:solidFill>
          </c:spPr>
          <c:invertIfNegative val="0"/>
          <c:cat>
            <c:strRef>
              <c:f>Sheet1!$B$7:$K$7</c:f>
              <c:strCache>
                <c:ptCount val="10"/>
                <c:pt idx="0">
                  <c:v>2008-09</c:v>
                </c:pt>
                <c:pt idx="1">
                  <c:v>2009-10</c:v>
                </c:pt>
                <c:pt idx="2">
                  <c:v>2010-11</c:v>
                </c:pt>
                <c:pt idx="3">
                  <c:v>2011-12</c:v>
                </c:pt>
                <c:pt idx="4">
                  <c:v>2012-13</c:v>
                </c:pt>
                <c:pt idx="5">
                  <c:v>2013-14</c:v>
                </c:pt>
                <c:pt idx="6">
                  <c:v>2014-15</c:v>
                </c:pt>
                <c:pt idx="7">
                  <c:v>2015-16</c:v>
                </c:pt>
                <c:pt idx="8">
                  <c:v>2016-17</c:v>
                </c:pt>
                <c:pt idx="9">
                  <c:v>2017-18</c:v>
                </c:pt>
              </c:strCache>
            </c:strRef>
          </c:cat>
          <c:val>
            <c:numRef>
              <c:f>Sheet1!$B$10:$K$10</c:f>
              <c:numCache>
                <c:formatCode>General</c:formatCode>
                <c:ptCount val="10"/>
                <c:pt idx="0">
                  <c:v>429.66189908573381</c:v>
                </c:pt>
                <c:pt idx="1">
                  <c:v>245.79854952820958</c:v>
                </c:pt>
                <c:pt idx="2">
                  <c:v>188.57230248879765</c:v>
                </c:pt>
                <c:pt idx="3">
                  <c:v>165.59038596336782</c:v>
                </c:pt>
                <c:pt idx="4">
                  <c:v>262.41452601208721</c:v>
                </c:pt>
                <c:pt idx="5">
                  <c:v>216.22768425955175</c:v>
                </c:pt>
                <c:pt idx="6">
                  <c:v>0</c:v>
                </c:pt>
                <c:pt idx="7">
                  <c:v>0</c:v>
                </c:pt>
                <c:pt idx="8">
                  <c:v>0</c:v>
                </c:pt>
                <c:pt idx="9">
                  <c:v>0</c:v>
                </c:pt>
              </c:numCache>
            </c:numRef>
          </c:val>
        </c:ser>
        <c:ser>
          <c:idx val="3"/>
          <c:order val="3"/>
          <c:tx>
            <c:strRef>
              <c:f>Sheet1!$A$11</c:f>
              <c:strCache>
                <c:ptCount val="1"/>
                <c:pt idx="0">
                  <c:v>Forecast Augex</c:v>
                </c:pt>
              </c:strCache>
            </c:strRef>
          </c:tx>
          <c:spPr>
            <a:solidFill>
              <a:srgbClr val="FCC0C0"/>
            </a:solidFill>
          </c:spPr>
          <c:invertIfNegative val="0"/>
          <c:cat>
            <c:strRef>
              <c:f>Sheet1!$B$7:$K$7</c:f>
              <c:strCache>
                <c:ptCount val="10"/>
                <c:pt idx="0">
                  <c:v>2008-09</c:v>
                </c:pt>
                <c:pt idx="1">
                  <c:v>2009-10</c:v>
                </c:pt>
                <c:pt idx="2">
                  <c:v>2010-11</c:v>
                </c:pt>
                <c:pt idx="3">
                  <c:v>2011-12</c:v>
                </c:pt>
                <c:pt idx="4">
                  <c:v>2012-13</c:v>
                </c:pt>
                <c:pt idx="5">
                  <c:v>2013-14</c:v>
                </c:pt>
                <c:pt idx="6">
                  <c:v>2014-15</c:v>
                </c:pt>
                <c:pt idx="7">
                  <c:v>2015-16</c:v>
                </c:pt>
                <c:pt idx="8">
                  <c:v>2016-17</c:v>
                </c:pt>
                <c:pt idx="9">
                  <c:v>2017-18</c:v>
                </c:pt>
              </c:strCache>
            </c:strRef>
          </c:cat>
          <c:val>
            <c:numRef>
              <c:f>Sheet1!$B$11:$K$11</c:f>
              <c:numCache>
                <c:formatCode>General</c:formatCode>
                <c:ptCount val="10"/>
                <c:pt idx="0">
                  <c:v>0</c:v>
                </c:pt>
                <c:pt idx="1">
                  <c:v>0</c:v>
                </c:pt>
                <c:pt idx="2">
                  <c:v>0</c:v>
                </c:pt>
                <c:pt idx="3">
                  <c:v>0</c:v>
                </c:pt>
                <c:pt idx="4">
                  <c:v>0</c:v>
                </c:pt>
                <c:pt idx="5">
                  <c:v>0</c:v>
                </c:pt>
                <c:pt idx="6">
                  <c:v>44.948128407859691</c:v>
                </c:pt>
                <c:pt idx="7">
                  <c:v>70.969222766490176</c:v>
                </c:pt>
                <c:pt idx="8">
                  <c:v>28.743100022365603</c:v>
                </c:pt>
                <c:pt idx="9">
                  <c:v>18.54258347467934</c:v>
                </c:pt>
              </c:numCache>
            </c:numRef>
          </c:val>
        </c:ser>
        <c:dLbls>
          <c:showLegendKey val="0"/>
          <c:showVal val="0"/>
          <c:showCatName val="0"/>
          <c:showSerName val="0"/>
          <c:showPercent val="0"/>
          <c:showBubbleSize val="0"/>
        </c:dLbls>
        <c:gapWidth val="150"/>
        <c:overlap val="100"/>
        <c:axId val="103716352"/>
        <c:axId val="103717888"/>
      </c:barChart>
      <c:catAx>
        <c:axId val="103716352"/>
        <c:scaling>
          <c:orientation val="minMax"/>
        </c:scaling>
        <c:delete val="0"/>
        <c:axPos val="b"/>
        <c:majorTickMark val="out"/>
        <c:minorTickMark val="none"/>
        <c:tickLblPos val="nextTo"/>
        <c:txPr>
          <a:bodyPr/>
          <a:lstStyle/>
          <a:p>
            <a:pPr>
              <a:defRPr sz="900"/>
            </a:pPr>
            <a:endParaRPr lang="en-US"/>
          </a:p>
        </c:txPr>
        <c:crossAx val="103717888"/>
        <c:crosses val="autoZero"/>
        <c:auto val="1"/>
        <c:lblAlgn val="ctr"/>
        <c:lblOffset val="100"/>
        <c:noMultiLvlLbl val="0"/>
      </c:catAx>
      <c:valAx>
        <c:axId val="103717888"/>
        <c:scaling>
          <c:orientation val="minMax"/>
        </c:scaling>
        <c:delete val="0"/>
        <c:axPos val="l"/>
        <c:majorGridlines/>
        <c:title>
          <c:tx>
            <c:rich>
              <a:bodyPr rot="0" vert="horz"/>
              <a:lstStyle/>
              <a:p>
                <a:pPr>
                  <a:defRPr/>
                </a:pPr>
                <a:r>
                  <a:rPr lang="en-AU"/>
                  <a:t>$m,</a:t>
                </a:r>
                <a:br>
                  <a:rPr lang="en-AU"/>
                </a:br>
                <a:r>
                  <a:rPr lang="en-AU"/>
                  <a:t>2013-14</a:t>
                </a:r>
              </a:p>
            </c:rich>
          </c:tx>
          <c:overlay val="0"/>
        </c:title>
        <c:numFmt formatCode="General" sourceLinked="1"/>
        <c:majorTickMark val="out"/>
        <c:minorTickMark val="none"/>
        <c:tickLblPos val="nextTo"/>
        <c:crossAx val="1037163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11C34513.dotm</Template>
  <TotalTime>0</TotalTime>
  <Pages>74</Pages>
  <Words>24448</Words>
  <Characters>139359</Characters>
  <Application>Microsoft Office Word</Application>
  <DocSecurity>0</DocSecurity>
  <Lines>1161</Lines>
  <Paragraphs>326</Paragraphs>
  <ScaleCrop>false</ScaleCrop>
  <Company/>
  <LinksUpToDate>false</LinksUpToDate>
  <CharactersWithSpaces>163481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2014-11-26T04:38:00Z</dcterms:created>
  <dcterms:modified xsi:type="dcterms:W3CDTF">2014-11-26T04:38:00Z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8280550</vt:lpwstr>
  </property>
</Properties>
</file>