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99676627"/>
        <w:docPartObj>
          <w:docPartGallery w:val="Cover Pages"/>
          <w:docPartUnique/>
        </w:docPartObj>
      </w:sdtPr>
      <w:sdtEndPr/>
      <w:sdtContent>
        <w:p w:rsidR="0069742C" w:rsidRPr="00DB723B" w:rsidRDefault="0069742C" w:rsidP="0069742C">
          <w:r w:rsidRPr="0069742C">
            <w:rPr>
              <w:noProof/>
              <w:lang w:eastAsia="en-AU"/>
            </w:rPr>
            <w:drawing>
              <wp:anchor distT="0" distB="0" distL="114300" distR="114300" simplePos="0" relativeHeight="251659264" behindDoc="1" locked="0" layoutInCell="1" allowOverlap="1" wp14:anchorId="7F6603D3" wp14:editId="07ADC332">
                <wp:simplePos x="0" y="0"/>
                <wp:positionH relativeFrom="column">
                  <wp:posOffset>-1152505</wp:posOffset>
                </wp:positionH>
                <wp:positionV relativeFrom="paragraph">
                  <wp:posOffset>-941696</wp:posOffset>
                </wp:positionV>
                <wp:extent cx="7656394" cy="10804601"/>
                <wp:effectExtent l="0" t="0" r="190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56394" cy="10804601"/>
                        </a:xfrm>
                        <a:prstGeom prst="rect">
                          <a:avLst/>
                        </a:prstGeom>
                        <a:noFill/>
                      </pic:spPr>
                    </pic:pic>
                  </a:graphicData>
                </a:graphic>
                <wp14:sizeRelH relativeFrom="page">
                  <wp14:pctWidth>0</wp14:pctWidth>
                </wp14:sizeRelH>
                <wp14:sizeRelV relativeFrom="page">
                  <wp14:pctHeight>0</wp14:pctHeight>
                </wp14:sizeRelV>
              </wp:anchor>
            </w:drawing>
          </w:r>
        </w:p>
        <w:p w:rsidR="0069742C" w:rsidRPr="00DB723B" w:rsidRDefault="0069742C" w:rsidP="0069742C"/>
        <w:p w:rsidR="0069742C" w:rsidRPr="00DB723B" w:rsidRDefault="0069742C" w:rsidP="0069742C"/>
        <w:p w:rsidR="0069742C" w:rsidRPr="00DB723B" w:rsidRDefault="0069742C" w:rsidP="0069742C"/>
        <w:p w:rsidR="0069742C" w:rsidRPr="00DB723B" w:rsidRDefault="0069742C" w:rsidP="0069742C"/>
        <w:p w:rsidR="0069742C" w:rsidRPr="00DB723B" w:rsidRDefault="0069742C" w:rsidP="0069742C"/>
        <w:p w:rsidR="0069742C" w:rsidRPr="00DB723B" w:rsidRDefault="0069742C" w:rsidP="0069742C"/>
        <w:p w:rsidR="0069742C" w:rsidRPr="00DB723B" w:rsidRDefault="0069742C" w:rsidP="0069742C"/>
        <w:p w:rsidR="0069742C" w:rsidRPr="00DB723B" w:rsidRDefault="0069742C" w:rsidP="0069742C"/>
        <w:p w:rsidR="0069742C" w:rsidRPr="00DB723B" w:rsidRDefault="0069742C" w:rsidP="0069742C">
          <w:pPr>
            <w:pStyle w:val="ReportTitle"/>
          </w:pPr>
          <w:r>
            <w:t>Annual Benchmarking Report</w:t>
          </w:r>
        </w:p>
        <w:p w:rsidR="0069742C" w:rsidRPr="00DB723B" w:rsidRDefault="0069742C" w:rsidP="0069742C">
          <w:pPr>
            <w:pStyle w:val="ReportSubtitle"/>
          </w:pPr>
          <w:r>
            <w:t xml:space="preserve">Electricity </w:t>
          </w:r>
          <w:r w:rsidR="00E623FF">
            <w:t xml:space="preserve">transmission </w:t>
          </w:r>
          <w:r>
            <w:t>network service providers</w:t>
          </w:r>
        </w:p>
        <w:p w:rsidR="0069742C" w:rsidRPr="00DB723B" w:rsidRDefault="0069742C" w:rsidP="0069742C">
          <w:pPr>
            <w:pStyle w:val="ReportDate"/>
          </w:pPr>
          <w:r>
            <w:t>November</w:t>
          </w:r>
          <w:r w:rsidRPr="00DB723B">
            <w:t xml:space="preserve"> 201</w:t>
          </w:r>
          <w:r>
            <w:t>5</w:t>
          </w:r>
        </w:p>
        <w:p w:rsidR="0069742C" w:rsidRPr="00680644" w:rsidRDefault="0069742C" w:rsidP="0069742C">
          <w:r w:rsidRPr="00DB723B">
            <w:br w:type="page"/>
          </w:r>
        </w:p>
      </w:sdtContent>
    </w:sdt>
    <w:p w:rsidR="0069742C" w:rsidRPr="0069742C" w:rsidRDefault="0069742C" w:rsidP="0069742C">
      <w:r>
        <w:lastRenderedPageBreak/>
        <w:t>© Commonwealth of Australia 201</w:t>
      </w:r>
      <w:r w:rsidRPr="0069742C">
        <w:t>5</w:t>
      </w:r>
    </w:p>
    <w:p w:rsidR="0069742C" w:rsidRDefault="0069742C" w:rsidP="0069742C">
      <w:pPr>
        <w:pStyle w:val="Copyright"/>
      </w:pPr>
      <w:r>
        <w:t xml:space="preserve">This work is copyright. In addition to any use permitted under the Copyright Act 1968, all material contained within this work </w:t>
      </w:r>
      <w:proofErr w:type="gramStart"/>
      <w:r>
        <w:t>is provided</w:t>
      </w:r>
      <w:proofErr w:type="gramEnd"/>
      <w:r>
        <w:t xml:space="preserve"> under a Creative Commons Attributions 3.0 Australia licence, with the exception of:</w:t>
      </w:r>
    </w:p>
    <w:p w:rsidR="0069742C" w:rsidRDefault="0069742C" w:rsidP="0069742C">
      <w:pPr>
        <w:pStyle w:val="AERbulletlistfirststyle"/>
      </w:pPr>
      <w:r>
        <w:t>the Commonwealth Coat of Arms</w:t>
      </w:r>
    </w:p>
    <w:p w:rsidR="0069742C" w:rsidRDefault="0069742C" w:rsidP="0069742C">
      <w:pPr>
        <w:pStyle w:val="AERbulletlistfirststyle"/>
      </w:pPr>
      <w:r>
        <w:t>the ACCC and AER logos</w:t>
      </w:r>
    </w:p>
    <w:p w:rsidR="0069742C" w:rsidRPr="0069742C" w:rsidRDefault="0069742C" w:rsidP="0069742C">
      <w:pPr>
        <w:pStyle w:val="AERbulletlistfirststyle"/>
      </w:pPr>
      <w:r w:rsidRPr="0069742C">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69742C" w:rsidRDefault="0069742C" w:rsidP="0069742C">
      <w:pPr>
        <w:pStyle w:val="Copyright"/>
      </w:pPr>
      <w:r>
        <w:t xml:space="preserve">Requests and inquiries concerning reproduction and rights </w:t>
      </w:r>
      <w:proofErr w:type="gramStart"/>
      <w:r>
        <w:t>should be addressed</w:t>
      </w:r>
      <w:proofErr w:type="gramEnd"/>
      <w:r>
        <w:t xml:space="preserve"> to the </w:t>
      </w:r>
      <w:r>
        <w:br/>
        <w:t xml:space="preserve">Director, Corporate Communications, </w:t>
      </w:r>
      <w:r>
        <w:br/>
        <w:t xml:space="preserve">Australian Competition and Consumer Commission, </w:t>
      </w:r>
      <w:r>
        <w:br/>
        <w:t xml:space="preserve">GPO Box 4141, </w:t>
      </w:r>
      <w:r>
        <w:br/>
        <w:t xml:space="preserve">Canberra ACT 2601 </w:t>
      </w:r>
      <w:r>
        <w:br/>
        <w:t>or publishing.unit@accc.gov.au.</w:t>
      </w:r>
    </w:p>
    <w:p w:rsidR="0069742C" w:rsidRDefault="0069742C" w:rsidP="0069742C">
      <w:pPr>
        <w:pStyle w:val="Copyright"/>
      </w:pPr>
      <w:r>
        <w:t xml:space="preserve">Inquiries about this publication </w:t>
      </w:r>
      <w:proofErr w:type="gramStart"/>
      <w:r>
        <w:t>should be addressed</w:t>
      </w:r>
      <w:proofErr w:type="gramEnd"/>
      <w:r>
        <w:t xml:space="preserve"> to:</w:t>
      </w:r>
    </w:p>
    <w:p w:rsidR="0069742C" w:rsidRDefault="0069742C" w:rsidP="0069742C">
      <w:pPr>
        <w:pStyle w:val="Copyright"/>
      </w:pPr>
      <w:r>
        <w:t xml:space="preserve">Australian Energy </w:t>
      </w:r>
      <w:r w:rsidRPr="00F171E0">
        <w:t>Regulator</w:t>
      </w:r>
      <w:r>
        <w:br/>
        <w:t>GPO Box 520</w:t>
      </w:r>
      <w:r>
        <w:br/>
      </w:r>
      <w:proofErr w:type="gramStart"/>
      <w:r>
        <w:t>Melbourne  Vic</w:t>
      </w:r>
      <w:proofErr w:type="gramEnd"/>
      <w:r>
        <w:t xml:space="preserve">  3001</w:t>
      </w:r>
    </w:p>
    <w:p w:rsidR="0069742C" w:rsidRDefault="0069742C" w:rsidP="0069742C">
      <w:pPr>
        <w:pStyle w:val="Copyright"/>
      </w:pPr>
      <w:r>
        <w:t>Tel: (03) 9290 1444</w:t>
      </w:r>
      <w:r>
        <w:br/>
        <w:t>Fax: (03) 9290 1457</w:t>
      </w:r>
    </w:p>
    <w:p w:rsidR="00F40268" w:rsidRDefault="0069742C" w:rsidP="003A4C69">
      <w:pPr>
        <w:pStyle w:val="Copyright"/>
        <w:sectPr w:rsidR="00F40268" w:rsidSect="00E056BF">
          <w:pgSz w:w="11906" w:h="16838" w:code="9"/>
          <w:pgMar w:top="1440" w:right="1700" w:bottom="1582" w:left="1729" w:header="720" w:footer="409" w:gutter="0"/>
          <w:pgNumType w:fmt="lowerRoman"/>
          <w:cols w:space="720"/>
          <w:docGrid w:linePitch="326"/>
        </w:sectPr>
      </w:pPr>
      <w:r>
        <w:t xml:space="preserve">Email: </w:t>
      </w:r>
      <w:hyperlink r:id="rId10" w:history="1">
        <w:r w:rsidRPr="00D64888">
          <w:rPr>
            <w:rStyle w:val="Hyperlink"/>
          </w:rPr>
          <w:t>AERInquiry@aer.gov.au</w:t>
        </w:r>
      </w:hyperlink>
      <w:r>
        <w:rPr>
          <w:rStyle w:val="Hyperlink"/>
        </w:rPr>
        <w:br/>
      </w:r>
    </w:p>
    <w:p w:rsidR="00272BE0" w:rsidRDefault="00272BE0" w:rsidP="00272BE0">
      <w:pPr>
        <w:pStyle w:val="UnnumberedHeading"/>
      </w:pPr>
      <w:bookmarkStart w:id="0" w:name="_Toc435709410"/>
      <w:r>
        <w:lastRenderedPageBreak/>
        <w:t>Shortened forms</w:t>
      </w:r>
      <w:bookmarkEnd w:id="0"/>
    </w:p>
    <w:tbl>
      <w:tblPr>
        <w:tblStyle w:val="AERtable-text0"/>
        <w:tblW w:w="0" w:type="auto"/>
        <w:tblLook w:val="04A0" w:firstRow="1" w:lastRow="0" w:firstColumn="1" w:lastColumn="0" w:noHBand="0" w:noVBand="1"/>
      </w:tblPr>
      <w:tblGrid>
        <w:gridCol w:w="2235"/>
        <w:gridCol w:w="6458"/>
      </w:tblGrid>
      <w:tr w:rsidR="00E623FF" w:rsidTr="00E623FF">
        <w:trPr>
          <w:cnfStyle w:val="100000000000" w:firstRow="1" w:lastRow="0" w:firstColumn="0" w:lastColumn="0" w:oddVBand="0" w:evenVBand="0" w:oddHBand="0" w:evenHBand="0" w:firstRowFirstColumn="0" w:firstRowLastColumn="0" w:lastRowFirstColumn="0" w:lastRowLastColumn="0"/>
        </w:trPr>
        <w:tc>
          <w:tcPr>
            <w:tcW w:w="2235" w:type="dxa"/>
          </w:tcPr>
          <w:p w:rsidR="00E623FF" w:rsidRPr="00957429" w:rsidRDefault="00E623FF" w:rsidP="00977B9A">
            <w:r w:rsidRPr="00957429">
              <w:t>Shortened term</w:t>
            </w:r>
          </w:p>
        </w:tc>
        <w:tc>
          <w:tcPr>
            <w:tcW w:w="6458" w:type="dxa"/>
          </w:tcPr>
          <w:p w:rsidR="00E623FF" w:rsidRPr="00957429" w:rsidRDefault="00E623FF" w:rsidP="00977B9A">
            <w:r w:rsidRPr="00957429">
              <w:t>Full title</w:t>
            </w:r>
          </w:p>
        </w:tc>
      </w:tr>
      <w:tr w:rsidR="00E623FF" w:rsidTr="00E623FF">
        <w:tc>
          <w:tcPr>
            <w:tcW w:w="2235" w:type="dxa"/>
          </w:tcPr>
          <w:p w:rsidR="00E623FF" w:rsidRPr="00957429" w:rsidRDefault="00E623FF" w:rsidP="00977B9A">
            <w:r w:rsidRPr="00957429">
              <w:t>AEMC</w:t>
            </w:r>
          </w:p>
        </w:tc>
        <w:tc>
          <w:tcPr>
            <w:tcW w:w="6458" w:type="dxa"/>
          </w:tcPr>
          <w:p w:rsidR="00E623FF" w:rsidRPr="00957429" w:rsidRDefault="00E623FF" w:rsidP="00977B9A">
            <w:r w:rsidRPr="00957429">
              <w:t>Australian Energy Market Commission</w:t>
            </w:r>
          </w:p>
        </w:tc>
      </w:tr>
      <w:tr w:rsidR="00E623FF" w:rsidTr="00E623FF">
        <w:trPr>
          <w:cnfStyle w:val="000000010000" w:firstRow="0" w:lastRow="0" w:firstColumn="0" w:lastColumn="0" w:oddVBand="0" w:evenVBand="0" w:oddHBand="0" w:evenHBand="1" w:firstRowFirstColumn="0" w:firstRowLastColumn="0" w:lastRowFirstColumn="0" w:lastRowLastColumn="0"/>
        </w:trPr>
        <w:tc>
          <w:tcPr>
            <w:tcW w:w="2235" w:type="dxa"/>
          </w:tcPr>
          <w:p w:rsidR="00E623FF" w:rsidRPr="00957429" w:rsidRDefault="00E623FF" w:rsidP="00977B9A">
            <w:r w:rsidRPr="00957429">
              <w:t>AEMO</w:t>
            </w:r>
          </w:p>
        </w:tc>
        <w:tc>
          <w:tcPr>
            <w:tcW w:w="6458" w:type="dxa"/>
          </w:tcPr>
          <w:p w:rsidR="00E623FF" w:rsidRPr="00957429" w:rsidRDefault="00E623FF" w:rsidP="00977B9A">
            <w:r w:rsidRPr="00957429">
              <w:t>Australian Energy Market Operator</w:t>
            </w:r>
          </w:p>
        </w:tc>
      </w:tr>
      <w:tr w:rsidR="00E623FF" w:rsidTr="00E623FF">
        <w:tc>
          <w:tcPr>
            <w:tcW w:w="2235" w:type="dxa"/>
          </w:tcPr>
          <w:p w:rsidR="00E623FF" w:rsidRPr="00957429" w:rsidRDefault="00E623FF" w:rsidP="00977B9A">
            <w:r w:rsidRPr="00957429">
              <w:t>AER</w:t>
            </w:r>
          </w:p>
        </w:tc>
        <w:tc>
          <w:tcPr>
            <w:tcW w:w="6458" w:type="dxa"/>
          </w:tcPr>
          <w:p w:rsidR="00E623FF" w:rsidRPr="00957429" w:rsidRDefault="00E623FF" w:rsidP="00977B9A">
            <w:r w:rsidRPr="00957429">
              <w:t>Australian Energy Regulator</w:t>
            </w:r>
          </w:p>
        </w:tc>
      </w:tr>
      <w:tr w:rsidR="00E623FF" w:rsidTr="00E623FF">
        <w:trPr>
          <w:cnfStyle w:val="000000010000" w:firstRow="0" w:lastRow="0" w:firstColumn="0" w:lastColumn="0" w:oddVBand="0" w:evenVBand="0" w:oddHBand="0" w:evenHBand="1" w:firstRowFirstColumn="0" w:firstRowLastColumn="0" w:lastRowFirstColumn="0" w:lastRowLastColumn="0"/>
        </w:trPr>
        <w:tc>
          <w:tcPr>
            <w:tcW w:w="2235" w:type="dxa"/>
          </w:tcPr>
          <w:p w:rsidR="00E623FF" w:rsidRPr="00957429" w:rsidRDefault="00E623FF" w:rsidP="00977B9A">
            <w:r>
              <w:t>ANT</w:t>
            </w:r>
          </w:p>
        </w:tc>
        <w:tc>
          <w:tcPr>
            <w:tcW w:w="6458" w:type="dxa"/>
          </w:tcPr>
          <w:p w:rsidR="00E623FF" w:rsidRPr="00957429" w:rsidRDefault="00E623FF" w:rsidP="00977B9A">
            <w:proofErr w:type="spellStart"/>
            <w:r>
              <w:t>AusNet</w:t>
            </w:r>
            <w:proofErr w:type="spellEnd"/>
            <w:r>
              <w:t xml:space="preserve"> Services (transmission)</w:t>
            </w:r>
          </w:p>
        </w:tc>
      </w:tr>
      <w:tr w:rsidR="00E623FF" w:rsidTr="00E623FF">
        <w:tc>
          <w:tcPr>
            <w:tcW w:w="2235" w:type="dxa"/>
          </w:tcPr>
          <w:p w:rsidR="00E623FF" w:rsidRPr="00957429" w:rsidRDefault="00E623FF" w:rsidP="00977B9A">
            <w:r w:rsidRPr="00957429">
              <w:t>capex</w:t>
            </w:r>
          </w:p>
        </w:tc>
        <w:tc>
          <w:tcPr>
            <w:tcW w:w="6458" w:type="dxa"/>
          </w:tcPr>
          <w:p w:rsidR="00E623FF" w:rsidRPr="00957429" w:rsidRDefault="00E623FF" w:rsidP="00977B9A">
            <w:r w:rsidRPr="00957429">
              <w:t>Capital expenditure</w:t>
            </w:r>
          </w:p>
        </w:tc>
      </w:tr>
      <w:tr w:rsidR="00E623FF" w:rsidTr="00E623FF">
        <w:trPr>
          <w:cnfStyle w:val="000000010000" w:firstRow="0" w:lastRow="0" w:firstColumn="0" w:lastColumn="0" w:oddVBand="0" w:evenVBand="0" w:oddHBand="0" w:evenHBand="1" w:firstRowFirstColumn="0" w:firstRowLastColumn="0" w:lastRowFirstColumn="0" w:lastRowLastColumn="0"/>
        </w:trPr>
        <w:tc>
          <w:tcPr>
            <w:tcW w:w="2235" w:type="dxa"/>
          </w:tcPr>
          <w:p w:rsidR="00E623FF" w:rsidRDefault="00E623FF" w:rsidP="00977B9A">
            <w:r>
              <w:t>ENT</w:t>
            </w:r>
          </w:p>
        </w:tc>
        <w:tc>
          <w:tcPr>
            <w:tcW w:w="6458" w:type="dxa"/>
          </w:tcPr>
          <w:p w:rsidR="00E623FF" w:rsidRDefault="00E623FF" w:rsidP="00977B9A">
            <w:proofErr w:type="spellStart"/>
            <w:r>
              <w:t>ElectraNet</w:t>
            </w:r>
            <w:proofErr w:type="spellEnd"/>
          </w:p>
        </w:tc>
      </w:tr>
      <w:tr w:rsidR="00E623FF" w:rsidTr="00E623FF">
        <w:tc>
          <w:tcPr>
            <w:tcW w:w="2235" w:type="dxa"/>
          </w:tcPr>
          <w:p w:rsidR="00E623FF" w:rsidRPr="00957429" w:rsidRDefault="00E623FF" w:rsidP="00977B9A">
            <w:r w:rsidRPr="00957429">
              <w:t>MTFP</w:t>
            </w:r>
          </w:p>
        </w:tc>
        <w:tc>
          <w:tcPr>
            <w:tcW w:w="6458" w:type="dxa"/>
          </w:tcPr>
          <w:p w:rsidR="00E623FF" w:rsidRPr="00957429" w:rsidRDefault="00E623FF" w:rsidP="00977B9A">
            <w:r w:rsidRPr="00957429">
              <w:t>Multilateral total factor productivity</w:t>
            </w:r>
          </w:p>
        </w:tc>
      </w:tr>
      <w:tr w:rsidR="00E623FF" w:rsidTr="00E623FF">
        <w:trPr>
          <w:cnfStyle w:val="000000010000" w:firstRow="0" w:lastRow="0" w:firstColumn="0" w:lastColumn="0" w:oddVBand="0" w:evenVBand="0" w:oddHBand="0" w:evenHBand="1" w:firstRowFirstColumn="0" w:firstRowLastColumn="0" w:lastRowFirstColumn="0" w:lastRowLastColumn="0"/>
        </w:trPr>
        <w:tc>
          <w:tcPr>
            <w:tcW w:w="2235" w:type="dxa"/>
          </w:tcPr>
          <w:p w:rsidR="00E623FF" w:rsidRPr="00957429" w:rsidRDefault="00E623FF" w:rsidP="00977B9A">
            <w:r w:rsidRPr="00957429">
              <w:t>NEL</w:t>
            </w:r>
          </w:p>
        </w:tc>
        <w:tc>
          <w:tcPr>
            <w:tcW w:w="6458" w:type="dxa"/>
          </w:tcPr>
          <w:p w:rsidR="00E623FF" w:rsidRPr="00957429" w:rsidRDefault="00E623FF" w:rsidP="00977B9A">
            <w:r w:rsidRPr="00957429">
              <w:t>National Electricity Law</w:t>
            </w:r>
          </w:p>
        </w:tc>
      </w:tr>
      <w:tr w:rsidR="00E623FF" w:rsidTr="00E623FF">
        <w:tc>
          <w:tcPr>
            <w:tcW w:w="2235" w:type="dxa"/>
          </w:tcPr>
          <w:p w:rsidR="00E623FF" w:rsidRPr="00957429" w:rsidRDefault="00E623FF" w:rsidP="00977B9A">
            <w:r w:rsidRPr="00957429">
              <w:t>NEM</w:t>
            </w:r>
          </w:p>
        </w:tc>
        <w:tc>
          <w:tcPr>
            <w:tcW w:w="6458" w:type="dxa"/>
          </w:tcPr>
          <w:p w:rsidR="00E623FF" w:rsidRPr="00957429" w:rsidRDefault="00E623FF" w:rsidP="00977B9A">
            <w:r w:rsidRPr="00957429">
              <w:t>National Electricity Market</w:t>
            </w:r>
          </w:p>
        </w:tc>
      </w:tr>
      <w:tr w:rsidR="00E623FF" w:rsidTr="00E623FF">
        <w:trPr>
          <w:cnfStyle w:val="000000010000" w:firstRow="0" w:lastRow="0" w:firstColumn="0" w:lastColumn="0" w:oddVBand="0" w:evenVBand="0" w:oddHBand="0" w:evenHBand="1" w:firstRowFirstColumn="0" w:firstRowLastColumn="0" w:lastRowFirstColumn="0" w:lastRowLastColumn="0"/>
        </w:trPr>
        <w:tc>
          <w:tcPr>
            <w:tcW w:w="2235" w:type="dxa"/>
          </w:tcPr>
          <w:p w:rsidR="00E623FF" w:rsidRPr="00957429" w:rsidRDefault="00E623FF" w:rsidP="00977B9A">
            <w:r w:rsidRPr="00957429">
              <w:t>NER</w:t>
            </w:r>
          </w:p>
        </w:tc>
        <w:tc>
          <w:tcPr>
            <w:tcW w:w="6458" w:type="dxa"/>
          </w:tcPr>
          <w:p w:rsidR="00E623FF" w:rsidRPr="00957429" w:rsidRDefault="00E623FF" w:rsidP="00977B9A">
            <w:r w:rsidRPr="00957429">
              <w:t>National Electricity Rules</w:t>
            </w:r>
          </w:p>
        </w:tc>
      </w:tr>
      <w:tr w:rsidR="00E623FF" w:rsidTr="00E623FF">
        <w:tc>
          <w:tcPr>
            <w:tcW w:w="2235" w:type="dxa"/>
          </w:tcPr>
          <w:p w:rsidR="00E623FF" w:rsidRPr="00957429" w:rsidRDefault="00E623FF" w:rsidP="00977B9A">
            <w:proofErr w:type="spellStart"/>
            <w:r w:rsidRPr="00957429">
              <w:t>opex</w:t>
            </w:r>
            <w:proofErr w:type="spellEnd"/>
          </w:p>
        </w:tc>
        <w:tc>
          <w:tcPr>
            <w:tcW w:w="6458" w:type="dxa"/>
          </w:tcPr>
          <w:p w:rsidR="00E623FF" w:rsidRPr="00957429" w:rsidRDefault="00E623FF" w:rsidP="00977B9A">
            <w:r w:rsidRPr="00957429">
              <w:t>Operating expenditure</w:t>
            </w:r>
          </w:p>
        </w:tc>
      </w:tr>
      <w:tr w:rsidR="00E623FF" w:rsidTr="00E623FF">
        <w:trPr>
          <w:cnfStyle w:val="000000010000" w:firstRow="0" w:lastRow="0" w:firstColumn="0" w:lastColumn="0" w:oddVBand="0" w:evenVBand="0" w:oddHBand="0" w:evenHBand="1" w:firstRowFirstColumn="0" w:firstRowLastColumn="0" w:lastRowFirstColumn="0" w:lastRowLastColumn="0"/>
        </w:trPr>
        <w:tc>
          <w:tcPr>
            <w:tcW w:w="2235" w:type="dxa"/>
          </w:tcPr>
          <w:p w:rsidR="00E623FF" w:rsidRDefault="00E623FF" w:rsidP="00977B9A">
            <w:r>
              <w:t>PLK</w:t>
            </w:r>
          </w:p>
        </w:tc>
        <w:tc>
          <w:tcPr>
            <w:tcW w:w="6458" w:type="dxa"/>
          </w:tcPr>
          <w:p w:rsidR="00E623FF" w:rsidRDefault="00E623FF" w:rsidP="00977B9A">
            <w:r>
              <w:t>Powerlink</w:t>
            </w:r>
          </w:p>
        </w:tc>
      </w:tr>
      <w:tr w:rsidR="00E623FF" w:rsidTr="00E623FF">
        <w:tc>
          <w:tcPr>
            <w:tcW w:w="2235" w:type="dxa"/>
          </w:tcPr>
          <w:p w:rsidR="00E623FF" w:rsidRPr="00957429" w:rsidRDefault="00E623FF" w:rsidP="00977B9A">
            <w:r w:rsidRPr="00957429">
              <w:t>PPI</w:t>
            </w:r>
          </w:p>
        </w:tc>
        <w:tc>
          <w:tcPr>
            <w:tcW w:w="6458" w:type="dxa"/>
          </w:tcPr>
          <w:p w:rsidR="00E623FF" w:rsidRPr="00957429" w:rsidRDefault="00E623FF" w:rsidP="00977B9A">
            <w:r w:rsidRPr="00957429">
              <w:t>Partial performance indicator</w:t>
            </w:r>
          </w:p>
        </w:tc>
      </w:tr>
      <w:tr w:rsidR="00E623FF" w:rsidTr="00E623FF">
        <w:trPr>
          <w:cnfStyle w:val="000000010000" w:firstRow="0" w:lastRow="0" w:firstColumn="0" w:lastColumn="0" w:oddVBand="0" w:evenVBand="0" w:oddHBand="0" w:evenHBand="1" w:firstRowFirstColumn="0" w:firstRowLastColumn="0" w:lastRowFirstColumn="0" w:lastRowLastColumn="0"/>
        </w:trPr>
        <w:tc>
          <w:tcPr>
            <w:tcW w:w="2235" w:type="dxa"/>
          </w:tcPr>
          <w:p w:rsidR="00E623FF" w:rsidRPr="00957429" w:rsidRDefault="00E623FF" w:rsidP="00977B9A">
            <w:r w:rsidRPr="00957429">
              <w:t>RAB</w:t>
            </w:r>
          </w:p>
        </w:tc>
        <w:tc>
          <w:tcPr>
            <w:tcW w:w="6458" w:type="dxa"/>
          </w:tcPr>
          <w:p w:rsidR="00E623FF" w:rsidRPr="00957429" w:rsidRDefault="00E623FF" w:rsidP="00977B9A">
            <w:r w:rsidRPr="00957429">
              <w:t>Regulatory asset base</w:t>
            </w:r>
          </w:p>
        </w:tc>
      </w:tr>
      <w:tr w:rsidR="00E623FF" w:rsidTr="00E623FF">
        <w:tc>
          <w:tcPr>
            <w:tcW w:w="2235" w:type="dxa"/>
          </w:tcPr>
          <w:p w:rsidR="00E623FF" w:rsidRPr="00957429" w:rsidRDefault="00E623FF" w:rsidP="00977B9A">
            <w:r w:rsidRPr="00957429">
              <w:t>TNI</w:t>
            </w:r>
          </w:p>
        </w:tc>
        <w:tc>
          <w:tcPr>
            <w:tcW w:w="6458" w:type="dxa"/>
          </w:tcPr>
          <w:p w:rsidR="00E623FF" w:rsidRPr="00957429" w:rsidRDefault="00E623FF" w:rsidP="00977B9A">
            <w:r w:rsidRPr="00957429">
              <w:t>Transmission node identifiers</w:t>
            </w:r>
          </w:p>
        </w:tc>
      </w:tr>
      <w:tr w:rsidR="00E623FF" w:rsidTr="00E623FF">
        <w:trPr>
          <w:cnfStyle w:val="000000010000" w:firstRow="0" w:lastRow="0" w:firstColumn="0" w:lastColumn="0" w:oddVBand="0" w:evenVBand="0" w:oddHBand="0" w:evenHBand="1" w:firstRowFirstColumn="0" w:firstRowLastColumn="0" w:lastRowFirstColumn="0" w:lastRowLastColumn="0"/>
        </w:trPr>
        <w:tc>
          <w:tcPr>
            <w:tcW w:w="2235" w:type="dxa"/>
          </w:tcPr>
          <w:p w:rsidR="00E623FF" w:rsidRDefault="00E623FF" w:rsidP="00977B9A">
            <w:r>
              <w:t>TNT</w:t>
            </w:r>
          </w:p>
        </w:tc>
        <w:tc>
          <w:tcPr>
            <w:tcW w:w="6458" w:type="dxa"/>
          </w:tcPr>
          <w:p w:rsidR="00E623FF" w:rsidRDefault="00E623FF" w:rsidP="00977B9A">
            <w:proofErr w:type="spellStart"/>
            <w:r>
              <w:t>TasNetworks</w:t>
            </w:r>
            <w:proofErr w:type="spellEnd"/>
            <w:r>
              <w:t xml:space="preserve"> (transmission)</w:t>
            </w:r>
          </w:p>
        </w:tc>
      </w:tr>
      <w:tr w:rsidR="0048682E" w:rsidTr="00E623FF">
        <w:tc>
          <w:tcPr>
            <w:tcW w:w="2235" w:type="dxa"/>
          </w:tcPr>
          <w:p w:rsidR="0048682E" w:rsidRDefault="0048682E" w:rsidP="00977B9A">
            <w:r>
              <w:t>TNSP</w:t>
            </w:r>
          </w:p>
        </w:tc>
        <w:tc>
          <w:tcPr>
            <w:tcW w:w="6458" w:type="dxa"/>
          </w:tcPr>
          <w:p w:rsidR="0048682E" w:rsidRDefault="0048682E" w:rsidP="00977B9A">
            <w:r>
              <w:t>Transmission network service provider</w:t>
            </w:r>
          </w:p>
        </w:tc>
      </w:tr>
      <w:tr w:rsidR="00E623FF" w:rsidTr="00E623FF">
        <w:trPr>
          <w:cnfStyle w:val="000000010000" w:firstRow="0" w:lastRow="0" w:firstColumn="0" w:lastColumn="0" w:oddVBand="0" w:evenVBand="0" w:oddHBand="0" w:evenHBand="1" w:firstRowFirstColumn="0" w:firstRowLastColumn="0" w:lastRowFirstColumn="0" w:lastRowLastColumn="0"/>
        </w:trPr>
        <w:tc>
          <w:tcPr>
            <w:tcW w:w="2235" w:type="dxa"/>
          </w:tcPr>
          <w:p w:rsidR="00E623FF" w:rsidRDefault="00E623FF" w:rsidP="00977B9A">
            <w:r>
              <w:t>TRG</w:t>
            </w:r>
          </w:p>
        </w:tc>
        <w:tc>
          <w:tcPr>
            <w:tcW w:w="6458" w:type="dxa"/>
          </w:tcPr>
          <w:p w:rsidR="00E623FF" w:rsidRDefault="00E623FF" w:rsidP="00977B9A">
            <w:proofErr w:type="spellStart"/>
            <w:r>
              <w:t>TransGrid</w:t>
            </w:r>
            <w:proofErr w:type="spellEnd"/>
          </w:p>
        </w:tc>
      </w:tr>
    </w:tbl>
    <w:p w:rsidR="0069742C" w:rsidRDefault="00AD5FA9" w:rsidP="00D2716D">
      <w:pPr>
        <w:pStyle w:val="UnnumberedHeading"/>
      </w:pPr>
      <w:bookmarkStart w:id="1" w:name="_Toc435709411"/>
      <w:r>
        <w:lastRenderedPageBreak/>
        <w:t>Glos</w:t>
      </w:r>
      <w:r w:rsidR="0069742C">
        <w:t>s</w:t>
      </w:r>
      <w:r>
        <w:t>ary</w:t>
      </w:r>
      <w:bookmarkEnd w:id="1"/>
    </w:p>
    <w:tbl>
      <w:tblPr>
        <w:tblStyle w:val="AERtable-text0"/>
        <w:tblW w:w="0" w:type="auto"/>
        <w:tblLook w:val="04A0" w:firstRow="1" w:lastRow="0" w:firstColumn="1" w:lastColumn="0" w:noHBand="0" w:noVBand="1"/>
      </w:tblPr>
      <w:tblGrid>
        <w:gridCol w:w="3039"/>
        <w:gridCol w:w="5654"/>
      </w:tblGrid>
      <w:tr w:rsidR="0069742C" w:rsidRPr="005F6082" w:rsidTr="00BD524F">
        <w:trPr>
          <w:cnfStyle w:val="100000000000" w:firstRow="1" w:lastRow="0" w:firstColumn="0" w:lastColumn="0" w:oddVBand="0" w:evenVBand="0" w:oddHBand="0" w:evenHBand="0" w:firstRowFirstColumn="0" w:firstRowLastColumn="0" w:lastRowFirstColumn="0" w:lastRowLastColumn="0"/>
        </w:trPr>
        <w:tc>
          <w:tcPr>
            <w:tcW w:w="3039" w:type="dxa"/>
          </w:tcPr>
          <w:p w:rsidR="0069742C" w:rsidRPr="00C30FA2" w:rsidRDefault="00AD5FA9" w:rsidP="00F40268">
            <w:r>
              <w:t>T</w:t>
            </w:r>
            <w:r w:rsidR="0069742C">
              <w:t>erm</w:t>
            </w:r>
          </w:p>
        </w:tc>
        <w:tc>
          <w:tcPr>
            <w:tcW w:w="5654" w:type="dxa"/>
          </w:tcPr>
          <w:p w:rsidR="0069742C" w:rsidRPr="00C30FA2" w:rsidRDefault="00AD5FA9" w:rsidP="00F40268">
            <w:r>
              <w:t>Description</w:t>
            </w:r>
          </w:p>
        </w:tc>
      </w:tr>
      <w:tr w:rsidR="00AD5FA9" w:rsidRPr="00063915" w:rsidTr="00BD524F">
        <w:tc>
          <w:tcPr>
            <w:tcW w:w="3039" w:type="dxa"/>
            <w:noWrap/>
          </w:tcPr>
          <w:p w:rsidR="00AD5FA9" w:rsidRDefault="00AD5FA9" w:rsidP="00F40268">
            <w:r>
              <w:t>Allocative efficiency</w:t>
            </w:r>
          </w:p>
        </w:tc>
        <w:tc>
          <w:tcPr>
            <w:tcW w:w="5654" w:type="dxa"/>
            <w:noWrap/>
          </w:tcPr>
          <w:p w:rsidR="00AD5FA9" w:rsidRPr="00FE72F1" w:rsidRDefault="00AD5FA9" w:rsidP="00F40268">
            <w:r>
              <w:t xml:space="preserve">Allocative efficiency </w:t>
            </w:r>
            <w:proofErr w:type="gramStart"/>
            <w:r>
              <w:t>is achieved</w:t>
            </w:r>
            <w:proofErr w:type="gramEnd"/>
            <w:r>
              <w:t xml:space="preserve"> where resources used to produce a set of goods or services are allocated to their highest value uses (i.e., those that provide the greatest benefit relative to costs). In other words, goods and services </w:t>
            </w:r>
            <w:proofErr w:type="gramStart"/>
            <w:r>
              <w:t>are produced</w:t>
            </w:r>
            <w:proofErr w:type="gramEnd"/>
            <w:r>
              <w:t xml:space="preserve"> in the combination that consumers value the most. To achieve this, prices of the goods and services must reflect the productively efficient costs of providing those goods and services.</w:t>
            </w:r>
          </w:p>
        </w:tc>
      </w:tr>
      <w:tr w:rsidR="00AD5FA9" w:rsidRPr="00063915" w:rsidTr="00BD524F">
        <w:trPr>
          <w:cnfStyle w:val="000000010000" w:firstRow="0" w:lastRow="0" w:firstColumn="0" w:lastColumn="0" w:oddVBand="0" w:evenVBand="0" w:oddHBand="0" w:evenHBand="1" w:firstRowFirstColumn="0" w:firstRowLastColumn="0" w:lastRowFirstColumn="0" w:lastRowLastColumn="0"/>
        </w:trPr>
        <w:tc>
          <w:tcPr>
            <w:tcW w:w="3039" w:type="dxa"/>
            <w:noWrap/>
          </w:tcPr>
          <w:p w:rsidR="00AD5FA9" w:rsidRPr="00FE72F1" w:rsidRDefault="00AD5FA9" w:rsidP="00AD5FA9">
            <w:r>
              <w:t>Dynamic efficiency</w:t>
            </w:r>
          </w:p>
        </w:tc>
        <w:tc>
          <w:tcPr>
            <w:tcW w:w="5654" w:type="dxa"/>
            <w:noWrap/>
          </w:tcPr>
          <w:p w:rsidR="00AD5FA9" w:rsidRPr="00FE72F1" w:rsidRDefault="00AD5FA9" w:rsidP="00AD5FA9">
            <w:r>
              <w:t xml:space="preserve">Dynamic efficiency reflects the need for industries to make timely changes to technology and products in response to changes in consumer tastes and in productive opportunity. Dynamic efficiency </w:t>
            </w:r>
            <w:proofErr w:type="gramStart"/>
            <w:r>
              <w:t>is achieved</w:t>
            </w:r>
            <w:proofErr w:type="gramEnd"/>
            <w:r>
              <w:t xml:space="preserve"> when a business is productively and </w:t>
            </w:r>
            <w:proofErr w:type="spellStart"/>
            <w:r>
              <w:t>allocatively</w:t>
            </w:r>
            <w:proofErr w:type="spellEnd"/>
            <w:r>
              <w:t xml:space="preserve"> efficient over time.</w:t>
            </w:r>
          </w:p>
        </w:tc>
      </w:tr>
      <w:tr w:rsidR="004E2E3C" w:rsidRPr="00063915" w:rsidTr="00BD524F">
        <w:tc>
          <w:tcPr>
            <w:tcW w:w="3039" w:type="dxa"/>
            <w:noWrap/>
          </w:tcPr>
          <w:p w:rsidR="004E2E3C" w:rsidRPr="00FE72F1" w:rsidRDefault="004E2E3C" w:rsidP="00F40268">
            <w:r>
              <w:t>Inputs</w:t>
            </w:r>
          </w:p>
        </w:tc>
        <w:tc>
          <w:tcPr>
            <w:tcW w:w="5654" w:type="dxa"/>
            <w:noWrap/>
          </w:tcPr>
          <w:p w:rsidR="004E2E3C" w:rsidRPr="00FE72F1" w:rsidRDefault="003A4C69" w:rsidP="00F40268">
            <w:r>
              <w:t xml:space="preserve">Inputs are the resources </w:t>
            </w:r>
            <w:r w:rsidR="00E623FF">
              <w:t>T</w:t>
            </w:r>
            <w:r>
              <w:t>NSPs use to provide services</w:t>
            </w:r>
            <w:r w:rsidR="00272BE0">
              <w:t>.</w:t>
            </w:r>
          </w:p>
        </w:tc>
      </w:tr>
      <w:tr w:rsidR="008A7BEA" w:rsidRPr="00063915" w:rsidTr="00BD524F">
        <w:trPr>
          <w:cnfStyle w:val="000000010000" w:firstRow="0" w:lastRow="0" w:firstColumn="0" w:lastColumn="0" w:oddVBand="0" w:evenVBand="0" w:oddHBand="0" w:evenHBand="1" w:firstRowFirstColumn="0" w:firstRowLastColumn="0" w:lastRowFirstColumn="0" w:lastRowLastColumn="0"/>
        </w:trPr>
        <w:tc>
          <w:tcPr>
            <w:tcW w:w="3039" w:type="dxa"/>
            <w:noWrap/>
          </w:tcPr>
          <w:p w:rsidR="008A7BEA" w:rsidRPr="00FE72F1" w:rsidRDefault="008A7BEA" w:rsidP="00F40268">
            <w:r>
              <w:t>MPFP</w:t>
            </w:r>
          </w:p>
        </w:tc>
        <w:tc>
          <w:tcPr>
            <w:tcW w:w="5654" w:type="dxa"/>
            <w:noWrap/>
          </w:tcPr>
          <w:p w:rsidR="008A7BEA" w:rsidRPr="00FE72F1" w:rsidRDefault="008A7BEA" w:rsidP="00274E50">
            <w:proofErr w:type="gramStart"/>
            <w:r>
              <w:t>Multilateral partial factor productivity</w:t>
            </w:r>
            <w:r w:rsidR="00274E50">
              <w:t>.</w:t>
            </w:r>
            <w:proofErr w:type="gramEnd"/>
            <w:r w:rsidR="00274E50">
              <w:t xml:space="preserve"> MPFP is a PIN technique that measures the relationship between total output and one input.</w:t>
            </w:r>
          </w:p>
        </w:tc>
      </w:tr>
      <w:tr w:rsidR="0069742C" w:rsidRPr="00063915" w:rsidTr="00BD524F">
        <w:tc>
          <w:tcPr>
            <w:tcW w:w="3039" w:type="dxa"/>
            <w:noWrap/>
          </w:tcPr>
          <w:p w:rsidR="0069742C" w:rsidRPr="00C30FA2" w:rsidRDefault="0069742C" w:rsidP="00F40268">
            <w:r w:rsidRPr="00FE72F1">
              <w:t>MTFP</w:t>
            </w:r>
          </w:p>
        </w:tc>
        <w:tc>
          <w:tcPr>
            <w:tcW w:w="5654" w:type="dxa"/>
            <w:noWrap/>
          </w:tcPr>
          <w:p w:rsidR="0069742C" w:rsidRPr="00C30FA2" w:rsidRDefault="0069742C" w:rsidP="00F40268">
            <w:proofErr w:type="gramStart"/>
            <w:r w:rsidRPr="00FE72F1">
              <w:t xml:space="preserve">Multilateral total </w:t>
            </w:r>
            <w:r w:rsidRPr="00C30FA2">
              <w:t>factor productivity</w:t>
            </w:r>
            <w:r w:rsidR="00274E50">
              <w:t>.</w:t>
            </w:r>
            <w:proofErr w:type="gramEnd"/>
            <w:r w:rsidR="00274E50">
              <w:t xml:space="preserve"> MTFP is a PIN technique that measures the relationship between total output and total input.</w:t>
            </w:r>
          </w:p>
        </w:tc>
      </w:tr>
      <w:tr w:rsidR="00596D16" w:rsidRPr="00063915" w:rsidTr="00BD524F">
        <w:trPr>
          <w:cnfStyle w:val="000000010000" w:firstRow="0" w:lastRow="0" w:firstColumn="0" w:lastColumn="0" w:oddVBand="0" w:evenVBand="0" w:oddHBand="0" w:evenHBand="1" w:firstRowFirstColumn="0" w:firstRowLastColumn="0" w:lastRowFirstColumn="0" w:lastRowLastColumn="0"/>
        </w:trPr>
        <w:tc>
          <w:tcPr>
            <w:tcW w:w="3039" w:type="dxa"/>
            <w:noWrap/>
          </w:tcPr>
          <w:p w:rsidR="00596D16" w:rsidRDefault="00B80D3F" w:rsidP="00400BE4">
            <w:r>
              <w:t>P</w:t>
            </w:r>
            <w:r w:rsidR="00FB2EB2">
              <w:t>rescr</w:t>
            </w:r>
            <w:r w:rsidR="00400BE4">
              <w:t>i</w:t>
            </w:r>
            <w:r w:rsidR="00FB2EB2">
              <w:t xml:space="preserve">bed </w:t>
            </w:r>
            <w:r w:rsidR="00CB6045">
              <w:t xml:space="preserve">transmission </w:t>
            </w:r>
            <w:r w:rsidR="00596D16">
              <w:t>services</w:t>
            </w:r>
          </w:p>
        </w:tc>
        <w:tc>
          <w:tcPr>
            <w:tcW w:w="5654" w:type="dxa"/>
            <w:noWrap/>
          </w:tcPr>
          <w:p w:rsidR="00596D16" w:rsidRDefault="00FB2EB2" w:rsidP="00B80D3F">
            <w:r>
              <w:t xml:space="preserve">Prescribed transmission services are the </w:t>
            </w:r>
            <w:r w:rsidR="00B80D3F">
              <w:t xml:space="preserve">services </w:t>
            </w:r>
            <w:r w:rsidR="00D84BD4">
              <w:t xml:space="preserve">that </w:t>
            </w:r>
            <w:proofErr w:type="gramStart"/>
            <w:r w:rsidR="00B80D3F">
              <w:t>are shared</w:t>
            </w:r>
            <w:proofErr w:type="gramEnd"/>
            <w:r w:rsidR="00B80D3F">
              <w:t xml:space="preserve"> across the users of transmission networks. These capture the services that TNSPs must provide under legislation.</w:t>
            </w:r>
          </w:p>
        </w:tc>
      </w:tr>
      <w:tr w:rsidR="00BD524F" w:rsidRPr="00063915" w:rsidTr="00BD524F">
        <w:tc>
          <w:tcPr>
            <w:tcW w:w="3039" w:type="dxa"/>
            <w:noWrap/>
          </w:tcPr>
          <w:p w:rsidR="00BD524F" w:rsidRDefault="00BD524F" w:rsidP="00F40268">
            <w:r>
              <w:t>OEF</w:t>
            </w:r>
            <w:r w:rsidR="00272BE0">
              <w:t>s</w:t>
            </w:r>
          </w:p>
        </w:tc>
        <w:tc>
          <w:tcPr>
            <w:tcW w:w="5654" w:type="dxa"/>
            <w:noWrap/>
          </w:tcPr>
          <w:p w:rsidR="00BD524F" w:rsidRPr="00FE72F1" w:rsidRDefault="00BD524F" w:rsidP="00274E50">
            <w:proofErr w:type="gramStart"/>
            <w:r>
              <w:t>Operating environment factor</w:t>
            </w:r>
            <w:r w:rsidR="00272BE0">
              <w:t>s</w:t>
            </w:r>
            <w:r>
              <w:t>.</w:t>
            </w:r>
            <w:proofErr w:type="gramEnd"/>
            <w:r>
              <w:t xml:space="preserve"> OEFs are factors beyond a </w:t>
            </w:r>
            <w:r w:rsidR="00E623FF">
              <w:t>T</w:t>
            </w:r>
            <w:r>
              <w:t xml:space="preserve">NSP’s control that can affect its costs </w:t>
            </w:r>
            <w:r w:rsidR="00274E50">
              <w:t>and benchmarking performance</w:t>
            </w:r>
            <w:r>
              <w:t xml:space="preserve">. </w:t>
            </w:r>
          </w:p>
        </w:tc>
      </w:tr>
      <w:tr w:rsidR="00B80D3F" w:rsidRPr="00063915" w:rsidTr="00BD524F">
        <w:trPr>
          <w:cnfStyle w:val="000000010000" w:firstRow="0" w:lastRow="0" w:firstColumn="0" w:lastColumn="0" w:oddVBand="0" w:evenVBand="0" w:oddHBand="0" w:evenHBand="1" w:firstRowFirstColumn="0" w:firstRowLastColumn="0" w:lastRowFirstColumn="0" w:lastRowLastColumn="0"/>
        </w:trPr>
        <w:tc>
          <w:tcPr>
            <w:tcW w:w="3039" w:type="dxa"/>
            <w:noWrap/>
          </w:tcPr>
          <w:p w:rsidR="00B80D3F" w:rsidRDefault="00B80D3F" w:rsidP="00F40268">
            <w:proofErr w:type="spellStart"/>
            <w:r>
              <w:t>Opex</w:t>
            </w:r>
            <w:proofErr w:type="spellEnd"/>
          </w:p>
        </w:tc>
        <w:tc>
          <w:tcPr>
            <w:tcW w:w="5654" w:type="dxa"/>
            <w:noWrap/>
          </w:tcPr>
          <w:p w:rsidR="00B80D3F" w:rsidRDefault="00B80D3F" w:rsidP="00274E50">
            <w:r>
              <w:t>Operation and maintenance expenditure</w:t>
            </w:r>
          </w:p>
        </w:tc>
      </w:tr>
      <w:tr w:rsidR="004E2E3C" w:rsidRPr="00063915" w:rsidTr="00BD524F">
        <w:tc>
          <w:tcPr>
            <w:tcW w:w="3039" w:type="dxa"/>
            <w:noWrap/>
          </w:tcPr>
          <w:p w:rsidR="004E2E3C" w:rsidRPr="00FE72F1" w:rsidRDefault="004E2E3C" w:rsidP="00F40268">
            <w:r>
              <w:t>Outputs</w:t>
            </w:r>
          </w:p>
        </w:tc>
        <w:tc>
          <w:tcPr>
            <w:tcW w:w="5654" w:type="dxa"/>
            <w:noWrap/>
          </w:tcPr>
          <w:p w:rsidR="004E2E3C" w:rsidRPr="00FE72F1" w:rsidRDefault="003A4C69" w:rsidP="00F40268">
            <w:r>
              <w:t xml:space="preserve">Outputs are quantitative </w:t>
            </w:r>
            <w:r w:rsidR="00C13F9E">
              <w:t xml:space="preserve">or qualitative </w:t>
            </w:r>
            <w:r>
              <w:t>measures that represent the services DNSPs provide.</w:t>
            </w:r>
          </w:p>
        </w:tc>
      </w:tr>
      <w:tr w:rsidR="00AF04FB" w:rsidRPr="00063915" w:rsidTr="00BD524F">
        <w:trPr>
          <w:cnfStyle w:val="000000010000" w:firstRow="0" w:lastRow="0" w:firstColumn="0" w:lastColumn="0" w:oddVBand="0" w:evenVBand="0" w:oddHBand="0" w:evenHBand="1" w:firstRowFirstColumn="0" w:firstRowLastColumn="0" w:lastRowFirstColumn="0" w:lastRowLastColumn="0"/>
        </w:trPr>
        <w:tc>
          <w:tcPr>
            <w:tcW w:w="3039" w:type="dxa"/>
            <w:noWrap/>
          </w:tcPr>
          <w:p w:rsidR="00AF04FB" w:rsidRDefault="00AF04FB" w:rsidP="00F40268">
            <w:r>
              <w:t>PIN</w:t>
            </w:r>
          </w:p>
        </w:tc>
        <w:tc>
          <w:tcPr>
            <w:tcW w:w="5654" w:type="dxa"/>
            <w:noWrap/>
          </w:tcPr>
          <w:p w:rsidR="00AF04FB" w:rsidRDefault="00AF04FB" w:rsidP="00F40268">
            <w:proofErr w:type="gramStart"/>
            <w:r>
              <w:t>Productivity index number</w:t>
            </w:r>
            <w:r w:rsidR="00274E50">
              <w:t>.</w:t>
            </w:r>
            <w:proofErr w:type="gramEnd"/>
            <w:r w:rsidR="00274E50">
              <w:t xml:space="preserve"> PIN techniques determine the relationship between inputs and outputs using an index.</w:t>
            </w:r>
          </w:p>
        </w:tc>
      </w:tr>
      <w:tr w:rsidR="0069742C" w:rsidRPr="00063915" w:rsidTr="00BD524F">
        <w:tc>
          <w:tcPr>
            <w:tcW w:w="3039" w:type="dxa"/>
            <w:noWrap/>
          </w:tcPr>
          <w:p w:rsidR="0069742C" w:rsidRPr="00C30FA2" w:rsidRDefault="0069742C" w:rsidP="00F40268">
            <w:r>
              <w:t>PPI</w:t>
            </w:r>
          </w:p>
        </w:tc>
        <w:tc>
          <w:tcPr>
            <w:tcW w:w="5654" w:type="dxa"/>
            <w:noWrap/>
          </w:tcPr>
          <w:p w:rsidR="0069742C" w:rsidRPr="00C30FA2" w:rsidRDefault="0069742C" w:rsidP="00274E50">
            <w:proofErr w:type="gramStart"/>
            <w:r>
              <w:t>Partial performance indicator</w:t>
            </w:r>
            <w:r w:rsidR="00AD5FA9">
              <w:t>.</w:t>
            </w:r>
            <w:proofErr w:type="gramEnd"/>
            <w:r w:rsidR="00AD5FA9">
              <w:t xml:space="preserve"> PPIs </w:t>
            </w:r>
            <w:r w:rsidR="00274E50">
              <w:t>are simple techniques that measure the relationship between one input and one output.</w:t>
            </w:r>
          </w:p>
        </w:tc>
      </w:tr>
      <w:tr w:rsidR="00AD5FA9" w:rsidRPr="00063915" w:rsidTr="00BD524F">
        <w:trPr>
          <w:cnfStyle w:val="000000010000" w:firstRow="0" w:lastRow="0" w:firstColumn="0" w:lastColumn="0" w:oddVBand="0" w:evenVBand="0" w:oddHBand="0" w:evenHBand="1" w:firstRowFirstColumn="0" w:firstRowLastColumn="0" w:lastRowFirstColumn="0" w:lastRowLastColumn="0"/>
        </w:trPr>
        <w:tc>
          <w:tcPr>
            <w:tcW w:w="3039" w:type="dxa"/>
            <w:noWrap/>
          </w:tcPr>
          <w:p w:rsidR="00AD5FA9" w:rsidRPr="00FE72F1" w:rsidRDefault="00AD5FA9" w:rsidP="00F40268">
            <w:r>
              <w:t>Productive efficiency</w:t>
            </w:r>
          </w:p>
        </w:tc>
        <w:tc>
          <w:tcPr>
            <w:tcW w:w="5654" w:type="dxa"/>
            <w:noWrap/>
          </w:tcPr>
          <w:p w:rsidR="00AD5FA9" w:rsidRPr="00FE72F1" w:rsidRDefault="00AD5FA9" w:rsidP="00F40268">
            <w:r>
              <w:t xml:space="preserve">Productive efficiency </w:t>
            </w:r>
            <w:proofErr w:type="gramStart"/>
            <w:r>
              <w:t>is achieved</w:t>
            </w:r>
            <w:proofErr w:type="gramEnd"/>
            <w:r>
              <w:t xml:space="preserve"> when a business produces its goods and/or services at the least possible cost. To achieve this, the business must be technically efficient (produce the most output possible from the combination of inputs used) while also selecting the lowest cost combination of inputs given prevailing input prices.</w:t>
            </w:r>
          </w:p>
        </w:tc>
      </w:tr>
      <w:tr w:rsidR="00272BE0" w:rsidRPr="00063915" w:rsidTr="00BD524F">
        <w:tc>
          <w:tcPr>
            <w:tcW w:w="3039" w:type="dxa"/>
            <w:noWrap/>
          </w:tcPr>
          <w:p w:rsidR="00272BE0" w:rsidRDefault="00272BE0" w:rsidP="00F40268">
            <w:r>
              <w:t>Ratcheted maximum demand</w:t>
            </w:r>
          </w:p>
        </w:tc>
        <w:tc>
          <w:tcPr>
            <w:tcW w:w="5654" w:type="dxa"/>
            <w:noWrap/>
          </w:tcPr>
          <w:p w:rsidR="00272BE0" w:rsidRDefault="00272BE0" w:rsidP="00272BE0">
            <w:r>
              <w:t xml:space="preserve">Ratcheted maximum demand is </w:t>
            </w:r>
            <w:r w:rsidRPr="004E1F45">
              <w:t xml:space="preserve">the highest value of </w:t>
            </w:r>
            <w:r>
              <w:t>maximum</w:t>
            </w:r>
            <w:r w:rsidRPr="004E1F45">
              <w:t xml:space="preserve"> demand </w:t>
            </w:r>
            <w:r>
              <w:t xml:space="preserve">for each </w:t>
            </w:r>
            <w:r w:rsidR="00E623FF">
              <w:t>T</w:t>
            </w:r>
            <w:r>
              <w:t xml:space="preserve">NSP, </w:t>
            </w:r>
            <w:r w:rsidRPr="004E1F45">
              <w:t xml:space="preserve">observed in the </w:t>
            </w:r>
            <w:proofErr w:type="gramStart"/>
            <w:r w:rsidRPr="004E1F45">
              <w:t>time period</w:t>
            </w:r>
            <w:proofErr w:type="gramEnd"/>
            <w:r w:rsidRPr="004E1F45">
              <w:t xml:space="preserve"> up to the year in question. It recognises capacity that </w:t>
            </w:r>
            <w:proofErr w:type="gramStart"/>
            <w:r w:rsidRPr="004E1F45">
              <w:t>has been used</w:t>
            </w:r>
            <w:proofErr w:type="gramEnd"/>
            <w:r w:rsidRPr="004E1F45">
              <w:t xml:space="preserve"> to satisfy demand and gives the </w:t>
            </w:r>
            <w:r w:rsidR="00E623FF">
              <w:t>T</w:t>
            </w:r>
            <w:r w:rsidRPr="004E1F45">
              <w:t xml:space="preserve">NSP credit for this capacity in subsequent years, even though annual </w:t>
            </w:r>
            <w:r>
              <w:t xml:space="preserve">maximum </w:t>
            </w:r>
            <w:r w:rsidRPr="004E1F45">
              <w:t>demand may be lower in subsequent years.</w:t>
            </w:r>
          </w:p>
        </w:tc>
      </w:tr>
    </w:tbl>
    <w:p w:rsidR="0069742C" w:rsidRDefault="0069742C" w:rsidP="00F40268">
      <w:pPr>
        <w:pStyle w:val="UnnumberedHeading"/>
      </w:pPr>
      <w:bookmarkStart w:id="2" w:name="_Toc435709412"/>
      <w:r>
        <w:lastRenderedPageBreak/>
        <w:t>Contents</w:t>
      </w:r>
      <w:bookmarkEnd w:id="2"/>
    </w:p>
    <w:bookmarkStart w:id="3" w:name="_Toc404010808"/>
    <w:bookmarkStart w:id="4" w:name="_Toc404244858"/>
    <w:bookmarkStart w:id="5" w:name="_Toc213047617"/>
    <w:p w:rsidR="005D60E3" w:rsidRDefault="00F40268">
      <w:pPr>
        <w:pStyle w:val="TOC1"/>
        <w:rPr>
          <w:rFonts w:asciiTheme="minorHAnsi" w:eastAsiaTheme="minorEastAsia" w:hAnsiTheme="minorHAnsi"/>
          <w:b w:val="0"/>
          <w:color w:val="auto"/>
          <w:sz w:val="22"/>
          <w:lang w:val="en-AU" w:eastAsia="en-AU"/>
        </w:rPr>
      </w:pPr>
      <w:r>
        <w:rPr>
          <w:bCs/>
        </w:rPr>
        <w:fldChar w:fldCharType="begin"/>
      </w:r>
      <w:r>
        <w:rPr>
          <w:bCs/>
        </w:rPr>
        <w:instrText xml:space="preserve"> TOC \o "1-1" \h \z \t "Heading 7,1" </w:instrText>
      </w:r>
      <w:r>
        <w:rPr>
          <w:bCs/>
        </w:rPr>
        <w:fldChar w:fldCharType="separate"/>
      </w:r>
      <w:hyperlink w:anchor="_Toc435709410" w:history="1">
        <w:r w:rsidR="005D60E3" w:rsidRPr="000C26A7">
          <w:rPr>
            <w:rStyle w:val="Hyperlink"/>
          </w:rPr>
          <w:t>Shortened forms</w:t>
        </w:r>
        <w:r w:rsidR="005D60E3">
          <w:rPr>
            <w:webHidden/>
          </w:rPr>
          <w:tab/>
        </w:r>
        <w:r w:rsidR="005D60E3">
          <w:rPr>
            <w:webHidden/>
          </w:rPr>
          <w:fldChar w:fldCharType="begin"/>
        </w:r>
        <w:r w:rsidR="005D60E3">
          <w:rPr>
            <w:webHidden/>
          </w:rPr>
          <w:instrText xml:space="preserve"> PAGEREF _Toc435709410 \h </w:instrText>
        </w:r>
        <w:r w:rsidR="005D60E3">
          <w:rPr>
            <w:webHidden/>
          </w:rPr>
        </w:r>
        <w:r w:rsidR="005D60E3">
          <w:rPr>
            <w:webHidden/>
          </w:rPr>
          <w:fldChar w:fldCharType="separate"/>
        </w:r>
        <w:r w:rsidR="000C4199">
          <w:rPr>
            <w:webHidden/>
          </w:rPr>
          <w:t>i</w:t>
        </w:r>
        <w:r w:rsidR="005D60E3">
          <w:rPr>
            <w:webHidden/>
          </w:rPr>
          <w:fldChar w:fldCharType="end"/>
        </w:r>
      </w:hyperlink>
    </w:p>
    <w:p w:rsidR="005D60E3" w:rsidRDefault="00DD0FA1">
      <w:pPr>
        <w:pStyle w:val="TOC1"/>
        <w:rPr>
          <w:rFonts w:asciiTheme="minorHAnsi" w:eastAsiaTheme="minorEastAsia" w:hAnsiTheme="minorHAnsi"/>
          <w:b w:val="0"/>
          <w:color w:val="auto"/>
          <w:sz w:val="22"/>
          <w:lang w:val="en-AU" w:eastAsia="en-AU"/>
        </w:rPr>
      </w:pPr>
      <w:hyperlink w:anchor="_Toc435709411" w:history="1">
        <w:r w:rsidR="005D60E3" w:rsidRPr="000C26A7">
          <w:rPr>
            <w:rStyle w:val="Hyperlink"/>
          </w:rPr>
          <w:t>Glossary</w:t>
        </w:r>
        <w:r w:rsidR="005D60E3">
          <w:rPr>
            <w:webHidden/>
          </w:rPr>
          <w:tab/>
        </w:r>
        <w:r w:rsidR="005D60E3">
          <w:rPr>
            <w:webHidden/>
          </w:rPr>
          <w:fldChar w:fldCharType="begin"/>
        </w:r>
        <w:r w:rsidR="005D60E3">
          <w:rPr>
            <w:webHidden/>
          </w:rPr>
          <w:instrText xml:space="preserve"> PAGEREF _Toc435709411 \h </w:instrText>
        </w:r>
        <w:r w:rsidR="005D60E3">
          <w:rPr>
            <w:webHidden/>
          </w:rPr>
        </w:r>
        <w:r w:rsidR="005D60E3">
          <w:rPr>
            <w:webHidden/>
          </w:rPr>
          <w:fldChar w:fldCharType="separate"/>
        </w:r>
        <w:r w:rsidR="000C4199">
          <w:rPr>
            <w:webHidden/>
          </w:rPr>
          <w:t>ii</w:t>
        </w:r>
        <w:r w:rsidR="005D60E3">
          <w:rPr>
            <w:webHidden/>
          </w:rPr>
          <w:fldChar w:fldCharType="end"/>
        </w:r>
      </w:hyperlink>
    </w:p>
    <w:p w:rsidR="005D60E3" w:rsidRDefault="00DD0FA1">
      <w:pPr>
        <w:pStyle w:val="TOC1"/>
        <w:rPr>
          <w:rFonts w:asciiTheme="minorHAnsi" w:eastAsiaTheme="minorEastAsia" w:hAnsiTheme="minorHAnsi"/>
          <w:b w:val="0"/>
          <w:color w:val="auto"/>
          <w:sz w:val="22"/>
          <w:lang w:val="en-AU" w:eastAsia="en-AU"/>
        </w:rPr>
      </w:pPr>
      <w:hyperlink w:anchor="_Toc435709412" w:history="1">
        <w:r w:rsidR="005D60E3" w:rsidRPr="000C26A7">
          <w:rPr>
            <w:rStyle w:val="Hyperlink"/>
          </w:rPr>
          <w:t>Contents</w:t>
        </w:r>
        <w:r w:rsidR="005D60E3">
          <w:rPr>
            <w:webHidden/>
          </w:rPr>
          <w:tab/>
        </w:r>
        <w:r w:rsidR="005D60E3">
          <w:rPr>
            <w:webHidden/>
          </w:rPr>
          <w:fldChar w:fldCharType="begin"/>
        </w:r>
        <w:r w:rsidR="005D60E3">
          <w:rPr>
            <w:webHidden/>
          </w:rPr>
          <w:instrText xml:space="preserve"> PAGEREF _Toc435709412 \h </w:instrText>
        </w:r>
        <w:r w:rsidR="005D60E3">
          <w:rPr>
            <w:webHidden/>
          </w:rPr>
        </w:r>
        <w:r w:rsidR="005D60E3">
          <w:rPr>
            <w:webHidden/>
          </w:rPr>
          <w:fldChar w:fldCharType="separate"/>
        </w:r>
        <w:r w:rsidR="000C4199">
          <w:rPr>
            <w:webHidden/>
          </w:rPr>
          <w:t>iii</w:t>
        </w:r>
        <w:r w:rsidR="005D60E3">
          <w:rPr>
            <w:webHidden/>
          </w:rPr>
          <w:fldChar w:fldCharType="end"/>
        </w:r>
      </w:hyperlink>
    </w:p>
    <w:p w:rsidR="005D60E3" w:rsidRDefault="00DD0FA1">
      <w:pPr>
        <w:pStyle w:val="TOC1"/>
        <w:rPr>
          <w:rFonts w:asciiTheme="minorHAnsi" w:eastAsiaTheme="minorEastAsia" w:hAnsiTheme="minorHAnsi"/>
          <w:b w:val="0"/>
          <w:color w:val="auto"/>
          <w:sz w:val="22"/>
          <w:lang w:val="en-AU" w:eastAsia="en-AU"/>
        </w:rPr>
      </w:pPr>
      <w:hyperlink w:anchor="_Toc435709413" w:history="1">
        <w:r w:rsidR="005D60E3" w:rsidRPr="000C26A7">
          <w:rPr>
            <w:rStyle w:val="Hyperlink"/>
          </w:rPr>
          <w:t>Overview</w:t>
        </w:r>
        <w:r w:rsidR="005D60E3">
          <w:rPr>
            <w:webHidden/>
          </w:rPr>
          <w:tab/>
        </w:r>
        <w:r w:rsidR="005D60E3">
          <w:rPr>
            <w:webHidden/>
          </w:rPr>
          <w:fldChar w:fldCharType="begin"/>
        </w:r>
        <w:r w:rsidR="005D60E3">
          <w:rPr>
            <w:webHidden/>
          </w:rPr>
          <w:instrText xml:space="preserve"> PAGEREF _Toc435709413 \h </w:instrText>
        </w:r>
        <w:r w:rsidR="005D60E3">
          <w:rPr>
            <w:webHidden/>
          </w:rPr>
        </w:r>
        <w:r w:rsidR="005D60E3">
          <w:rPr>
            <w:webHidden/>
          </w:rPr>
          <w:fldChar w:fldCharType="separate"/>
        </w:r>
        <w:r w:rsidR="000C4199">
          <w:rPr>
            <w:webHidden/>
          </w:rPr>
          <w:t>iv</w:t>
        </w:r>
        <w:r w:rsidR="005D60E3">
          <w:rPr>
            <w:webHidden/>
          </w:rPr>
          <w:fldChar w:fldCharType="end"/>
        </w:r>
      </w:hyperlink>
    </w:p>
    <w:p w:rsidR="005D60E3" w:rsidRDefault="00DD0FA1">
      <w:pPr>
        <w:pStyle w:val="TOC1"/>
        <w:rPr>
          <w:rFonts w:asciiTheme="minorHAnsi" w:eastAsiaTheme="minorEastAsia" w:hAnsiTheme="minorHAnsi"/>
          <w:b w:val="0"/>
          <w:color w:val="auto"/>
          <w:sz w:val="22"/>
          <w:lang w:val="en-AU" w:eastAsia="en-AU"/>
        </w:rPr>
      </w:pPr>
      <w:hyperlink w:anchor="_Toc435709414" w:history="1">
        <w:r w:rsidR="005D60E3" w:rsidRPr="000C26A7">
          <w:rPr>
            <w:rStyle w:val="Hyperlink"/>
          </w:rPr>
          <w:t>1</w:t>
        </w:r>
        <w:r w:rsidR="005D60E3">
          <w:rPr>
            <w:rFonts w:asciiTheme="minorHAnsi" w:eastAsiaTheme="minorEastAsia" w:hAnsiTheme="minorHAnsi"/>
            <w:b w:val="0"/>
            <w:color w:val="auto"/>
            <w:sz w:val="22"/>
            <w:lang w:val="en-AU" w:eastAsia="en-AU"/>
          </w:rPr>
          <w:tab/>
        </w:r>
        <w:r w:rsidR="005D60E3" w:rsidRPr="000C26A7">
          <w:rPr>
            <w:rStyle w:val="Hyperlink"/>
          </w:rPr>
          <w:t>Introduction</w:t>
        </w:r>
        <w:r w:rsidR="005D60E3">
          <w:rPr>
            <w:webHidden/>
          </w:rPr>
          <w:tab/>
        </w:r>
        <w:r w:rsidR="005D60E3">
          <w:rPr>
            <w:webHidden/>
          </w:rPr>
          <w:fldChar w:fldCharType="begin"/>
        </w:r>
        <w:r w:rsidR="005D60E3">
          <w:rPr>
            <w:webHidden/>
          </w:rPr>
          <w:instrText xml:space="preserve"> PAGEREF _Toc435709414 \h </w:instrText>
        </w:r>
        <w:r w:rsidR="005D60E3">
          <w:rPr>
            <w:webHidden/>
          </w:rPr>
        </w:r>
        <w:r w:rsidR="005D60E3">
          <w:rPr>
            <w:webHidden/>
          </w:rPr>
          <w:fldChar w:fldCharType="separate"/>
        </w:r>
        <w:r w:rsidR="000C4199">
          <w:rPr>
            <w:webHidden/>
          </w:rPr>
          <w:t>1</w:t>
        </w:r>
        <w:r w:rsidR="005D60E3">
          <w:rPr>
            <w:webHidden/>
          </w:rPr>
          <w:fldChar w:fldCharType="end"/>
        </w:r>
      </w:hyperlink>
    </w:p>
    <w:p w:rsidR="005D60E3" w:rsidRDefault="00DD0FA1">
      <w:pPr>
        <w:pStyle w:val="TOC1"/>
        <w:rPr>
          <w:rFonts w:asciiTheme="minorHAnsi" w:eastAsiaTheme="minorEastAsia" w:hAnsiTheme="minorHAnsi"/>
          <w:b w:val="0"/>
          <w:color w:val="auto"/>
          <w:sz w:val="22"/>
          <w:lang w:val="en-AU" w:eastAsia="en-AU"/>
        </w:rPr>
      </w:pPr>
      <w:hyperlink w:anchor="_Toc435709418" w:history="1">
        <w:r w:rsidR="005D60E3" w:rsidRPr="000C26A7">
          <w:rPr>
            <w:rStyle w:val="Hyperlink"/>
          </w:rPr>
          <w:t>2</w:t>
        </w:r>
        <w:r w:rsidR="005D60E3">
          <w:rPr>
            <w:rFonts w:asciiTheme="minorHAnsi" w:eastAsiaTheme="minorEastAsia" w:hAnsiTheme="minorHAnsi"/>
            <w:b w:val="0"/>
            <w:color w:val="auto"/>
            <w:sz w:val="22"/>
            <w:lang w:val="en-AU" w:eastAsia="en-AU"/>
          </w:rPr>
          <w:tab/>
        </w:r>
        <w:r w:rsidR="005D60E3" w:rsidRPr="000C26A7">
          <w:rPr>
            <w:rStyle w:val="Hyperlink"/>
          </w:rPr>
          <w:t>Approach</w:t>
        </w:r>
        <w:r w:rsidR="005D60E3">
          <w:rPr>
            <w:webHidden/>
          </w:rPr>
          <w:tab/>
        </w:r>
        <w:r w:rsidR="005D60E3">
          <w:rPr>
            <w:webHidden/>
          </w:rPr>
          <w:fldChar w:fldCharType="begin"/>
        </w:r>
        <w:r w:rsidR="005D60E3">
          <w:rPr>
            <w:webHidden/>
          </w:rPr>
          <w:instrText xml:space="preserve"> PAGEREF _Toc435709418 \h </w:instrText>
        </w:r>
        <w:r w:rsidR="005D60E3">
          <w:rPr>
            <w:webHidden/>
          </w:rPr>
        </w:r>
        <w:r w:rsidR="005D60E3">
          <w:rPr>
            <w:webHidden/>
          </w:rPr>
          <w:fldChar w:fldCharType="separate"/>
        </w:r>
        <w:r w:rsidR="000C4199">
          <w:rPr>
            <w:webHidden/>
          </w:rPr>
          <w:t>4</w:t>
        </w:r>
        <w:r w:rsidR="005D60E3">
          <w:rPr>
            <w:webHidden/>
          </w:rPr>
          <w:fldChar w:fldCharType="end"/>
        </w:r>
      </w:hyperlink>
    </w:p>
    <w:p w:rsidR="005D60E3" w:rsidRDefault="00DD0FA1">
      <w:pPr>
        <w:pStyle w:val="TOC1"/>
        <w:rPr>
          <w:rFonts w:asciiTheme="minorHAnsi" w:eastAsiaTheme="minorEastAsia" w:hAnsiTheme="minorHAnsi"/>
          <w:b w:val="0"/>
          <w:color w:val="auto"/>
          <w:sz w:val="22"/>
          <w:lang w:val="en-AU" w:eastAsia="en-AU"/>
        </w:rPr>
      </w:pPr>
      <w:hyperlink w:anchor="_Toc435709420" w:history="1">
        <w:r w:rsidR="005D60E3" w:rsidRPr="000C26A7">
          <w:rPr>
            <w:rStyle w:val="Hyperlink"/>
          </w:rPr>
          <w:t>3</w:t>
        </w:r>
        <w:r w:rsidR="005D60E3">
          <w:rPr>
            <w:rFonts w:asciiTheme="minorHAnsi" w:eastAsiaTheme="minorEastAsia" w:hAnsiTheme="minorHAnsi"/>
            <w:b w:val="0"/>
            <w:color w:val="auto"/>
            <w:sz w:val="22"/>
            <w:lang w:val="en-AU" w:eastAsia="en-AU"/>
          </w:rPr>
          <w:tab/>
        </w:r>
        <w:r w:rsidR="005D60E3" w:rsidRPr="000C26A7">
          <w:rPr>
            <w:rStyle w:val="Hyperlink"/>
          </w:rPr>
          <w:t>Multilateral total factor productivity results</w:t>
        </w:r>
        <w:r w:rsidR="005D60E3">
          <w:rPr>
            <w:webHidden/>
          </w:rPr>
          <w:tab/>
        </w:r>
        <w:r w:rsidR="005D60E3">
          <w:rPr>
            <w:webHidden/>
          </w:rPr>
          <w:fldChar w:fldCharType="begin"/>
        </w:r>
        <w:r w:rsidR="005D60E3">
          <w:rPr>
            <w:webHidden/>
          </w:rPr>
          <w:instrText xml:space="preserve"> PAGEREF _Toc435709420 \h </w:instrText>
        </w:r>
        <w:r w:rsidR="005D60E3">
          <w:rPr>
            <w:webHidden/>
          </w:rPr>
        </w:r>
        <w:r w:rsidR="005D60E3">
          <w:rPr>
            <w:webHidden/>
          </w:rPr>
          <w:fldChar w:fldCharType="separate"/>
        </w:r>
        <w:r w:rsidR="000C4199">
          <w:rPr>
            <w:webHidden/>
          </w:rPr>
          <w:t>7</w:t>
        </w:r>
        <w:r w:rsidR="005D60E3">
          <w:rPr>
            <w:webHidden/>
          </w:rPr>
          <w:fldChar w:fldCharType="end"/>
        </w:r>
      </w:hyperlink>
    </w:p>
    <w:p w:rsidR="005D60E3" w:rsidRDefault="00DD0FA1">
      <w:pPr>
        <w:pStyle w:val="TOC1"/>
        <w:rPr>
          <w:rFonts w:asciiTheme="minorHAnsi" w:eastAsiaTheme="minorEastAsia" w:hAnsiTheme="minorHAnsi"/>
          <w:b w:val="0"/>
          <w:color w:val="auto"/>
          <w:sz w:val="22"/>
          <w:lang w:val="en-AU" w:eastAsia="en-AU"/>
        </w:rPr>
      </w:pPr>
      <w:hyperlink w:anchor="_Toc435709421" w:history="1">
        <w:r w:rsidR="005D60E3" w:rsidRPr="000C26A7">
          <w:rPr>
            <w:rStyle w:val="Hyperlink"/>
          </w:rPr>
          <w:t>4</w:t>
        </w:r>
        <w:r w:rsidR="005D60E3">
          <w:rPr>
            <w:rFonts w:asciiTheme="minorHAnsi" w:eastAsiaTheme="minorEastAsia" w:hAnsiTheme="minorHAnsi"/>
            <w:b w:val="0"/>
            <w:color w:val="auto"/>
            <w:sz w:val="22"/>
            <w:lang w:val="en-AU" w:eastAsia="en-AU"/>
          </w:rPr>
          <w:tab/>
        </w:r>
        <w:r w:rsidR="005D60E3" w:rsidRPr="000C26A7">
          <w:rPr>
            <w:rStyle w:val="Hyperlink"/>
          </w:rPr>
          <w:t>Results from supporting techniques</w:t>
        </w:r>
        <w:r w:rsidR="005D60E3">
          <w:rPr>
            <w:webHidden/>
          </w:rPr>
          <w:tab/>
        </w:r>
        <w:r w:rsidR="005D60E3">
          <w:rPr>
            <w:webHidden/>
          </w:rPr>
          <w:fldChar w:fldCharType="begin"/>
        </w:r>
        <w:r w:rsidR="005D60E3">
          <w:rPr>
            <w:webHidden/>
          </w:rPr>
          <w:instrText xml:space="preserve"> PAGEREF _Toc435709421 \h </w:instrText>
        </w:r>
        <w:r w:rsidR="005D60E3">
          <w:rPr>
            <w:webHidden/>
          </w:rPr>
        </w:r>
        <w:r w:rsidR="005D60E3">
          <w:rPr>
            <w:webHidden/>
          </w:rPr>
          <w:fldChar w:fldCharType="separate"/>
        </w:r>
        <w:r w:rsidR="000C4199">
          <w:rPr>
            <w:webHidden/>
          </w:rPr>
          <w:t>11</w:t>
        </w:r>
        <w:r w:rsidR="005D60E3">
          <w:rPr>
            <w:webHidden/>
          </w:rPr>
          <w:fldChar w:fldCharType="end"/>
        </w:r>
      </w:hyperlink>
    </w:p>
    <w:p w:rsidR="005D60E3" w:rsidRDefault="00DD0FA1">
      <w:pPr>
        <w:pStyle w:val="TOC1"/>
        <w:rPr>
          <w:rFonts w:asciiTheme="minorHAnsi" w:eastAsiaTheme="minorEastAsia" w:hAnsiTheme="minorHAnsi"/>
          <w:b w:val="0"/>
          <w:color w:val="auto"/>
          <w:sz w:val="22"/>
          <w:lang w:val="en-AU" w:eastAsia="en-AU"/>
        </w:rPr>
      </w:pPr>
      <w:hyperlink w:anchor="_Toc435709422" w:history="1">
        <w:r w:rsidR="005D60E3" w:rsidRPr="000C26A7">
          <w:rPr>
            <w:rStyle w:val="Hyperlink"/>
          </w:rPr>
          <w:t>5</w:t>
        </w:r>
        <w:r w:rsidR="005D60E3">
          <w:rPr>
            <w:rFonts w:asciiTheme="minorHAnsi" w:eastAsiaTheme="minorEastAsia" w:hAnsiTheme="minorHAnsi"/>
            <w:b w:val="0"/>
            <w:color w:val="auto"/>
            <w:sz w:val="22"/>
            <w:lang w:val="en-AU" w:eastAsia="en-AU"/>
          </w:rPr>
          <w:tab/>
        </w:r>
        <w:r w:rsidR="005D60E3" w:rsidRPr="000C26A7">
          <w:rPr>
            <w:rStyle w:val="Hyperlink"/>
          </w:rPr>
          <w:t>Conclusions</w:t>
        </w:r>
        <w:r w:rsidR="005D60E3">
          <w:rPr>
            <w:webHidden/>
          </w:rPr>
          <w:tab/>
        </w:r>
        <w:r w:rsidR="005D60E3">
          <w:rPr>
            <w:webHidden/>
          </w:rPr>
          <w:fldChar w:fldCharType="begin"/>
        </w:r>
        <w:r w:rsidR="005D60E3">
          <w:rPr>
            <w:webHidden/>
          </w:rPr>
          <w:instrText xml:space="preserve"> PAGEREF _Toc435709422 \h </w:instrText>
        </w:r>
        <w:r w:rsidR="005D60E3">
          <w:rPr>
            <w:webHidden/>
          </w:rPr>
        </w:r>
        <w:r w:rsidR="005D60E3">
          <w:rPr>
            <w:webHidden/>
          </w:rPr>
          <w:fldChar w:fldCharType="separate"/>
        </w:r>
        <w:r w:rsidR="000C4199">
          <w:rPr>
            <w:webHidden/>
          </w:rPr>
          <w:t>16</w:t>
        </w:r>
        <w:r w:rsidR="005D60E3">
          <w:rPr>
            <w:webHidden/>
          </w:rPr>
          <w:fldChar w:fldCharType="end"/>
        </w:r>
      </w:hyperlink>
    </w:p>
    <w:p w:rsidR="005D60E3" w:rsidRDefault="00DD0FA1">
      <w:pPr>
        <w:pStyle w:val="TOC1"/>
        <w:rPr>
          <w:rFonts w:asciiTheme="minorHAnsi" w:eastAsiaTheme="minorEastAsia" w:hAnsiTheme="minorHAnsi"/>
          <w:b w:val="0"/>
          <w:color w:val="auto"/>
          <w:sz w:val="22"/>
          <w:lang w:val="en-AU" w:eastAsia="en-AU"/>
        </w:rPr>
      </w:pPr>
      <w:hyperlink w:anchor="_Toc435709423" w:history="1">
        <w:r w:rsidR="005D60E3" w:rsidRPr="000C26A7">
          <w:rPr>
            <w:rStyle w:val="Hyperlink"/>
          </w:rPr>
          <w:t>Appendices</w:t>
        </w:r>
        <w:r w:rsidR="005D60E3">
          <w:rPr>
            <w:webHidden/>
          </w:rPr>
          <w:tab/>
        </w:r>
        <w:r w:rsidR="005D60E3">
          <w:rPr>
            <w:webHidden/>
          </w:rPr>
          <w:fldChar w:fldCharType="begin"/>
        </w:r>
        <w:r w:rsidR="005D60E3">
          <w:rPr>
            <w:webHidden/>
          </w:rPr>
          <w:instrText xml:space="preserve"> PAGEREF _Toc435709423 \h </w:instrText>
        </w:r>
        <w:r w:rsidR="005D60E3">
          <w:rPr>
            <w:webHidden/>
          </w:rPr>
        </w:r>
        <w:r w:rsidR="005D60E3">
          <w:rPr>
            <w:webHidden/>
          </w:rPr>
          <w:fldChar w:fldCharType="separate"/>
        </w:r>
        <w:r w:rsidR="000C4199">
          <w:rPr>
            <w:webHidden/>
          </w:rPr>
          <w:t>17</w:t>
        </w:r>
        <w:r w:rsidR="005D60E3">
          <w:rPr>
            <w:webHidden/>
          </w:rPr>
          <w:fldChar w:fldCharType="end"/>
        </w:r>
      </w:hyperlink>
    </w:p>
    <w:p w:rsidR="005D60E3" w:rsidRDefault="00DD0FA1">
      <w:pPr>
        <w:pStyle w:val="TOC1"/>
        <w:rPr>
          <w:rFonts w:asciiTheme="minorHAnsi" w:eastAsiaTheme="minorEastAsia" w:hAnsiTheme="minorHAnsi"/>
          <w:b w:val="0"/>
          <w:color w:val="auto"/>
          <w:sz w:val="22"/>
          <w:lang w:val="en-AU" w:eastAsia="en-AU"/>
        </w:rPr>
      </w:pPr>
      <w:hyperlink w:anchor="_Toc435709424" w:history="1">
        <w:r w:rsidR="005D60E3" w:rsidRPr="000C26A7">
          <w:rPr>
            <w:rStyle w:val="Hyperlink"/>
          </w:rPr>
          <w:t>A</w:t>
        </w:r>
        <w:r w:rsidR="005D60E3">
          <w:rPr>
            <w:rFonts w:asciiTheme="minorHAnsi" w:eastAsiaTheme="minorEastAsia" w:hAnsiTheme="minorHAnsi"/>
            <w:b w:val="0"/>
            <w:color w:val="auto"/>
            <w:sz w:val="22"/>
            <w:lang w:val="en-AU" w:eastAsia="en-AU"/>
          </w:rPr>
          <w:tab/>
        </w:r>
        <w:r w:rsidR="005D60E3" w:rsidRPr="000C26A7">
          <w:rPr>
            <w:rStyle w:val="Hyperlink"/>
          </w:rPr>
          <w:t>References and further reading</w:t>
        </w:r>
        <w:r w:rsidR="005D60E3">
          <w:rPr>
            <w:webHidden/>
          </w:rPr>
          <w:tab/>
        </w:r>
        <w:r w:rsidR="005D60E3">
          <w:rPr>
            <w:webHidden/>
          </w:rPr>
          <w:fldChar w:fldCharType="begin"/>
        </w:r>
        <w:r w:rsidR="005D60E3">
          <w:rPr>
            <w:webHidden/>
          </w:rPr>
          <w:instrText xml:space="preserve"> PAGEREF _Toc435709424 \h </w:instrText>
        </w:r>
        <w:r w:rsidR="005D60E3">
          <w:rPr>
            <w:webHidden/>
          </w:rPr>
        </w:r>
        <w:r w:rsidR="005D60E3">
          <w:rPr>
            <w:webHidden/>
          </w:rPr>
          <w:fldChar w:fldCharType="separate"/>
        </w:r>
        <w:r w:rsidR="000C4199">
          <w:rPr>
            <w:webHidden/>
          </w:rPr>
          <w:t>18</w:t>
        </w:r>
        <w:r w:rsidR="005D60E3">
          <w:rPr>
            <w:webHidden/>
          </w:rPr>
          <w:fldChar w:fldCharType="end"/>
        </w:r>
      </w:hyperlink>
    </w:p>
    <w:p w:rsidR="005D60E3" w:rsidRDefault="00DD0FA1">
      <w:pPr>
        <w:pStyle w:val="TOC1"/>
        <w:rPr>
          <w:rFonts w:asciiTheme="minorHAnsi" w:eastAsiaTheme="minorEastAsia" w:hAnsiTheme="minorHAnsi"/>
          <w:b w:val="0"/>
          <w:color w:val="auto"/>
          <w:sz w:val="22"/>
          <w:lang w:val="en-AU" w:eastAsia="en-AU"/>
        </w:rPr>
      </w:pPr>
      <w:hyperlink w:anchor="_Toc435709425" w:history="1">
        <w:r w:rsidR="005D60E3" w:rsidRPr="000C26A7">
          <w:rPr>
            <w:rStyle w:val="Hyperlink"/>
          </w:rPr>
          <w:t>B</w:t>
        </w:r>
        <w:r w:rsidR="005D60E3">
          <w:rPr>
            <w:rFonts w:asciiTheme="minorHAnsi" w:eastAsiaTheme="minorEastAsia" w:hAnsiTheme="minorHAnsi"/>
            <w:b w:val="0"/>
            <w:color w:val="auto"/>
            <w:sz w:val="22"/>
            <w:lang w:val="en-AU" w:eastAsia="en-AU"/>
          </w:rPr>
          <w:tab/>
        </w:r>
        <w:r w:rsidR="005D60E3" w:rsidRPr="000C26A7">
          <w:rPr>
            <w:rStyle w:val="Hyperlink"/>
          </w:rPr>
          <w:t>Inputs and outputs</w:t>
        </w:r>
        <w:r w:rsidR="005D60E3">
          <w:rPr>
            <w:webHidden/>
          </w:rPr>
          <w:tab/>
        </w:r>
        <w:r w:rsidR="005D60E3">
          <w:rPr>
            <w:webHidden/>
          </w:rPr>
          <w:fldChar w:fldCharType="begin"/>
        </w:r>
        <w:r w:rsidR="005D60E3">
          <w:rPr>
            <w:webHidden/>
          </w:rPr>
          <w:instrText xml:space="preserve"> PAGEREF _Toc435709425 \h </w:instrText>
        </w:r>
        <w:r w:rsidR="005D60E3">
          <w:rPr>
            <w:webHidden/>
          </w:rPr>
        </w:r>
        <w:r w:rsidR="005D60E3">
          <w:rPr>
            <w:webHidden/>
          </w:rPr>
          <w:fldChar w:fldCharType="separate"/>
        </w:r>
        <w:r w:rsidR="000C4199">
          <w:rPr>
            <w:webHidden/>
          </w:rPr>
          <w:t>19</w:t>
        </w:r>
        <w:r w:rsidR="005D60E3">
          <w:rPr>
            <w:webHidden/>
          </w:rPr>
          <w:fldChar w:fldCharType="end"/>
        </w:r>
      </w:hyperlink>
    </w:p>
    <w:p w:rsidR="005D60E3" w:rsidRDefault="00DD0FA1">
      <w:pPr>
        <w:pStyle w:val="TOC1"/>
        <w:rPr>
          <w:rFonts w:asciiTheme="minorHAnsi" w:eastAsiaTheme="minorEastAsia" w:hAnsiTheme="minorHAnsi"/>
          <w:b w:val="0"/>
          <w:color w:val="auto"/>
          <w:sz w:val="22"/>
          <w:lang w:val="en-AU" w:eastAsia="en-AU"/>
        </w:rPr>
      </w:pPr>
      <w:hyperlink w:anchor="_Toc435709427" w:history="1">
        <w:r w:rsidR="005D60E3" w:rsidRPr="000C26A7">
          <w:rPr>
            <w:rStyle w:val="Hyperlink"/>
          </w:rPr>
          <w:t>C</w:t>
        </w:r>
        <w:r w:rsidR="005D60E3">
          <w:rPr>
            <w:rFonts w:asciiTheme="minorHAnsi" w:eastAsiaTheme="minorEastAsia" w:hAnsiTheme="minorHAnsi"/>
            <w:b w:val="0"/>
            <w:color w:val="auto"/>
            <w:sz w:val="22"/>
            <w:lang w:val="en-AU" w:eastAsia="en-AU"/>
          </w:rPr>
          <w:tab/>
        </w:r>
        <w:r w:rsidR="005D60E3" w:rsidRPr="000C26A7">
          <w:rPr>
            <w:rStyle w:val="Hyperlink"/>
          </w:rPr>
          <w:t>Map of the National Electricity Market</w:t>
        </w:r>
        <w:r w:rsidR="005D60E3">
          <w:rPr>
            <w:webHidden/>
          </w:rPr>
          <w:tab/>
        </w:r>
        <w:r w:rsidR="005D60E3">
          <w:rPr>
            <w:webHidden/>
          </w:rPr>
          <w:fldChar w:fldCharType="begin"/>
        </w:r>
        <w:r w:rsidR="005D60E3">
          <w:rPr>
            <w:webHidden/>
          </w:rPr>
          <w:instrText xml:space="preserve"> PAGEREF _Toc435709427 \h </w:instrText>
        </w:r>
        <w:r w:rsidR="005D60E3">
          <w:rPr>
            <w:webHidden/>
          </w:rPr>
        </w:r>
        <w:r w:rsidR="005D60E3">
          <w:rPr>
            <w:webHidden/>
          </w:rPr>
          <w:fldChar w:fldCharType="separate"/>
        </w:r>
        <w:r w:rsidR="000C4199">
          <w:rPr>
            <w:webHidden/>
          </w:rPr>
          <w:t>25</w:t>
        </w:r>
        <w:r w:rsidR="005D60E3">
          <w:rPr>
            <w:webHidden/>
          </w:rPr>
          <w:fldChar w:fldCharType="end"/>
        </w:r>
      </w:hyperlink>
    </w:p>
    <w:p w:rsidR="005D60E3" w:rsidRDefault="00DD0FA1">
      <w:pPr>
        <w:pStyle w:val="TOC1"/>
        <w:rPr>
          <w:rFonts w:asciiTheme="minorHAnsi" w:eastAsiaTheme="minorEastAsia" w:hAnsiTheme="minorHAnsi"/>
          <w:b w:val="0"/>
          <w:color w:val="auto"/>
          <w:sz w:val="22"/>
          <w:lang w:val="en-AU" w:eastAsia="en-AU"/>
        </w:rPr>
      </w:pPr>
      <w:hyperlink w:anchor="_Toc435709428" w:history="1">
        <w:r w:rsidR="005D60E3" w:rsidRPr="000C26A7">
          <w:rPr>
            <w:rStyle w:val="Hyperlink"/>
          </w:rPr>
          <w:t>D</w:t>
        </w:r>
        <w:r w:rsidR="005D60E3">
          <w:rPr>
            <w:rFonts w:asciiTheme="minorHAnsi" w:eastAsiaTheme="minorEastAsia" w:hAnsiTheme="minorHAnsi"/>
            <w:b w:val="0"/>
            <w:color w:val="auto"/>
            <w:sz w:val="22"/>
            <w:lang w:val="en-AU" w:eastAsia="en-AU"/>
          </w:rPr>
          <w:tab/>
        </w:r>
        <w:r w:rsidR="005D60E3" w:rsidRPr="000C26A7">
          <w:rPr>
            <w:rStyle w:val="Hyperlink"/>
          </w:rPr>
          <w:t>List of submissions</w:t>
        </w:r>
        <w:r w:rsidR="005D60E3">
          <w:rPr>
            <w:webHidden/>
          </w:rPr>
          <w:tab/>
        </w:r>
        <w:r w:rsidR="005D60E3">
          <w:rPr>
            <w:webHidden/>
          </w:rPr>
          <w:fldChar w:fldCharType="begin"/>
        </w:r>
        <w:r w:rsidR="005D60E3">
          <w:rPr>
            <w:webHidden/>
          </w:rPr>
          <w:instrText xml:space="preserve"> PAGEREF _Toc435709428 \h </w:instrText>
        </w:r>
        <w:r w:rsidR="005D60E3">
          <w:rPr>
            <w:webHidden/>
          </w:rPr>
        </w:r>
        <w:r w:rsidR="005D60E3">
          <w:rPr>
            <w:webHidden/>
          </w:rPr>
          <w:fldChar w:fldCharType="separate"/>
        </w:r>
        <w:r w:rsidR="000C4199">
          <w:rPr>
            <w:webHidden/>
          </w:rPr>
          <w:t>26</w:t>
        </w:r>
        <w:r w:rsidR="005D60E3">
          <w:rPr>
            <w:webHidden/>
          </w:rPr>
          <w:fldChar w:fldCharType="end"/>
        </w:r>
      </w:hyperlink>
    </w:p>
    <w:p w:rsidR="00E056BF" w:rsidRDefault="00F40268" w:rsidP="00E056BF">
      <w:pPr>
        <w:pStyle w:val="UnnumberedHeading"/>
      </w:pPr>
      <w:r>
        <w:rPr>
          <w:rFonts w:eastAsiaTheme="minorHAnsi" w:cstheme="minorBidi"/>
          <w:bCs w:val="0"/>
          <w:noProof/>
          <w:color w:val="70635A" w:themeColor="text2"/>
          <w:sz w:val="24"/>
          <w:szCs w:val="22"/>
          <w:lang w:val="en-US" w:eastAsia="ja-JP"/>
        </w:rPr>
        <w:lastRenderedPageBreak/>
        <w:fldChar w:fldCharType="end"/>
      </w:r>
      <w:bookmarkStart w:id="6" w:name="_Toc435709413"/>
      <w:r w:rsidR="00E056BF">
        <w:t>Overview</w:t>
      </w:r>
      <w:bookmarkEnd w:id="3"/>
      <w:bookmarkEnd w:id="4"/>
      <w:bookmarkEnd w:id="6"/>
    </w:p>
    <w:p w:rsidR="00542A0D" w:rsidRDefault="00C61E07" w:rsidP="00542A0D">
      <w:r>
        <w:t>The AER regulates all electricity networks in the National Electricity Market (NEM)</w:t>
      </w:r>
      <w:r w:rsidR="000F3DE3">
        <w:t xml:space="preserve">. </w:t>
      </w:r>
      <w:r w:rsidR="00583F8B">
        <w:t>We set</w:t>
      </w:r>
      <w:r w:rsidR="000F3DE3">
        <w:t xml:space="preserve"> prices so that energy consumers pay no more</w:t>
      </w:r>
      <w:r w:rsidR="00396FDD">
        <w:t xml:space="preserve"> than necessary</w:t>
      </w:r>
      <w:r w:rsidR="000F3DE3">
        <w:t xml:space="preserve"> for the safe and reliable delivery of electricity services.</w:t>
      </w:r>
      <w:r w:rsidR="00FD7201">
        <w:t xml:space="preserve"> </w:t>
      </w:r>
      <w:r w:rsidR="00542A0D">
        <w:t xml:space="preserve">Benchmarking underpins </w:t>
      </w:r>
      <w:r w:rsidR="000F3DE3">
        <w:t>this</w:t>
      </w:r>
      <w:r w:rsidR="00542A0D">
        <w:t xml:space="preserve"> by enabling us, at an overall level, to identify the relative efficiency of electricity networks, and to track changes in efficiency over time.  </w:t>
      </w:r>
    </w:p>
    <w:p w:rsidR="00097111" w:rsidRDefault="00542A0D" w:rsidP="00583F8B">
      <w:r>
        <w:t xml:space="preserve">This is the second annual benchmarking report. The benchmarking models presented in this report are the culmination of a substantial work program that commenced in 2012 after changes to the electricity rules removed impediments to the use of benchmarking in making regulatory determinations. </w:t>
      </w:r>
      <w:r w:rsidR="00583F8B" w:rsidRPr="00583F8B">
        <w:t xml:space="preserve">For this program, we worked with leading economic experts and consulted extensively with the </w:t>
      </w:r>
      <w:r w:rsidR="00583F8B">
        <w:t>transmission network service providers (T</w:t>
      </w:r>
      <w:r w:rsidR="00583F8B" w:rsidRPr="00583F8B">
        <w:t>NSPs) and electricity consumers to establish benchmarking data requirements, model specifications and a guideline setting out how benchmarking would be used in determinations</w:t>
      </w:r>
      <w:r w:rsidR="00583F8B">
        <w:t xml:space="preserve">. </w:t>
      </w:r>
      <w:r w:rsidR="0049314F">
        <w:t xml:space="preserve">This has included </w:t>
      </w:r>
      <w:r w:rsidR="00583F8B">
        <w:t>adjusting</w:t>
      </w:r>
      <w:r w:rsidR="00C45321">
        <w:t xml:space="preserve"> the data </w:t>
      </w:r>
      <w:r w:rsidR="00583F8B">
        <w:t>in response to submissions to make it more consistent</w:t>
      </w:r>
      <w:r w:rsidR="00C45321">
        <w:t>.</w:t>
      </w:r>
    </w:p>
    <w:p w:rsidR="00542A0D" w:rsidRDefault="00542A0D" w:rsidP="00542A0D">
      <w:r>
        <w:t>We consider that our benchmarking models are the most robust measures of overall efficiency available. At the same time</w:t>
      </w:r>
      <w:r w:rsidR="00250600">
        <w:t>,</w:t>
      </w:r>
      <w:r>
        <w:t xml:space="preserve"> however, we recognise that there is no perfect benchmarking model, and have been cautious in our initial application of these results in recent determinations. Benchmarking </w:t>
      </w:r>
      <w:r w:rsidR="00583F8B">
        <w:t>is a critical exercise in assessing</w:t>
      </w:r>
      <w:r w:rsidR="00FD26C7">
        <w:t xml:space="preserve"> </w:t>
      </w:r>
      <w:r w:rsidR="00583F8B">
        <w:t xml:space="preserve">the efficiency of </w:t>
      </w:r>
      <w:r>
        <w:t xml:space="preserve">expenditure in regulatory proposals </w:t>
      </w:r>
      <w:r w:rsidR="00250600">
        <w:t xml:space="preserve">and </w:t>
      </w:r>
      <w:r>
        <w:t xml:space="preserve">we </w:t>
      </w:r>
      <w:r w:rsidR="00250600">
        <w:t xml:space="preserve">will </w:t>
      </w:r>
      <w:r>
        <w:t>continue to invest in refin</w:t>
      </w:r>
      <w:r w:rsidR="00250600">
        <w:t>ing</w:t>
      </w:r>
      <w:r>
        <w:t xml:space="preserve"> our benchmarking techniques into the future.</w:t>
      </w:r>
    </w:p>
    <w:p w:rsidR="001266A4" w:rsidRDefault="00E14351" w:rsidP="001266A4">
      <w:r>
        <w:t xml:space="preserve">This report </w:t>
      </w:r>
      <w:r w:rsidR="00542A0D">
        <w:t>uses</w:t>
      </w:r>
      <w:r>
        <w:t xml:space="preserve"> a different format to</w:t>
      </w:r>
      <w:r w:rsidR="001266A4">
        <w:t xml:space="preserve"> our 2014 report</w:t>
      </w:r>
      <w:r>
        <w:t xml:space="preserve">, with </w:t>
      </w:r>
      <w:r w:rsidR="001266A4">
        <w:t>less emphasis on technical detail</w:t>
      </w:r>
      <w:r w:rsidR="00464A58">
        <w:t xml:space="preserve">. </w:t>
      </w:r>
      <w:r w:rsidR="001266A4">
        <w:t xml:space="preserve">We have focused on an economic benchmarking technique—multilateral total factor productivity (MTFP)—as the primary technique to compare relative efficiency. MTFP is a sophisticated ‘top down’ technique that enables us to measure each </w:t>
      </w:r>
      <w:r w:rsidR="0019274C">
        <w:t>T</w:t>
      </w:r>
      <w:r w:rsidR="001266A4">
        <w:t>NSP</w:t>
      </w:r>
      <w:r w:rsidR="00CB6045">
        <w:t>’s</w:t>
      </w:r>
      <w:r w:rsidR="001266A4">
        <w:t xml:space="preserve"> overall efficiency at providing electricity services.</w:t>
      </w:r>
      <w:r w:rsidR="00542A0D">
        <w:rPr>
          <w:rStyle w:val="FootnoteReference"/>
        </w:rPr>
        <w:footnoteReference w:id="2"/>
      </w:r>
      <w:r w:rsidR="001266A4">
        <w:t xml:space="preserve"> In addition to MTFP, we present </w:t>
      </w:r>
      <w:r w:rsidR="0019274C">
        <w:t>partial performance indicators (</w:t>
      </w:r>
      <w:r w:rsidR="00E623FF">
        <w:t>PPIs</w:t>
      </w:r>
      <w:r w:rsidR="0019274C">
        <w:t>)</w:t>
      </w:r>
      <w:r w:rsidR="00CB6045">
        <w:t xml:space="preserve"> and partial factor productivity measures</w:t>
      </w:r>
      <w:r w:rsidR="001266A4">
        <w:t xml:space="preserve">. </w:t>
      </w:r>
    </w:p>
    <w:p w:rsidR="001266A4" w:rsidRDefault="001266A4" w:rsidP="001266A4">
      <w:pPr>
        <w:pStyle w:val="HeadingBoldBlue"/>
      </w:pPr>
      <w:r>
        <w:t>Key messages</w:t>
      </w:r>
    </w:p>
    <w:p w:rsidR="001266A4" w:rsidRDefault="001266A4" w:rsidP="001266A4">
      <w:r>
        <w:t xml:space="preserve">Productivity across the industry has been declining over the past several years. This </w:t>
      </w:r>
      <w:proofErr w:type="gramStart"/>
      <w:r>
        <w:t>can be seen</w:t>
      </w:r>
      <w:proofErr w:type="gramEnd"/>
      <w:r>
        <w:t xml:space="preserve"> in </w:t>
      </w:r>
      <w:r w:rsidR="00596D16">
        <w:fldChar w:fldCharType="begin"/>
      </w:r>
      <w:r w:rsidR="00596D16">
        <w:instrText xml:space="preserve"> REF _Ref433272773 \h </w:instrText>
      </w:r>
      <w:r w:rsidR="00596D16">
        <w:fldChar w:fldCharType="separate"/>
      </w:r>
      <w:r w:rsidR="000C4199">
        <w:t xml:space="preserve">Figure </w:t>
      </w:r>
      <w:r w:rsidR="000C4199">
        <w:rPr>
          <w:noProof/>
        </w:rPr>
        <w:t>1</w:t>
      </w:r>
      <w:r w:rsidR="00596D16">
        <w:fldChar w:fldCharType="end"/>
      </w:r>
      <w:r w:rsidR="00917719">
        <w:t xml:space="preserve"> </w:t>
      </w:r>
      <w:r>
        <w:t xml:space="preserve">, which shows </w:t>
      </w:r>
      <w:r w:rsidR="00E14351">
        <w:t xml:space="preserve">the combined industry </w:t>
      </w:r>
      <w:r w:rsidR="00C13F9E">
        <w:t>inputs have</w:t>
      </w:r>
      <w:r w:rsidR="00361717">
        <w:t>, in most years,</w:t>
      </w:r>
      <w:r w:rsidR="00C13F9E">
        <w:t xml:space="preserve"> increased at a greater rate than outputs since 200</w:t>
      </w:r>
      <w:r w:rsidR="00361717">
        <w:t>8</w:t>
      </w:r>
      <w:r w:rsidR="00C13F9E">
        <w:t xml:space="preserve">. </w:t>
      </w:r>
    </w:p>
    <w:p w:rsidR="00596D16" w:rsidRDefault="00596D16" w:rsidP="00596D16">
      <w:pPr>
        <w:pStyle w:val="Caption"/>
      </w:pPr>
      <w:bookmarkStart w:id="7" w:name="_Ref433272773"/>
      <w:r>
        <w:lastRenderedPageBreak/>
        <w:t xml:space="preserve">Figure </w:t>
      </w:r>
      <w:r w:rsidRPr="00F50135">
        <w:fldChar w:fldCharType="begin"/>
      </w:r>
      <w:r>
        <w:instrText xml:space="preserve"> SEQ Figure \* ARABIC </w:instrText>
      </w:r>
      <w:r w:rsidRPr="00F50135">
        <w:fldChar w:fldCharType="separate"/>
      </w:r>
      <w:r w:rsidR="000C4199">
        <w:rPr>
          <w:noProof/>
        </w:rPr>
        <w:t>1</w:t>
      </w:r>
      <w:r w:rsidRPr="00F50135">
        <w:fldChar w:fldCharType="end"/>
      </w:r>
      <w:bookmarkEnd w:id="7"/>
      <w:r>
        <w:tab/>
        <w:t xml:space="preserve">MTFP input, output and TFP indices for all </w:t>
      </w:r>
      <w:r w:rsidR="0019274C">
        <w:t>T</w:t>
      </w:r>
      <w:r>
        <w:t>NSPs, 2006–14</w:t>
      </w:r>
    </w:p>
    <w:p w:rsidR="00C13F9E" w:rsidRDefault="007A683A" w:rsidP="00097111">
      <w:pPr>
        <w:jc w:val="center"/>
      </w:pPr>
      <w:r w:rsidRPr="007A683A">
        <w:rPr>
          <w:noProof/>
          <w:lang w:eastAsia="en-AU"/>
        </w:rPr>
        <w:drawing>
          <wp:inline distT="0" distB="0" distL="0" distR="0" wp14:anchorId="1F03336D" wp14:editId="58D8B204">
            <wp:extent cx="4807550" cy="2916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07550" cy="2916000"/>
                    </a:xfrm>
                    <a:prstGeom prst="rect">
                      <a:avLst/>
                    </a:prstGeom>
                    <a:noFill/>
                    <a:ln>
                      <a:noFill/>
                    </a:ln>
                  </pic:spPr>
                </pic:pic>
              </a:graphicData>
            </a:graphic>
          </wp:inline>
        </w:drawing>
      </w:r>
    </w:p>
    <w:p w:rsidR="00596D16" w:rsidRDefault="00596D16" w:rsidP="001266A4">
      <w:r>
        <w:t xml:space="preserve">This </w:t>
      </w:r>
      <w:proofErr w:type="gramStart"/>
      <w:r>
        <w:t>can also be seen</w:t>
      </w:r>
      <w:proofErr w:type="gramEnd"/>
      <w:r>
        <w:t xml:space="preserve"> in </w:t>
      </w:r>
      <w:r>
        <w:fldChar w:fldCharType="begin"/>
      </w:r>
      <w:r>
        <w:instrText xml:space="preserve"> REF _Ref433019412 \h </w:instrText>
      </w:r>
      <w:r>
        <w:fldChar w:fldCharType="separate"/>
      </w:r>
      <w:r w:rsidR="000C4199">
        <w:t xml:space="preserve">Figure </w:t>
      </w:r>
      <w:r w:rsidR="000C4199">
        <w:rPr>
          <w:noProof/>
        </w:rPr>
        <w:t>2</w:t>
      </w:r>
      <w:r>
        <w:fldChar w:fldCharType="end"/>
      </w:r>
      <w:r>
        <w:t xml:space="preserve">, which shows the MTFP score for most </w:t>
      </w:r>
      <w:r w:rsidR="00017F13">
        <w:t>TNSPs</w:t>
      </w:r>
      <w:r>
        <w:t xml:space="preserve"> </w:t>
      </w:r>
      <w:r w:rsidR="006101EC">
        <w:t>has been declining</w:t>
      </w:r>
      <w:r>
        <w:t xml:space="preserve"> over the observation period.</w:t>
      </w:r>
    </w:p>
    <w:p w:rsidR="001266A4" w:rsidRDefault="001266A4" w:rsidP="00A75AB2">
      <w:pPr>
        <w:pStyle w:val="Caption"/>
      </w:pPr>
      <w:bookmarkStart w:id="8" w:name="_Ref433019412"/>
      <w:r>
        <w:t xml:space="preserve">Figure </w:t>
      </w:r>
      <w:r w:rsidRPr="00F50135">
        <w:fldChar w:fldCharType="begin"/>
      </w:r>
      <w:r>
        <w:instrText xml:space="preserve"> SEQ Figure \* ARABIC </w:instrText>
      </w:r>
      <w:r w:rsidRPr="00F50135">
        <w:fldChar w:fldCharType="separate"/>
      </w:r>
      <w:proofErr w:type="gramStart"/>
      <w:r w:rsidR="000C4199">
        <w:rPr>
          <w:noProof/>
        </w:rPr>
        <w:t>2</w:t>
      </w:r>
      <w:r w:rsidRPr="00F50135">
        <w:fldChar w:fldCharType="end"/>
      </w:r>
      <w:bookmarkEnd w:id="8"/>
      <w:r>
        <w:tab/>
        <w:t>Multilatera</w:t>
      </w:r>
      <w:r w:rsidR="0019274C">
        <w:t>l total factor productivity by T</w:t>
      </w:r>
      <w:r>
        <w:t>NSP</w:t>
      </w:r>
      <w:proofErr w:type="gramEnd"/>
      <w:r>
        <w:t xml:space="preserve"> for 2006–14</w:t>
      </w:r>
    </w:p>
    <w:p w:rsidR="00583F8B" w:rsidRDefault="007A683A" w:rsidP="00097111">
      <w:pPr>
        <w:jc w:val="center"/>
      </w:pPr>
      <w:r w:rsidRPr="007A683A">
        <w:rPr>
          <w:noProof/>
          <w:lang w:eastAsia="en-AU"/>
        </w:rPr>
        <w:drawing>
          <wp:inline distT="0" distB="0" distL="0" distR="0" wp14:anchorId="0C321FFE" wp14:editId="7A021342">
            <wp:extent cx="5148000" cy="312523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48000" cy="3125237"/>
                    </a:xfrm>
                    <a:prstGeom prst="rect">
                      <a:avLst/>
                    </a:prstGeom>
                    <a:noFill/>
                    <a:ln>
                      <a:noFill/>
                    </a:ln>
                  </pic:spPr>
                </pic:pic>
              </a:graphicData>
            </a:graphic>
          </wp:inline>
        </w:drawing>
      </w:r>
    </w:p>
    <w:p w:rsidR="00583F8B" w:rsidRDefault="00583F8B" w:rsidP="009452C4">
      <w:pPr>
        <w:pStyle w:val="AERtablesource"/>
      </w:pPr>
      <w:r>
        <w:t>Note: I</w:t>
      </w:r>
      <w:r w:rsidRPr="00CF4CAD">
        <w:t xml:space="preserve">n </w:t>
      </w:r>
      <w:proofErr w:type="gramStart"/>
      <w:r w:rsidRPr="00CF4CAD">
        <w:t>2009</w:t>
      </w:r>
      <w:proofErr w:type="gramEnd"/>
      <w:r w:rsidRPr="00CF4CAD">
        <w:t xml:space="preserve"> </w:t>
      </w:r>
      <w:proofErr w:type="spellStart"/>
      <w:r>
        <w:t>AusNet</w:t>
      </w:r>
      <w:proofErr w:type="spellEnd"/>
      <w:r>
        <w:t xml:space="preserve"> </w:t>
      </w:r>
      <w:r w:rsidR="00400BE4">
        <w:t>S</w:t>
      </w:r>
      <w:r>
        <w:t xml:space="preserve">ervices had large customer interruptions which is why </w:t>
      </w:r>
      <w:proofErr w:type="spellStart"/>
      <w:r>
        <w:t>AusNet</w:t>
      </w:r>
      <w:proofErr w:type="spellEnd"/>
      <w:r>
        <w:t xml:space="preserve"> performs poorly in this year.</w:t>
      </w:r>
      <w:r w:rsidRPr="00CF4CAD">
        <w:t xml:space="preserve">   </w:t>
      </w:r>
    </w:p>
    <w:p w:rsidR="00462FAE" w:rsidRDefault="00462FAE" w:rsidP="00462FAE">
      <w:bookmarkStart w:id="9" w:name="_Toc435709414"/>
      <w:r>
        <w:t xml:space="preserve">The general decline in productivity is largely due to the use of resources to maintain, replace and augment the networks by TNSPs has been increasing at a rate greater than that of the demand for electricity network services. Notably, the productivity of most TNSPs converged in 2013, after a period of steady decline by </w:t>
      </w:r>
      <w:proofErr w:type="spellStart"/>
      <w:r>
        <w:t>ElectraNet</w:t>
      </w:r>
      <w:proofErr w:type="spellEnd"/>
      <w:r>
        <w:t xml:space="preserve">. </w:t>
      </w:r>
    </w:p>
    <w:p w:rsidR="00CA32A8" w:rsidRDefault="006101EC" w:rsidP="00CA32A8">
      <w:r>
        <w:lastRenderedPageBreak/>
        <w:t>D</w:t>
      </w:r>
      <w:r w:rsidR="00CA32A8">
        <w:t xml:space="preserve">espite the general decline in productivity for most TNSPs over the observation period, in the 12 months between 2013 and 2014, the productivity of </w:t>
      </w:r>
      <w:proofErr w:type="spellStart"/>
      <w:r w:rsidR="00CA32A8">
        <w:t>TasNetworks</w:t>
      </w:r>
      <w:proofErr w:type="spellEnd"/>
      <w:r w:rsidR="00CA32A8">
        <w:t xml:space="preserve"> </w:t>
      </w:r>
      <w:r w:rsidR="00361717">
        <w:t>has improved</w:t>
      </w:r>
      <w:r w:rsidR="00462FAE">
        <w:t xml:space="preserve"> significantly</w:t>
      </w:r>
      <w:r w:rsidR="00361717">
        <w:t xml:space="preserve">. </w:t>
      </w:r>
      <w:proofErr w:type="spellStart"/>
      <w:r w:rsidR="00361717">
        <w:t>TasNetworks</w:t>
      </w:r>
      <w:proofErr w:type="spellEnd"/>
      <w:r w:rsidR="00361717">
        <w:t xml:space="preserve">’ performance in 2014 </w:t>
      </w:r>
      <w:r w:rsidR="00CA32A8">
        <w:t>exceeds that of all the other TNSPs in the NEM</w:t>
      </w:r>
      <w:r w:rsidR="00361717">
        <w:t>, as it has</w:t>
      </w:r>
      <w:r w:rsidR="00CA32A8">
        <w:t xml:space="preserve"> throughout the observation period. </w:t>
      </w:r>
      <w:r w:rsidR="00361717">
        <w:t xml:space="preserve">However, in 2014, due to </w:t>
      </w:r>
      <w:r w:rsidR="00462FAE">
        <w:t>the</w:t>
      </w:r>
      <w:r w:rsidR="00361717">
        <w:t xml:space="preserve"> recent convergence in the performance of the other four TNSPs, the gap in performance between </w:t>
      </w:r>
      <w:proofErr w:type="spellStart"/>
      <w:r w:rsidR="00361717">
        <w:t>TasNetworks</w:t>
      </w:r>
      <w:proofErr w:type="spellEnd"/>
      <w:r w:rsidR="00361717">
        <w:t xml:space="preserve"> and its peers is larger than in previous years</w:t>
      </w:r>
      <w:proofErr w:type="gramStart"/>
      <w:r w:rsidR="00361717">
        <w:t>.</w:t>
      </w:r>
      <w:r w:rsidR="001026D3">
        <w:t>.</w:t>
      </w:r>
      <w:proofErr w:type="gramEnd"/>
      <w:r w:rsidR="001026D3">
        <w:t xml:space="preserve"> </w:t>
      </w:r>
    </w:p>
    <w:p w:rsidR="00CA32A8" w:rsidRDefault="00CA32A8" w:rsidP="00CA32A8"/>
    <w:p w:rsidR="0069742C" w:rsidRDefault="008A7BEA" w:rsidP="0069742C">
      <w:pPr>
        <w:pStyle w:val="Heading1"/>
      </w:pPr>
      <w:r>
        <w:lastRenderedPageBreak/>
        <w:t>Introduction</w:t>
      </w:r>
      <w:bookmarkEnd w:id="9"/>
    </w:p>
    <w:p w:rsidR="00B87FCA" w:rsidRDefault="0081293A" w:rsidP="00230668">
      <w:r>
        <w:t xml:space="preserve">This annual benchmarking report informs consumers about the relative efficiency of network service providers. It is prepared to facilitate greater consumer engagement and participation in network revenue decisions. </w:t>
      </w:r>
    </w:p>
    <w:p w:rsidR="00081C9B" w:rsidRDefault="00081C9B" w:rsidP="00081C9B">
      <w:pPr>
        <w:pStyle w:val="Heading2"/>
      </w:pPr>
      <w:r>
        <w:t>Who the report compares</w:t>
      </w:r>
    </w:p>
    <w:p w:rsidR="0081293A" w:rsidRDefault="00081C9B" w:rsidP="00081C9B">
      <w:r w:rsidRPr="00012AD8">
        <w:t xml:space="preserve">The electricity industry in </w:t>
      </w:r>
      <w:r>
        <w:t xml:space="preserve">Australia </w:t>
      </w:r>
      <w:r w:rsidRPr="00012AD8">
        <w:t>is divided into four distinct parts, with a specific role for each stage of the supply chain—generation, transmission, distribution and retail.</w:t>
      </w:r>
      <w:r w:rsidR="00164191">
        <w:t xml:space="preserve"> </w:t>
      </w:r>
    </w:p>
    <w:p w:rsidR="0081293A" w:rsidRDefault="0081293A" w:rsidP="0081293A">
      <w:r>
        <w:t xml:space="preserve">Electricity generators are located usually near fuel sources, and </w:t>
      </w:r>
      <w:proofErr w:type="gramStart"/>
      <w:r>
        <w:t>often long</w:t>
      </w:r>
      <w:proofErr w:type="gramEnd"/>
      <w:r>
        <w:t xml:space="preserve"> distances from most electricity customers. The supply chain, therefore, requires networks to transport power from generators to customers:</w:t>
      </w:r>
    </w:p>
    <w:p w:rsidR="0081293A" w:rsidRDefault="0081293A" w:rsidP="0081293A">
      <w:pPr>
        <w:pStyle w:val="ListParagraph"/>
        <w:numPr>
          <w:ilvl w:val="0"/>
          <w:numId w:val="71"/>
        </w:numPr>
      </w:pPr>
      <w:r>
        <w:t>High voltage transmission lines transport electricity from generators to distribution networks in metropolitan and regional areas</w:t>
      </w:r>
    </w:p>
    <w:p w:rsidR="0081293A" w:rsidRDefault="0081293A" w:rsidP="0081293A">
      <w:pPr>
        <w:pStyle w:val="ListParagraph"/>
        <w:numPr>
          <w:ilvl w:val="0"/>
          <w:numId w:val="71"/>
        </w:numPr>
      </w:pPr>
      <w:r>
        <w:t xml:space="preserve">Distribution networks convert electricity from the high voltage transmission network into medium and low voltages and transport electricity from points along the transmission lines to residential and business customers.  </w:t>
      </w:r>
    </w:p>
    <w:p w:rsidR="00164191" w:rsidRDefault="00081C9B" w:rsidP="00081C9B">
      <w:r>
        <w:t xml:space="preserve">This report focusses on the </w:t>
      </w:r>
      <w:r w:rsidR="003F3736">
        <w:t>transmission</w:t>
      </w:r>
      <w:r>
        <w:t xml:space="preserve"> sector.</w:t>
      </w:r>
      <w:r w:rsidR="0081293A">
        <w:t xml:space="preserve"> Five TNSPs (not</w:t>
      </w:r>
      <w:r w:rsidR="00242B3D">
        <w:t xml:space="preserve"> including</w:t>
      </w:r>
      <w:r w:rsidR="0081293A">
        <w:t xml:space="preserve"> interconnectors) </w:t>
      </w:r>
      <w:r w:rsidR="00776E75">
        <w:t>operate in the NEM. Appendix D presents a map of the NEM showing the service area for each TNSP.</w:t>
      </w:r>
    </w:p>
    <w:p w:rsidR="00081C9B" w:rsidRDefault="00141993" w:rsidP="00230668">
      <w:r>
        <w:t>Despite</w:t>
      </w:r>
      <w:r w:rsidR="00081C9B">
        <w:t xml:space="preserve"> the </w:t>
      </w:r>
      <w:r>
        <w:t>existence of some differences between the</w:t>
      </w:r>
      <w:r w:rsidR="003F3736">
        <w:t xml:space="preserve"> operating environments of the T</w:t>
      </w:r>
      <w:r>
        <w:t xml:space="preserve">NSPs, they all supply electricity using the same </w:t>
      </w:r>
      <w:r w:rsidR="00167835">
        <w:t xml:space="preserve">technology and </w:t>
      </w:r>
      <w:r>
        <w:t>assets</w:t>
      </w:r>
      <w:r w:rsidR="00ED4A31">
        <w:t>. This means they are natural comparators for benchmarking.</w:t>
      </w:r>
      <w:r w:rsidR="00167835">
        <w:t xml:space="preserve"> </w:t>
      </w:r>
      <w:r w:rsidR="001266A4">
        <w:t xml:space="preserve">Appendix </w:t>
      </w:r>
      <w:r w:rsidR="001266A4">
        <w:fldChar w:fldCharType="begin"/>
      </w:r>
      <w:r w:rsidR="001266A4">
        <w:instrText xml:space="preserve"> REF _Ref432682897 \n \h </w:instrText>
      </w:r>
      <w:r w:rsidR="001266A4">
        <w:fldChar w:fldCharType="separate"/>
      </w:r>
      <w:r w:rsidR="000C4199">
        <w:t>A</w:t>
      </w:r>
      <w:r w:rsidR="001266A4">
        <w:fldChar w:fldCharType="end"/>
      </w:r>
      <w:r w:rsidR="001266A4">
        <w:t xml:space="preserve"> contains</w:t>
      </w:r>
      <w:r w:rsidR="00E14351">
        <w:t xml:space="preserve"> (among other things)</w:t>
      </w:r>
      <w:r w:rsidR="001266A4">
        <w:t xml:space="preserve"> references for further reading on benchmarking electricity networks overseas.</w:t>
      </w:r>
    </w:p>
    <w:p w:rsidR="00081C9B" w:rsidRDefault="00167835" w:rsidP="00167835">
      <w:pPr>
        <w:pStyle w:val="Heading2"/>
      </w:pPr>
      <w:r>
        <w:t>What the report measures</w:t>
      </w:r>
    </w:p>
    <w:p w:rsidR="002717FA" w:rsidRDefault="00B97779" w:rsidP="00167835">
      <w:r>
        <w:t xml:space="preserve">The core function of a </w:t>
      </w:r>
      <w:r w:rsidR="003F3736">
        <w:t>TNSP</w:t>
      </w:r>
      <w:r>
        <w:t xml:space="preserve"> is </w:t>
      </w:r>
      <w:r w:rsidR="003F3736">
        <w:t xml:space="preserve">to </w:t>
      </w:r>
      <w:r>
        <w:t>provide consumers</w:t>
      </w:r>
      <w:r w:rsidR="00164191">
        <w:t xml:space="preserve"> </w:t>
      </w:r>
      <w:r w:rsidR="001266A4">
        <w:t>with access to electricity</w:t>
      </w:r>
      <w:r w:rsidR="00776E75">
        <w:t xml:space="preserve">. This function </w:t>
      </w:r>
      <w:proofErr w:type="gramStart"/>
      <w:r w:rsidR="00776E75">
        <w:t>must be undertaken</w:t>
      </w:r>
      <w:proofErr w:type="gramEnd"/>
      <w:r w:rsidR="001266A4">
        <w:t xml:space="preserve"> </w:t>
      </w:r>
      <w:r w:rsidR="00164191">
        <w:t xml:space="preserve">in accordance with certain </w:t>
      </w:r>
      <w:r w:rsidR="00776E75">
        <w:t xml:space="preserve">performance </w:t>
      </w:r>
      <w:r w:rsidR="00164191">
        <w:t>requirements, usually to achieve desired policy objectives</w:t>
      </w:r>
      <w:r w:rsidR="00776E75">
        <w:t xml:space="preserve"> </w:t>
      </w:r>
      <w:r w:rsidR="00164191">
        <w:t>includ</w:t>
      </w:r>
      <w:r w:rsidR="00776E75">
        <w:t>ing</w:t>
      </w:r>
      <w:r w:rsidR="00164191">
        <w:t xml:space="preserve"> minimum service standards </w:t>
      </w:r>
      <w:r w:rsidR="00A842D2">
        <w:t>for delivering electricity safely and reliably.</w:t>
      </w:r>
    </w:p>
    <w:p w:rsidR="008C7A59" w:rsidRDefault="002717FA" w:rsidP="00167835">
      <w:r>
        <w:t xml:space="preserve">The objective of this report is to benchmark the </w:t>
      </w:r>
      <w:r w:rsidR="003F3736">
        <w:t>TNSPs</w:t>
      </w:r>
      <w:r>
        <w:t xml:space="preserve"> to determine who provides electricity services, in accordance with requirements, </w:t>
      </w:r>
      <w:r w:rsidR="00250600">
        <w:t>most efficiently</w:t>
      </w:r>
      <w:r>
        <w:t xml:space="preserve">. </w:t>
      </w:r>
      <w:r w:rsidR="008C7A59">
        <w:t xml:space="preserve">Several approaches to benchmarking exist, which </w:t>
      </w:r>
      <w:proofErr w:type="gramStart"/>
      <w:r w:rsidR="008C7A59">
        <w:t>may be broadly classified</w:t>
      </w:r>
      <w:proofErr w:type="gramEnd"/>
      <w:r w:rsidR="008C7A59">
        <w:t xml:space="preserve"> into </w:t>
      </w:r>
      <w:r w:rsidR="00C229D9">
        <w:t xml:space="preserve">‘top down’ </w:t>
      </w:r>
      <w:r w:rsidR="008C7A59">
        <w:t>and ‘bottom up’ techniques</w:t>
      </w:r>
      <w:r w:rsidR="00C229D9">
        <w:t>.</w:t>
      </w:r>
      <w:r w:rsidR="00400718">
        <w:t xml:space="preserve"> </w:t>
      </w:r>
      <w:r w:rsidR="008C7A59">
        <w:t>Top down techniques measure</w:t>
      </w:r>
      <w:r w:rsidR="00776E75">
        <w:t xml:space="preserve"> a business’s</w:t>
      </w:r>
      <w:r w:rsidR="008C7A59">
        <w:t xml:space="preserve"> efficiency overall, which means they take into </w:t>
      </w:r>
      <w:r w:rsidR="00BC49ED">
        <w:t xml:space="preserve">account </w:t>
      </w:r>
      <w:r w:rsidR="002C554A">
        <w:t xml:space="preserve">efficiency </w:t>
      </w:r>
      <w:r w:rsidR="00BC49ED">
        <w:t>trade-offs between components</w:t>
      </w:r>
      <w:r w:rsidR="008C7A59">
        <w:t xml:space="preserve"> that make up the total</w:t>
      </w:r>
      <w:r w:rsidR="00BC49ED">
        <w:t xml:space="preserve">. </w:t>
      </w:r>
    </w:p>
    <w:p w:rsidR="002717FA" w:rsidRDefault="00CA32A8" w:rsidP="00167835">
      <w:r>
        <w:t xml:space="preserve">Bottom up techniques, in contrast, separately examine the components that make up the total, often at a granular level. Components </w:t>
      </w:r>
      <w:proofErr w:type="gramStart"/>
      <w:r>
        <w:t>are then built up</w:t>
      </w:r>
      <w:proofErr w:type="gramEnd"/>
      <w:r>
        <w:t xml:space="preserve"> to form the total. In </w:t>
      </w:r>
      <w:r>
        <w:lastRenderedPageBreak/>
        <w:t xml:space="preserve">most cases, bottom up techniques are not effective at examining efficiency trade-offs between all of the different components of a </w:t>
      </w:r>
      <w:r w:rsidR="00462FAE">
        <w:t>TNSP’s</w:t>
      </w:r>
      <w:r>
        <w:t xml:space="preserve"> operations</w:t>
      </w:r>
      <w:r w:rsidR="00311EC4">
        <w:t>.</w:t>
      </w:r>
      <w:r w:rsidR="00311EC4">
        <w:rPr>
          <w:rStyle w:val="FootnoteReference"/>
        </w:rPr>
        <w:footnoteReference w:id="3"/>
      </w:r>
      <w:bookmarkStart w:id="10" w:name="_GoBack"/>
      <w:bookmarkEnd w:id="10"/>
      <w:r w:rsidR="00311EC4">
        <w:t xml:space="preserve"> They</w:t>
      </w:r>
      <w:r>
        <w:t xml:space="preserve"> are </w:t>
      </w:r>
      <w:r w:rsidR="00311EC4">
        <w:t xml:space="preserve">also </w:t>
      </w:r>
      <w:r>
        <w:t>resource intensive. Most regulators overseas use top down economic benchmarking techniques rather than bottom up techniques.</w:t>
      </w:r>
      <w:r w:rsidR="00583F8B">
        <w:rPr>
          <w:rStyle w:val="FootnoteReference"/>
        </w:rPr>
        <w:footnoteReference w:id="4"/>
      </w:r>
      <w:r w:rsidR="002C554A">
        <w:t xml:space="preserve"> </w:t>
      </w:r>
    </w:p>
    <w:p w:rsidR="00253256" w:rsidRDefault="008C7A59" w:rsidP="00167835">
      <w:r>
        <w:t>This report presents top down benchmarking techniques, using</w:t>
      </w:r>
      <w:r w:rsidR="00531FDF">
        <w:t xml:space="preserve"> an inputs and outputs framework</w:t>
      </w:r>
      <w:r>
        <w:t>.</w:t>
      </w:r>
      <w:r w:rsidR="00531FDF">
        <w:t xml:space="preserve"> </w:t>
      </w:r>
      <w:r>
        <w:t>I</w:t>
      </w:r>
      <w:r w:rsidR="009E058F">
        <w:t xml:space="preserve">nputs are the resources a </w:t>
      </w:r>
      <w:r w:rsidR="003F3736">
        <w:t>TNSP</w:t>
      </w:r>
      <w:r w:rsidR="009E058F">
        <w:t xml:space="preserve"> uses to provide services </w:t>
      </w:r>
      <w:r w:rsidR="00253256">
        <w:t xml:space="preserve">(such as capital and labour) </w:t>
      </w:r>
      <w:r w:rsidR="009E058F">
        <w:t xml:space="preserve">and outputs are </w:t>
      </w:r>
      <w:r w:rsidR="00253256">
        <w:t xml:space="preserve">measures </w:t>
      </w:r>
      <w:r w:rsidR="003A4C69">
        <w:t xml:space="preserve">that represent </w:t>
      </w:r>
      <w:r w:rsidR="00253256">
        <w:t>those services (such as the number of customers and how much electricity they need)</w:t>
      </w:r>
      <w:r w:rsidR="009E058F">
        <w:t xml:space="preserve">. </w:t>
      </w:r>
      <w:r w:rsidR="00253256">
        <w:t xml:space="preserve">The fewer inputs a </w:t>
      </w:r>
      <w:r w:rsidR="000047C8">
        <w:t>TNSPs</w:t>
      </w:r>
      <w:r w:rsidR="00253256">
        <w:t xml:space="preserve"> </w:t>
      </w:r>
      <w:proofErr w:type="gramStart"/>
      <w:r w:rsidR="00253256">
        <w:t>uses</w:t>
      </w:r>
      <w:proofErr w:type="gramEnd"/>
      <w:r w:rsidR="00253256">
        <w:t xml:space="preserve"> to provide outputs, the lower the cost of providing </w:t>
      </w:r>
      <w:r w:rsidR="00B039FF">
        <w:t>transmission</w:t>
      </w:r>
      <w:r w:rsidR="00253256">
        <w:t xml:space="preserve"> services and, hence, the lower the price consumers pay for the services. The benchmarking techniques in this report examine the combination of inputs the </w:t>
      </w:r>
      <w:r w:rsidR="000047C8">
        <w:t xml:space="preserve">TNSPs </w:t>
      </w:r>
      <w:r w:rsidR="00253256">
        <w:t>use to deliver their outputs.</w:t>
      </w:r>
    </w:p>
    <w:p w:rsidR="00167835" w:rsidRDefault="001873A2" w:rsidP="00167835">
      <w:r>
        <w:t xml:space="preserve">Using the combination of </w:t>
      </w:r>
      <w:r w:rsidR="00B35629">
        <w:t xml:space="preserve">resources to </w:t>
      </w:r>
      <w:r w:rsidR="003929B2">
        <w:t>deliver outputs</w:t>
      </w:r>
      <w:r w:rsidR="00B35629">
        <w:t xml:space="preserve"> </w:t>
      </w:r>
      <w:r>
        <w:t xml:space="preserve">for the least possible cost </w:t>
      </w:r>
      <w:proofErr w:type="gramStart"/>
      <w:r w:rsidR="00B35629">
        <w:t>is known</w:t>
      </w:r>
      <w:proofErr w:type="gramEnd"/>
      <w:r w:rsidR="00B35629">
        <w:t xml:space="preserve"> as ‘</w:t>
      </w:r>
      <w:r>
        <w:t>productive e</w:t>
      </w:r>
      <w:r w:rsidR="00B35629">
        <w:t>fficiency’</w:t>
      </w:r>
      <w:r>
        <w:t>.</w:t>
      </w:r>
      <w:r w:rsidR="003929B2">
        <w:t xml:space="preserve"> </w:t>
      </w:r>
      <w:r w:rsidR="006428BE">
        <w:t>Productive efficiency is one of the three components of economic efficiency</w:t>
      </w:r>
      <w:r w:rsidR="004B4B91">
        <w:t xml:space="preserve"> (productive, allocative and dynamic efficiency</w:t>
      </w:r>
      <w:r w:rsidR="00AD5FA9">
        <w:rPr>
          <w:rStyle w:val="FootnoteReference"/>
        </w:rPr>
        <w:footnoteReference w:id="5"/>
      </w:r>
      <w:r w:rsidR="004B4B91">
        <w:t>)</w:t>
      </w:r>
      <w:r w:rsidR="006428BE">
        <w:t xml:space="preserve"> which </w:t>
      </w:r>
      <w:proofErr w:type="gramStart"/>
      <w:r w:rsidR="006428BE">
        <w:t>is achieved</w:t>
      </w:r>
      <w:proofErr w:type="gramEnd"/>
      <w:r w:rsidR="006428BE">
        <w:t xml:space="preserve"> when inputs are optimally selected and used in order to deliver outputs that align with customer preferences.</w:t>
      </w:r>
    </w:p>
    <w:p w:rsidR="001873A2" w:rsidRDefault="00A842D2" w:rsidP="00167835">
      <w:r>
        <w:t xml:space="preserve">This report </w:t>
      </w:r>
      <w:r w:rsidR="004B4B91">
        <w:t xml:space="preserve">examines the </w:t>
      </w:r>
      <w:r w:rsidR="000047C8">
        <w:t xml:space="preserve">TNSPs’ </w:t>
      </w:r>
      <w:r>
        <w:t xml:space="preserve">productive efficiency </w:t>
      </w:r>
      <w:r w:rsidR="006D24A6">
        <w:t>in</w:t>
      </w:r>
      <w:r>
        <w:t xml:space="preserve"> providing core network services.</w:t>
      </w:r>
      <w:r w:rsidR="004B4B91">
        <w:t xml:space="preserve"> </w:t>
      </w:r>
      <w:r w:rsidR="00AD5FA9">
        <w:t>M</w:t>
      </w:r>
      <w:r w:rsidR="004B4B91">
        <w:t>easuring productive efficiency over time</w:t>
      </w:r>
      <w:r w:rsidR="00AD5FA9">
        <w:t xml:space="preserve"> also provides an insight into the </w:t>
      </w:r>
      <w:r w:rsidR="000047C8">
        <w:t xml:space="preserve">TNSPs’ </w:t>
      </w:r>
      <w:r w:rsidR="00AD5FA9">
        <w:t>dynamic efficiency.</w:t>
      </w:r>
    </w:p>
    <w:p w:rsidR="00A842D2" w:rsidRPr="00167835" w:rsidRDefault="004E2E3C" w:rsidP="006D24A6">
      <w:pPr>
        <w:pStyle w:val="Heading2"/>
      </w:pPr>
      <w:r>
        <w:t>Reasons for</w:t>
      </w:r>
      <w:r w:rsidR="006D24A6">
        <w:t xml:space="preserve"> </w:t>
      </w:r>
      <w:r w:rsidR="00A215CD">
        <w:t xml:space="preserve">measuring </w:t>
      </w:r>
      <w:r>
        <w:t>comparative performance</w:t>
      </w:r>
    </w:p>
    <w:p w:rsidR="00F573C1" w:rsidRDefault="00A215CD" w:rsidP="00CC05D9">
      <w:r>
        <w:t xml:space="preserve">Comparative information on the performance of electricity </w:t>
      </w:r>
      <w:r w:rsidR="000047C8">
        <w:t xml:space="preserve">TNSPs </w:t>
      </w:r>
      <w:r>
        <w:t xml:space="preserve">contributes to the wellbeing of all electricity consumers by encouraging improvements in the services they provide, particularly their cost effectiveness. </w:t>
      </w:r>
      <w:r w:rsidR="00F573C1">
        <w:t>This is important in an industry where the service providers are natural monopolies</w:t>
      </w:r>
      <w:r w:rsidR="00484DA5">
        <w:t xml:space="preserve"> because</w:t>
      </w:r>
      <w:r w:rsidR="00014995">
        <w:t xml:space="preserve"> they </w:t>
      </w:r>
      <w:r w:rsidR="00D379C9">
        <w:t xml:space="preserve">may not face the same pressures to operate efficiently </w:t>
      </w:r>
      <w:r w:rsidR="00014995">
        <w:t xml:space="preserve">as </w:t>
      </w:r>
      <w:r w:rsidR="00464A58">
        <w:t xml:space="preserve">service providers </w:t>
      </w:r>
      <w:r w:rsidR="00D379C9">
        <w:t>in a competitive market</w:t>
      </w:r>
      <w:r w:rsidR="00014995">
        <w:t>. C</w:t>
      </w:r>
      <w:r w:rsidR="006A19EF">
        <w:t xml:space="preserve">onsumers </w:t>
      </w:r>
      <w:r w:rsidR="00014995">
        <w:t xml:space="preserve">have limited means of gathering information about </w:t>
      </w:r>
      <w:r w:rsidR="000047C8">
        <w:t xml:space="preserve">TNSP </w:t>
      </w:r>
      <w:r w:rsidR="00014995">
        <w:t xml:space="preserve">performance and very </w:t>
      </w:r>
      <w:r w:rsidR="006A19EF">
        <w:t xml:space="preserve">little opportunity to </w:t>
      </w:r>
      <w:r w:rsidR="00F573C1">
        <w:t xml:space="preserve">choose their </w:t>
      </w:r>
      <w:r w:rsidR="000047C8">
        <w:t xml:space="preserve">TNSP </w:t>
      </w:r>
      <w:r w:rsidR="006A19EF">
        <w:t>or express their preferences by accessing services elsewhere</w:t>
      </w:r>
      <w:r w:rsidR="00F573C1">
        <w:t>.</w:t>
      </w:r>
    </w:p>
    <w:p w:rsidR="00830CED" w:rsidRDefault="005206C3" w:rsidP="00230668">
      <w:r>
        <w:t>K</w:t>
      </w:r>
      <w:r w:rsidR="00830CED">
        <w:t>ey reasons for reporting comparative performance information across jurisdictions are to:</w:t>
      </w:r>
    </w:p>
    <w:p w:rsidR="005206C3" w:rsidRDefault="005206C3" w:rsidP="005206C3">
      <w:pPr>
        <w:pStyle w:val="AERbulletlistfirststyle"/>
      </w:pPr>
      <w:r>
        <w:t xml:space="preserve">provide meaningful information to consumers and other stakeholders </w:t>
      </w:r>
    </w:p>
    <w:p w:rsidR="005206C3" w:rsidRDefault="005206C3" w:rsidP="005206C3">
      <w:pPr>
        <w:pStyle w:val="AERbulletlistfirststyle"/>
      </w:pPr>
      <w:r>
        <w:t>encourage participation and engagement in the AER’s regulatory processes</w:t>
      </w:r>
    </w:p>
    <w:p w:rsidR="00830CED" w:rsidRDefault="000047C8" w:rsidP="00830CED">
      <w:pPr>
        <w:pStyle w:val="AERbulletlistfirststyle"/>
      </w:pPr>
      <w:r>
        <w:lastRenderedPageBreak/>
        <w:t>identify high performing T</w:t>
      </w:r>
      <w:r w:rsidR="00830CED">
        <w:t>NSPs</w:t>
      </w:r>
    </w:p>
    <w:p w:rsidR="00830CED" w:rsidRDefault="000047C8" w:rsidP="00830CED">
      <w:pPr>
        <w:pStyle w:val="AERbulletlistfirststyle"/>
      </w:pPr>
      <w:r>
        <w:t>enable T</w:t>
      </w:r>
      <w:r w:rsidR="00830CED">
        <w:t>NSPs to learn from peers that are delivering their services more efficiently</w:t>
      </w:r>
    </w:p>
    <w:p w:rsidR="00B86024" w:rsidRDefault="00830CED" w:rsidP="00830CED">
      <w:pPr>
        <w:pStyle w:val="AERbulletlistfirststyle"/>
      </w:pPr>
      <w:proofErr w:type="gramStart"/>
      <w:r>
        <w:t>gene</w:t>
      </w:r>
      <w:r w:rsidR="000047C8">
        <w:t>rate</w:t>
      </w:r>
      <w:proofErr w:type="gramEnd"/>
      <w:r w:rsidR="000047C8">
        <w:t xml:space="preserve"> additional incentives for T</w:t>
      </w:r>
      <w:r>
        <w:t>NSPs to improve their efficiency</w:t>
      </w:r>
      <w:r w:rsidR="005206C3">
        <w:t>.</w:t>
      </w:r>
    </w:p>
    <w:p w:rsidR="005D60E3" w:rsidRDefault="005D60E3" w:rsidP="009452C4">
      <w:r>
        <w:t xml:space="preserve">In addition to being useful for stakeholders, the comparative performance information in this report is relevant to our transmission determinations. For example, we use </w:t>
      </w:r>
      <w:proofErr w:type="spellStart"/>
      <w:r>
        <w:t>opex</w:t>
      </w:r>
      <w:proofErr w:type="spellEnd"/>
      <w:r>
        <w:t xml:space="preserve"> MPFP in assessing the forecast rate of change for </w:t>
      </w:r>
      <w:proofErr w:type="spellStart"/>
      <w:r>
        <w:t>opex</w:t>
      </w:r>
      <w:proofErr w:type="spellEnd"/>
      <w:r>
        <w:t>.</w:t>
      </w:r>
    </w:p>
    <w:p w:rsidR="008A7BEA" w:rsidRDefault="008A7BEA" w:rsidP="008A7BEA">
      <w:pPr>
        <w:pStyle w:val="Heading1"/>
      </w:pPr>
      <w:bookmarkStart w:id="11" w:name="_Toc435709415"/>
      <w:bookmarkStart w:id="12" w:name="_Toc435709416"/>
      <w:bookmarkStart w:id="13" w:name="_Toc435709417"/>
      <w:bookmarkStart w:id="14" w:name="_Toc435709418"/>
      <w:bookmarkEnd w:id="11"/>
      <w:bookmarkEnd w:id="12"/>
      <w:bookmarkEnd w:id="13"/>
      <w:r>
        <w:lastRenderedPageBreak/>
        <w:t>Approach</w:t>
      </w:r>
      <w:bookmarkEnd w:id="14"/>
    </w:p>
    <w:p w:rsidR="00475ADE" w:rsidRDefault="00EF3C1F" w:rsidP="00EF3C1F">
      <w:r>
        <w:t xml:space="preserve">This report </w:t>
      </w:r>
      <w:r w:rsidR="00DF61DF">
        <w:t xml:space="preserve">uses </w:t>
      </w:r>
      <w:r w:rsidR="008C7A59">
        <w:t>top down benchmarking techniques</w:t>
      </w:r>
      <w:r w:rsidR="00825F73">
        <w:t xml:space="preserve"> to measure each T</w:t>
      </w:r>
      <w:r w:rsidR="00DF61DF">
        <w:t>NSP’s efficiency</w:t>
      </w:r>
      <w:r w:rsidR="00475ADE">
        <w:t xml:space="preserve"> in delivering network services to consumers</w:t>
      </w:r>
      <w:r w:rsidR="00DF61DF">
        <w:t>.</w:t>
      </w:r>
      <w:r w:rsidR="00475ADE">
        <w:t xml:space="preserve"> </w:t>
      </w:r>
      <w:r w:rsidR="00825F73">
        <w:t>In essence, we rank the T</w:t>
      </w:r>
      <w:r w:rsidR="00B25620">
        <w:t xml:space="preserve">NSPs </w:t>
      </w:r>
      <w:r w:rsidR="006C7E06">
        <w:t>according to their relative efficiency of</w:t>
      </w:r>
      <w:r w:rsidR="00776E75">
        <w:t xml:space="preserve"> providing</w:t>
      </w:r>
      <w:r w:rsidR="00B25620">
        <w:t xml:space="preserve"> services in accordance with </w:t>
      </w:r>
      <w:r w:rsidR="00EE3C43">
        <w:t>service standard obligations</w:t>
      </w:r>
      <w:r w:rsidR="00B25620">
        <w:t xml:space="preserve">. </w:t>
      </w:r>
      <w:r w:rsidR="00475ADE">
        <w:t>We present three different types of techniques</w:t>
      </w:r>
      <w:r w:rsidR="00B25620">
        <w:t xml:space="preserve"> to do this, drawing on data provided by </w:t>
      </w:r>
      <w:r w:rsidR="00825F73">
        <w:t>the T</w:t>
      </w:r>
      <w:r w:rsidR="00B25620">
        <w:t>NSPs</w:t>
      </w:r>
      <w:r w:rsidR="00BF7B99">
        <w:t>.</w:t>
      </w:r>
      <w:r w:rsidR="00C429E0">
        <w:t xml:space="preserve"> </w:t>
      </w:r>
    </w:p>
    <w:p w:rsidR="00B25620" w:rsidRDefault="00B25620" w:rsidP="00475ADE">
      <w:pPr>
        <w:pStyle w:val="Heading2"/>
      </w:pPr>
      <w:r>
        <w:t>Inputs and outputs</w:t>
      </w:r>
    </w:p>
    <w:p w:rsidR="00B25620" w:rsidRDefault="00BF7B99" w:rsidP="00B25620">
      <w:r>
        <w:t xml:space="preserve">Inputs are the resources a </w:t>
      </w:r>
      <w:r w:rsidR="00825F73">
        <w:t>T</w:t>
      </w:r>
      <w:r>
        <w:t xml:space="preserve">NSP uses to provide services. The two inputs we focus on are </w:t>
      </w:r>
      <w:proofErr w:type="spellStart"/>
      <w:r>
        <w:t>ope</w:t>
      </w:r>
      <w:r w:rsidR="00825F73">
        <w:t>x</w:t>
      </w:r>
      <w:proofErr w:type="spellEnd"/>
      <w:r w:rsidR="00825F73">
        <w:t xml:space="preserve"> and capital stock (assets). T</w:t>
      </w:r>
      <w:r>
        <w:t xml:space="preserve">NSPs spend </w:t>
      </w:r>
      <w:proofErr w:type="spellStart"/>
      <w:r>
        <w:t>opex</w:t>
      </w:r>
      <w:proofErr w:type="spellEnd"/>
      <w:r>
        <w:t xml:space="preserve"> to operate and maintain </w:t>
      </w:r>
      <w:r w:rsidR="00975B90">
        <w:t xml:space="preserve">their </w:t>
      </w:r>
      <w:r w:rsidR="00825F73">
        <w:t>assets. T</w:t>
      </w:r>
      <w:r>
        <w:t xml:space="preserve">NSPs invest in capital to replace or upgrade </w:t>
      </w:r>
      <w:r w:rsidR="00975B90">
        <w:t xml:space="preserve">their </w:t>
      </w:r>
      <w:r>
        <w:t>assets and to expand their network for growth in customers or to increase the amount of electricity they</w:t>
      </w:r>
      <w:r w:rsidR="00776E75">
        <w:t xml:space="preserve"> can</w:t>
      </w:r>
      <w:r>
        <w:t xml:space="preserve"> deliver.</w:t>
      </w:r>
    </w:p>
    <w:p w:rsidR="00555B6F" w:rsidRDefault="00617786" w:rsidP="00117D70">
      <w:r>
        <w:t xml:space="preserve">Outputs are </w:t>
      </w:r>
      <w:r w:rsidR="00AF1974">
        <w:t xml:space="preserve">measures </w:t>
      </w:r>
      <w:r w:rsidR="00555B6F">
        <w:t xml:space="preserve">that represent </w:t>
      </w:r>
      <w:r w:rsidR="00AF1974">
        <w:t xml:space="preserve">the </w:t>
      </w:r>
      <w:r w:rsidR="00825F73">
        <w:t>services the T</w:t>
      </w:r>
      <w:r>
        <w:t xml:space="preserve">NSPs provide. </w:t>
      </w:r>
      <w:r w:rsidR="00825F73">
        <w:t>T</w:t>
      </w:r>
      <w:r w:rsidR="00555B6F">
        <w:t>NSPs provide customers with access to a safe and reliable supply of electricity, so t</w:t>
      </w:r>
      <w:r>
        <w:t xml:space="preserve">he outputs we </w:t>
      </w:r>
      <w:r w:rsidR="0018081A">
        <w:t>use</w:t>
      </w:r>
      <w:r>
        <w:t xml:space="preserve"> in this report are </w:t>
      </w:r>
      <w:r w:rsidR="00117D70">
        <w:t xml:space="preserve">circuit </w:t>
      </w:r>
      <w:r>
        <w:t xml:space="preserve">line length, maximum demand, energy </w:t>
      </w:r>
      <w:r w:rsidR="00B039FF">
        <w:t>throughput</w:t>
      </w:r>
      <w:r w:rsidR="00CF6394">
        <w:t>, voltage of entry and exit points</w:t>
      </w:r>
      <w:r>
        <w:t xml:space="preserve"> and reliability</w:t>
      </w:r>
      <w:r w:rsidR="0018081A">
        <w:t xml:space="preserve">. We consider these measures capture the total output faced by </w:t>
      </w:r>
      <w:r w:rsidR="00EE2B81">
        <w:t>T</w:t>
      </w:r>
      <w:r w:rsidR="0018081A">
        <w:t>NSPs</w:t>
      </w:r>
      <w:r w:rsidR="0003240E" w:rsidRPr="0003240E">
        <w:t xml:space="preserve"> </w:t>
      </w:r>
      <w:r w:rsidR="0003240E">
        <w:t>effectively</w:t>
      </w:r>
      <w:r w:rsidR="00555B6F">
        <w:t xml:space="preserve"> because:</w:t>
      </w:r>
    </w:p>
    <w:p w:rsidR="00A429BD" w:rsidRDefault="00A429BD" w:rsidP="00555B6F">
      <w:pPr>
        <w:pStyle w:val="AERbulletlistfirststyle"/>
      </w:pPr>
      <w:r>
        <w:t>TNSPs transport electricity over long distances from generators to distribution networks and high voltage customers</w:t>
      </w:r>
    </w:p>
    <w:p w:rsidR="00555B6F" w:rsidRDefault="00555B6F" w:rsidP="00555B6F">
      <w:pPr>
        <w:pStyle w:val="AERbulletlistfirststyle"/>
      </w:pPr>
      <w:r>
        <w:t>t</w:t>
      </w:r>
      <w:r w:rsidR="00117D70">
        <w:t>he network must be capable of delivering energy to customers when they need it, including at times when demand is at its greatest (maximum demand)</w:t>
      </w:r>
    </w:p>
    <w:p w:rsidR="00617786" w:rsidRDefault="00A429BD" w:rsidP="00555B6F">
      <w:pPr>
        <w:pStyle w:val="AERbulletlistfirststyle"/>
      </w:pPr>
      <w:r>
        <w:t xml:space="preserve">TNSPs </w:t>
      </w:r>
      <w:r w:rsidR="00617786">
        <w:t xml:space="preserve">must provide their services in accordance </w:t>
      </w:r>
      <w:r w:rsidR="00117D70">
        <w:t>with reliability standards</w:t>
      </w:r>
      <w:r w:rsidR="00FB2EB2">
        <w:t xml:space="preserve"> and aim to minimise interruptions to electricity supply</w:t>
      </w:r>
      <w:r w:rsidR="00117D70">
        <w:t>.</w:t>
      </w:r>
    </w:p>
    <w:p w:rsidR="00CF23BA" w:rsidRDefault="00A429BD" w:rsidP="00CF23BA">
      <w:r>
        <w:t>TNSPs</w:t>
      </w:r>
      <w:r w:rsidR="00CF23BA">
        <w:t xml:space="preserve"> also </w:t>
      </w:r>
      <w:r w:rsidR="00CF23BA" w:rsidRPr="00BF0D56">
        <w:t xml:space="preserve">provide </w:t>
      </w:r>
      <w:r w:rsidR="00CF23BA">
        <w:t xml:space="preserve">certain </w:t>
      </w:r>
      <w:r w:rsidR="00CF23BA" w:rsidRPr="00BF0D56">
        <w:t xml:space="preserve">other services </w:t>
      </w:r>
      <w:r w:rsidR="00CF23BA">
        <w:t xml:space="preserve">related to voltage stability and system security. However, the provision of these </w:t>
      </w:r>
      <w:r>
        <w:t>services</w:t>
      </w:r>
      <w:r w:rsidR="00CF23BA">
        <w:t xml:space="preserve"> do</w:t>
      </w:r>
      <w:r w:rsidR="00FB2EB2">
        <w:t>es</w:t>
      </w:r>
      <w:r>
        <w:t xml:space="preserve"> </w:t>
      </w:r>
      <w:r w:rsidR="00CF23BA">
        <w:t xml:space="preserve">not differ significantly between </w:t>
      </w:r>
      <w:r>
        <w:t>TNSPs</w:t>
      </w:r>
      <w:r w:rsidR="00CF23BA">
        <w:t xml:space="preserve"> so we do not consider them as part of our benchmarking analysis. </w:t>
      </w:r>
    </w:p>
    <w:p w:rsidR="00117D70" w:rsidRPr="00B25620" w:rsidRDefault="00704961" w:rsidP="00704961">
      <w:r>
        <w:t xml:space="preserve">Since </w:t>
      </w:r>
      <w:r w:rsidR="00A429BD">
        <w:t xml:space="preserve">TNSPs </w:t>
      </w:r>
      <w:r w:rsidR="00AF1974">
        <w:t>use multiple inputs to provide multiple outputs to customers</w:t>
      </w:r>
      <w:r>
        <w:t>, it is necessary to aggregate the</w:t>
      </w:r>
      <w:r w:rsidR="00FF77D9">
        <w:t>m</w:t>
      </w:r>
      <w:r>
        <w:t xml:space="preserve"> to produce an efficiency measure</w:t>
      </w:r>
      <w:r w:rsidR="00AF1974">
        <w:t>.</w:t>
      </w:r>
      <w:r w:rsidR="00FF77D9">
        <w:t xml:space="preserve"> </w:t>
      </w:r>
      <w:r w:rsidR="00117D70">
        <w:t xml:space="preserve">Appendix </w:t>
      </w:r>
      <w:r w:rsidR="00117D70">
        <w:fldChar w:fldCharType="begin"/>
      </w:r>
      <w:r w:rsidR="00117D70">
        <w:instrText xml:space="preserve"> REF _Ref432603789 \n \h </w:instrText>
      </w:r>
      <w:r w:rsidR="00117D70">
        <w:fldChar w:fldCharType="separate"/>
      </w:r>
      <w:r w:rsidR="000C4199">
        <w:t>A</w:t>
      </w:r>
      <w:r w:rsidR="00117D70">
        <w:fldChar w:fldCharType="end"/>
      </w:r>
      <w:r w:rsidR="00117D70">
        <w:t xml:space="preserve"> </w:t>
      </w:r>
      <w:r w:rsidR="00FF77D9">
        <w:t xml:space="preserve">contains references for further reading on how Economic Insights, our benchmarking expert, chose the inputs and outputs and produced the aggregate efficiency measure. </w:t>
      </w:r>
      <w:r w:rsidR="00EF33EB">
        <w:t xml:space="preserve">Appendix </w:t>
      </w:r>
      <w:r w:rsidR="00EF33EB">
        <w:fldChar w:fldCharType="begin"/>
      </w:r>
      <w:r w:rsidR="00EF33EB">
        <w:instrText xml:space="preserve"> REF _Ref433113873 \n \h </w:instrText>
      </w:r>
      <w:r w:rsidR="00EF33EB">
        <w:fldChar w:fldCharType="separate"/>
      </w:r>
      <w:r w:rsidR="000C4199">
        <w:t>B</w:t>
      </w:r>
      <w:r w:rsidR="00EF33EB">
        <w:fldChar w:fldCharType="end"/>
      </w:r>
      <w:r w:rsidR="00EF33EB">
        <w:t xml:space="preserve"> provides detail about the inputs and outputs used in this report.</w:t>
      </w:r>
    </w:p>
    <w:p w:rsidR="00EF3C1F" w:rsidRDefault="00475ADE" w:rsidP="00475ADE">
      <w:pPr>
        <w:pStyle w:val="Heading2"/>
      </w:pPr>
      <w:r>
        <w:t>Techniques</w:t>
      </w:r>
    </w:p>
    <w:p w:rsidR="0011506B" w:rsidRDefault="00941F92" w:rsidP="00B25620">
      <w:r>
        <w:t>There are different types of</w:t>
      </w:r>
      <w:r w:rsidR="0030043D">
        <w:t xml:space="preserve"> top town benchmarking techniques. </w:t>
      </w:r>
      <w:r w:rsidR="0011506B">
        <w:t xml:space="preserve">We present </w:t>
      </w:r>
      <w:r w:rsidR="00A429BD">
        <w:t xml:space="preserve">two </w:t>
      </w:r>
      <w:r w:rsidR="0011506B">
        <w:t>types in this report:</w:t>
      </w:r>
    </w:p>
    <w:p w:rsidR="0011506B" w:rsidRDefault="0011506B" w:rsidP="0011506B">
      <w:pPr>
        <w:pStyle w:val="AERbulletlistfirststyle"/>
      </w:pPr>
      <w:r>
        <w:t>productivity index number (PIN) techniques</w:t>
      </w:r>
    </w:p>
    <w:p w:rsidR="0011506B" w:rsidRDefault="0011506B" w:rsidP="0011506B">
      <w:pPr>
        <w:pStyle w:val="AERbulletlistfirststyle"/>
      </w:pPr>
      <w:proofErr w:type="gramStart"/>
      <w:r>
        <w:t>partial</w:t>
      </w:r>
      <w:proofErr w:type="gramEnd"/>
      <w:r>
        <w:t xml:space="preserve"> performance indicators (PPIs).</w:t>
      </w:r>
    </w:p>
    <w:p w:rsidR="0030043D" w:rsidRDefault="00776E75" w:rsidP="0030043D">
      <w:r>
        <w:lastRenderedPageBreak/>
        <w:t>T</w:t>
      </w:r>
      <w:r w:rsidR="00941F92">
        <w:t>hese techniques</w:t>
      </w:r>
      <w:r>
        <w:t xml:space="preserve"> each use </w:t>
      </w:r>
      <w:r w:rsidR="00941F92">
        <w:t xml:space="preserve">different mathematical </w:t>
      </w:r>
      <w:r w:rsidR="006C7E06">
        <w:t xml:space="preserve">or econometric </w:t>
      </w:r>
      <w:r w:rsidR="00941F92">
        <w:t>methods for relating outputs to inputs.</w:t>
      </w:r>
      <w:r w:rsidR="00A0180F">
        <w:t xml:space="preserve"> Appendix </w:t>
      </w:r>
      <w:r w:rsidR="00A0180F">
        <w:fldChar w:fldCharType="begin"/>
      </w:r>
      <w:r w:rsidR="00A0180F">
        <w:instrText xml:space="preserve"> REF _Ref432603789 \n \h </w:instrText>
      </w:r>
      <w:r w:rsidR="00A0180F">
        <w:fldChar w:fldCharType="separate"/>
      </w:r>
      <w:r w:rsidR="000C4199">
        <w:t>A</w:t>
      </w:r>
      <w:r w:rsidR="00A0180F">
        <w:fldChar w:fldCharType="end"/>
      </w:r>
      <w:r w:rsidR="00A0180F">
        <w:t xml:space="preserve"> contains </w:t>
      </w:r>
      <w:r w:rsidR="007630B7">
        <w:t>references to further reading on the PIN techniques used in this report.</w:t>
      </w:r>
    </w:p>
    <w:p w:rsidR="0011506B" w:rsidRDefault="0011506B" w:rsidP="0011506B">
      <w:pPr>
        <w:pStyle w:val="Heading3"/>
      </w:pPr>
      <w:r>
        <w:t>Productivity index number techniques</w:t>
      </w:r>
    </w:p>
    <w:p w:rsidR="00941F92" w:rsidRDefault="0011506B" w:rsidP="00345BE3">
      <w:r>
        <w:t xml:space="preserve">PIN techniques </w:t>
      </w:r>
      <w:r w:rsidR="00941F92">
        <w:t xml:space="preserve">use an index to </w:t>
      </w:r>
      <w:r w:rsidR="00D05E1A">
        <w:t>determine the relationship between</w:t>
      </w:r>
      <w:r w:rsidR="00941F92">
        <w:t xml:space="preserve"> outputs </w:t>
      </w:r>
      <w:r w:rsidR="00D05E1A">
        <w:t xml:space="preserve">and </w:t>
      </w:r>
      <w:r w:rsidR="00941F92">
        <w:t xml:space="preserve">inputs. They </w:t>
      </w:r>
      <w:r>
        <w:t xml:space="preserve">measure </w:t>
      </w:r>
      <w:r w:rsidR="00AE2A2B">
        <w:t>productivity by constructing a</w:t>
      </w:r>
      <w:r>
        <w:t xml:space="preserve"> ratio of inputs used for total output delivered</w:t>
      </w:r>
      <w:r w:rsidR="00AE2A2B">
        <w:t xml:space="preserve">. </w:t>
      </w:r>
      <w:r w:rsidR="00941F92">
        <w:t>T</w:t>
      </w:r>
      <w:r>
        <w:t>he PIN analysis used in this report</w:t>
      </w:r>
      <w:r w:rsidR="00854ECE">
        <w:t xml:space="preserve"> </w:t>
      </w:r>
      <w:r w:rsidR="00345BE3">
        <w:t xml:space="preserve">is </w:t>
      </w:r>
      <w:r>
        <w:t>multilateral total factor productivity (MTFP)</w:t>
      </w:r>
      <w:r w:rsidR="00345BE3">
        <w:t>. MTFP</w:t>
      </w:r>
      <w:r>
        <w:t xml:space="preserve"> </w:t>
      </w:r>
      <w:r w:rsidR="002F1DAE">
        <w:t>relates total input</w:t>
      </w:r>
      <w:r w:rsidR="00345BE3">
        <w:t>s</w:t>
      </w:r>
      <w:r w:rsidR="002F1DAE">
        <w:t xml:space="preserve"> to total output</w:t>
      </w:r>
      <w:r w:rsidR="00345BE3">
        <w:t>s.</w:t>
      </w:r>
      <w:r>
        <w:t xml:space="preserve"> </w:t>
      </w:r>
    </w:p>
    <w:p w:rsidR="00086847" w:rsidRDefault="002F1DAE" w:rsidP="00086847">
      <w:pPr>
        <w:rPr>
          <w:rStyle w:val="AERbody"/>
        </w:rPr>
      </w:pPr>
      <w:r>
        <w:t xml:space="preserve">The ‘multilateral’ method enables comparison of productivity levels and productivity trends. </w:t>
      </w:r>
      <w:r w:rsidR="00854ECE">
        <w:t xml:space="preserve">MTFP is the primary technique we use to compare relative efficiency in this report. </w:t>
      </w:r>
      <w:r w:rsidR="00086847">
        <w:t xml:space="preserve">We present the MTFP results in section </w:t>
      </w:r>
      <w:r w:rsidR="00FA72B7">
        <w:fldChar w:fldCharType="begin"/>
      </w:r>
      <w:r w:rsidR="00FA72B7">
        <w:instrText xml:space="preserve"> REF _Ref433013054 \n \h </w:instrText>
      </w:r>
      <w:r w:rsidR="00FA72B7">
        <w:fldChar w:fldCharType="separate"/>
      </w:r>
      <w:r w:rsidR="000C4199">
        <w:t>3</w:t>
      </w:r>
      <w:r w:rsidR="00FA72B7">
        <w:fldChar w:fldCharType="end"/>
      </w:r>
      <w:r w:rsidR="00086847">
        <w:t>.</w:t>
      </w:r>
    </w:p>
    <w:p w:rsidR="00854ECE" w:rsidRDefault="00854ECE" w:rsidP="00854ECE">
      <w:pPr>
        <w:pStyle w:val="Heading3"/>
      </w:pPr>
      <w:r>
        <w:t>Partial performance indicators</w:t>
      </w:r>
    </w:p>
    <w:p w:rsidR="00C429E0" w:rsidRPr="002F4E37" w:rsidRDefault="00C429E0" w:rsidP="00C429E0">
      <w:r w:rsidRPr="00BA76F8">
        <w:t>PPIs</w:t>
      </w:r>
      <w:r w:rsidR="00EC0C0D">
        <w:t xml:space="preserve"> are simple techniques that</w:t>
      </w:r>
      <w:r w:rsidRPr="00BA76F8">
        <w:t xml:space="preserve"> </w:t>
      </w:r>
      <w:r w:rsidR="00EC0C0D">
        <w:t>relate</w:t>
      </w:r>
      <w:r w:rsidRPr="00BA76F8">
        <w:t xml:space="preserve"> </w:t>
      </w:r>
      <w:r w:rsidR="00EC0C0D">
        <w:t xml:space="preserve">one input to one output (contrasting with the above </w:t>
      </w:r>
      <w:r>
        <w:t xml:space="preserve">economic benchmarking </w:t>
      </w:r>
      <w:r w:rsidRPr="00BA76F8">
        <w:t>techniques that relate inputs to multiple outputs</w:t>
      </w:r>
      <w:r w:rsidR="00EC0C0D">
        <w:t>)</w:t>
      </w:r>
      <w:r w:rsidRPr="00BA76F8">
        <w:t xml:space="preserve">. </w:t>
      </w:r>
      <w:r w:rsidR="007B17B3">
        <w:t xml:space="preserve">In this report, </w:t>
      </w:r>
      <w:r w:rsidR="00550352">
        <w:t xml:space="preserve">we consider the ratios of the transmission networks’ total cost against their outputs of voltage weighted entry and exit points, circuit line length and maximum demand served. </w:t>
      </w:r>
      <w:r w:rsidR="00EC0C0D">
        <w:t>S</w:t>
      </w:r>
      <w:r>
        <w:rPr>
          <w:rStyle w:val="AERbody"/>
        </w:rPr>
        <w:t xml:space="preserve">ection </w:t>
      </w:r>
      <w:r>
        <w:rPr>
          <w:rStyle w:val="AERbody"/>
        </w:rPr>
        <w:fldChar w:fldCharType="begin"/>
      </w:r>
      <w:r>
        <w:rPr>
          <w:rStyle w:val="AERbody"/>
        </w:rPr>
        <w:instrText xml:space="preserve"> REF _Ref432607030 \n \h </w:instrText>
      </w:r>
      <w:r>
        <w:rPr>
          <w:rStyle w:val="AERbody"/>
        </w:rPr>
      </w:r>
      <w:r>
        <w:rPr>
          <w:rStyle w:val="AERbody"/>
        </w:rPr>
        <w:fldChar w:fldCharType="separate"/>
      </w:r>
      <w:r w:rsidR="000C4199">
        <w:rPr>
          <w:rStyle w:val="AERbody"/>
        </w:rPr>
        <w:t>4.2</w:t>
      </w:r>
      <w:r>
        <w:rPr>
          <w:rStyle w:val="AERbody"/>
        </w:rPr>
        <w:fldChar w:fldCharType="end"/>
      </w:r>
      <w:r>
        <w:rPr>
          <w:rStyle w:val="AERbody"/>
        </w:rPr>
        <w:t xml:space="preserve"> </w:t>
      </w:r>
      <w:r w:rsidR="00EC0C0D">
        <w:rPr>
          <w:rStyle w:val="AERbody"/>
        </w:rPr>
        <w:t>contains</w:t>
      </w:r>
      <w:r w:rsidR="007B17B3">
        <w:rPr>
          <w:rStyle w:val="AERbody"/>
        </w:rPr>
        <w:t xml:space="preserve"> the</w:t>
      </w:r>
      <w:r w:rsidR="00EC0C0D">
        <w:rPr>
          <w:rStyle w:val="AERbody"/>
        </w:rPr>
        <w:t xml:space="preserve"> PPI results</w:t>
      </w:r>
      <w:r>
        <w:rPr>
          <w:rStyle w:val="AERbody"/>
        </w:rPr>
        <w:t xml:space="preserve">. </w:t>
      </w:r>
    </w:p>
    <w:p w:rsidR="00475ADE" w:rsidRDefault="00475ADE" w:rsidP="00475ADE">
      <w:pPr>
        <w:pStyle w:val="Heading2"/>
      </w:pPr>
      <w:r>
        <w:t>Data</w:t>
      </w:r>
    </w:p>
    <w:p w:rsidR="00020BC3" w:rsidRDefault="00020BC3" w:rsidP="00475ADE">
      <w:r>
        <w:t xml:space="preserve">All techniques in this report use data </w:t>
      </w:r>
      <w:r w:rsidR="00995512">
        <w:t xml:space="preserve">provided by the </w:t>
      </w:r>
      <w:r w:rsidR="00CF6394">
        <w:t xml:space="preserve">TNSPs </w:t>
      </w:r>
      <w:r>
        <w:t xml:space="preserve">in </w:t>
      </w:r>
      <w:r w:rsidR="00995512">
        <w:t xml:space="preserve">response to our </w:t>
      </w:r>
      <w:r>
        <w:t>economic benchmarking regulatory information notices (EB RINs</w:t>
      </w:r>
      <w:r w:rsidR="00FB2EB2">
        <w:t>)</w:t>
      </w:r>
      <w:r w:rsidR="00776E75">
        <w:t xml:space="preserve">. </w:t>
      </w:r>
      <w:r>
        <w:t xml:space="preserve">The EB RINs require all </w:t>
      </w:r>
      <w:r w:rsidR="00CF6394">
        <w:t xml:space="preserve">TNSPs </w:t>
      </w:r>
      <w:r>
        <w:t>to provide consistent data</w:t>
      </w:r>
      <w:r w:rsidR="00250800">
        <w:t xml:space="preserve"> </w:t>
      </w:r>
      <w:r w:rsidR="00776E75">
        <w:t>and is</w:t>
      </w:r>
      <w:r w:rsidR="00995512">
        <w:t xml:space="preserve"> </w:t>
      </w:r>
      <w:r w:rsidR="00250800">
        <w:t xml:space="preserve">verified </w:t>
      </w:r>
      <w:r>
        <w:t xml:space="preserve">by the </w:t>
      </w:r>
      <w:r w:rsidR="00CF6394">
        <w:t>T</w:t>
      </w:r>
      <w:r>
        <w:t>NSP’s chief executive officer</w:t>
      </w:r>
      <w:r w:rsidR="00250800">
        <w:t xml:space="preserve"> and independent</w:t>
      </w:r>
      <w:r w:rsidR="00995512">
        <w:t>ly</w:t>
      </w:r>
      <w:r w:rsidR="00250800">
        <w:t xml:space="preserve"> audit</w:t>
      </w:r>
      <w:r w:rsidR="00995512">
        <w:t>ed</w:t>
      </w:r>
      <w:r>
        <w:t>.</w:t>
      </w:r>
      <w:r w:rsidR="00E45D51">
        <w:t xml:space="preserve"> </w:t>
      </w:r>
      <w:r w:rsidR="00995512">
        <w:t xml:space="preserve">This </w:t>
      </w:r>
      <w:r w:rsidR="00E45D51">
        <w:t xml:space="preserve">data has been subject to rigorous testing and validation by </w:t>
      </w:r>
      <w:r w:rsidR="00995512">
        <w:t xml:space="preserve">both </w:t>
      </w:r>
      <w:r w:rsidR="00E45D51">
        <w:t>Economic Insights</w:t>
      </w:r>
      <w:r w:rsidR="00995512">
        <w:t xml:space="preserve"> and us</w:t>
      </w:r>
      <w:r w:rsidR="00E45D51">
        <w:t>.</w:t>
      </w:r>
    </w:p>
    <w:p w:rsidR="00475ADE" w:rsidRPr="00475ADE" w:rsidRDefault="00A841EB" w:rsidP="00475ADE">
      <w:pPr>
        <w:pStyle w:val="Heading2"/>
      </w:pPr>
      <w:r>
        <w:t>Differences in o</w:t>
      </w:r>
      <w:r w:rsidR="00CC4F28">
        <w:t>perating environment</w:t>
      </w:r>
      <w:r>
        <w:t>s</w:t>
      </w:r>
    </w:p>
    <w:p w:rsidR="00A41AA0" w:rsidRDefault="00A41AA0" w:rsidP="00A41AA0">
      <w:r>
        <w:t xml:space="preserve">When benchmarking, it is important to recognise that TNSPs operate in different environments. </w:t>
      </w:r>
      <w:r w:rsidR="000C12D9">
        <w:t xml:space="preserve">Certain factors arising from a DNSP’s operating environment are beyond its control. </w:t>
      </w:r>
      <w:proofErr w:type="gramStart"/>
      <w:r>
        <w:t>These factors</w:t>
      </w:r>
      <w:r w:rsidR="00311EC4">
        <w:t>,</w:t>
      </w:r>
      <w:r>
        <w:t xml:space="preserve"> which we call ‘operating environment factors’ (OEFs) may influence a TNSP’s costs and, therefore, its benchmarking performance.</w:t>
      </w:r>
      <w:proofErr w:type="gramEnd"/>
    </w:p>
    <w:p w:rsidR="00CA32A8" w:rsidRDefault="00A41AA0" w:rsidP="00CA32A8">
      <w:r>
        <w:t xml:space="preserve">The economic benchmarking techniques presented in this report capture key OEFs. For </w:t>
      </w:r>
      <w:proofErr w:type="gramStart"/>
      <w:r>
        <w:t>example</w:t>
      </w:r>
      <w:proofErr w:type="gramEnd"/>
      <w:r w:rsidR="002325FB">
        <w:t xml:space="preserve"> MTFP takes into account a T</w:t>
      </w:r>
      <w:r>
        <w:t xml:space="preserve">NSP’s assets </w:t>
      </w:r>
      <w:r w:rsidR="002325FB">
        <w:t xml:space="preserve">and </w:t>
      </w:r>
      <w:r w:rsidR="00311EC4">
        <w:t xml:space="preserve">its </w:t>
      </w:r>
      <w:r w:rsidR="002325FB">
        <w:t xml:space="preserve">connection, maximum demand and energy throughput densities. </w:t>
      </w:r>
      <w:r w:rsidR="001D1286">
        <w:t xml:space="preserve">However, not all OEFs </w:t>
      </w:r>
      <w:proofErr w:type="gramStart"/>
      <w:r w:rsidR="001D1286">
        <w:t>can be captured</w:t>
      </w:r>
      <w:proofErr w:type="gramEnd"/>
      <w:r w:rsidR="001D1286">
        <w:t xml:space="preserve"> in the models. In our recent </w:t>
      </w:r>
      <w:r w:rsidR="000C12D9">
        <w:t xml:space="preserve">distribution </w:t>
      </w:r>
      <w:r w:rsidR="001D1286">
        <w:t xml:space="preserve">determinations for the NSW, ACT and QLD </w:t>
      </w:r>
      <w:r w:rsidR="00612B96">
        <w:t>DNSPs</w:t>
      </w:r>
      <w:r w:rsidR="001D1286">
        <w:t xml:space="preserve">, we </w:t>
      </w:r>
      <w:r w:rsidR="000C12D9">
        <w:t xml:space="preserve">conducted a separate assessment of OEFs and </w:t>
      </w:r>
      <w:r w:rsidR="001D1286">
        <w:t xml:space="preserve">made ex post adjustments to account for </w:t>
      </w:r>
      <w:r w:rsidR="000C12D9">
        <w:t>them</w:t>
      </w:r>
      <w:r w:rsidR="001D1286">
        <w:t>. However, it would not be practical to make ex post adjustments to account for the differences between all operating environments relative to each other for the purposes of this report.</w:t>
      </w:r>
    </w:p>
    <w:p w:rsidR="008A7BEA" w:rsidRDefault="003367D3" w:rsidP="008A7BEA">
      <w:pPr>
        <w:pStyle w:val="Heading1"/>
      </w:pPr>
      <w:bookmarkStart w:id="15" w:name="_Toc435695933"/>
      <w:bookmarkStart w:id="16" w:name="_Toc435705707"/>
      <w:bookmarkStart w:id="17" w:name="_Toc435709419"/>
      <w:bookmarkStart w:id="18" w:name="_Toc433207592"/>
      <w:bookmarkStart w:id="19" w:name="_Toc433217769"/>
      <w:bookmarkStart w:id="20" w:name="_Toc433270044"/>
      <w:bookmarkStart w:id="21" w:name="_Ref433013054"/>
      <w:bookmarkStart w:id="22" w:name="_Toc435709420"/>
      <w:bookmarkEnd w:id="15"/>
      <w:bookmarkEnd w:id="16"/>
      <w:bookmarkEnd w:id="17"/>
      <w:bookmarkEnd w:id="18"/>
      <w:bookmarkEnd w:id="19"/>
      <w:bookmarkEnd w:id="20"/>
      <w:r>
        <w:lastRenderedPageBreak/>
        <w:t>Multilateral total factor productivity results</w:t>
      </w:r>
      <w:bookmarkEnd w:id="21"/>
      <w:bookmarkEnd w:id="22"/>
    </w:p>
    <w:p w:rsidR="00CC1B70" w:rsidRDefault="00E45D51" w:rsidP="00F40166">
      <w:r>
        <w:t xml:space="preserve">This section presents the benchmarking results for MTFP, the primary technique used to measure overall relative efficiency. </w:t>
      </w:r>
      <w:r w:rsidR="00CC1B70">
        <w:t xml:space="preserve">Results </w:t>
      </w:r>
      <w:proofErr w:type="gramStart"/>
      <w:r w:rsidR="00CC1B70">
        <w:t>are presented</w:t>
      </w:r>
      <w:proofErr w:type="gramEnd"/>
      <w:r w:rsidR="00CC1B70">
        <w:t xml:space="preserve"> over a </w:t>
      </w:r>
      <w:r w:rsidR="00FB2EB2">
        <w:t>nine-year</w:t>
      </w:r>
      <w:r w:rsidR="00CC1B70">
        <w:t xml:space="preserve"> period, from 2006 to 2014.</w:t>
      </w:r>
    </w:p>
    <w:p w:rsidR="00E63EFB" w:rsidRDefault="00F40166" w:rsidP="00F40166">
      <w:r>
        <w:t>Th</w:t>
      </w:r>
      <w:r w:rsidR="004E1F45">
        <w:t>e output specification used in this</w:t>
      </w:r>
      <w:r>
        <w:t xml:space="preserve"> </w:t>
      </w:r>
      <w:r w:rsidR="004E1F45">
        <w:t xml:space="preserve">analysis comprises </w:t>
      </w:r>
      <w:r>
        <w:t xml:space="preserve">energy </w:t>
      </w:r>
      <w:r w:rsidR="00B039FF">
        <w:t>throughput</w:t>
      </w:r>
      <w:r>
        <w:t xml:space="preserve">, </w:t>
      </w:r>
      <w:r w:rsidR="004E1F45">
        <w:t xml:space="preserve">circuit </w:t>
      </w:r>
      <w:r w:rsidR="005A1CCD">
        <w:t xml:space="preserve">line </w:t>
      </w:r>
      <w:r w:rsidR="004E1F45">
        <w:t xml:space="preserve">length, </w:t>
      </w:r>
      <w:r>
        <w:t>ratcheted maximum demand</w:t>
      </w:r>
      <w:r w:rsidR="007E76ED">
        <w:t>,</w:t>
      </w:r>
      <w:r w:rsidR="007B1F1B">
        <w:rPr>
          <w:rStyle w:val="FootnoteReference"/>
        </w:rPr>
        <w:footnoteReference w:id="6"/>
      </w:r>
      <w:r w:rsidR="004E1F45">
        <w:t xml:space="preserve"> </w:t>
      </w:r>
      <w:r w:rsidR="007E76ED" w:rsidRPr="001268E4">
        <w:t>voltage weighted entry and exit points</w:t>
      </w:r>
      <w:r w:rsidR="007E76ED">
        <w:t xml:space="preserve"> </w:t>
      </w:r>
      <w:r w:rsidR="004E1F45">
        <w:t>and</w:t>
      </w:r>
      <w:r>
        <w:t xml:space="preserve"> reliability</w:t>
      </w:r>
      <w:r w:rsidR="004E1F45">
        <w:t>.</w:t>
      </w:r>
      <w:r>
        <w:t xml:space="preserve"> </w:t>
      </w:r>
      <w:r w:rsidR="000033A6">
        <w:t xml:space="preserve">Reliability </w:t>
      </w:r>
      <w:proofErr w:type="gramStart"/>
      <w:r w:rsidR="000033A6">
        <w:t>is measured</w:t>
      </w:r>
      <w:proofErr w:type="gramEnd"/>
      <w:r w:rsidR="000033A6">
        <w:t xml:space="preserve"> by customer minutes of</w:t>
      </w:r>
      <w:r w:rsidR="002D06B8">
        <w:t>f</w:t>
      </w:r>
      <w:r w:rsidR="000033A6">
        <w:t xml:space="preserve"> supply</w:t>
      </w:r>
      <w:r w:rsidR="002D06B8">
        <w:t xml:space="preserve">. It is a negative output because a decrease in supply interruptions is equivalent to an increase in output. </w:t>
      </w:r>
      <w:r w:rsidR="002C361A">
        <w:t xml:space="preserve">The input specification is </w:t>
      </w:r>
      <w:r w:rsidR="00CC1B70">
        <w:t xml:space="preserve">both </w:t>
      </w:r>
      <w:proofErr w:type="spellStart"/>
      <w:r>
        <w:t>opex</w:t>
      </w:r>
      <w:proofErr w:type="spellEnd"/>
      <w:r>
        <w:t xml:space="preserve"> and capital. </w:t>
      </w:r>
    </w:p>
    <w:p w:rsidR="002C361A" w:rsidRDefault="005743FD" w:rsidP="00F40166">
      <w:proofErr w:type="spellStart"/>
      <w:r>
        <w:t>Opex</w:t>
      </w:r>
      <w:proofErr w:type="spellEnd"/>
      <w:r>
        <w:t xml:space="preserve"> is the </w:t>
      </w:r>
      <w:r w:rsidR="00E63EFB">
        <w:t xml:space="preserve">observed </w:t>
      </w:r>
      <w:proofErr w:type="spellStart"/>
      <w:r>
        <w:t>opex</w:t>
      </w:r>
      <w:proofErr w:type="spellEnd"/>
      <w:r>
        <w:t xml:space="preserve"> spent on </w:t>
      </w:r>
      <w:r w:rsidR="00FB2EB2">
        <w:t xml:space="preserve">prescribed </w:t>
      </w:r>
      <w:r>
        <w:t>services</w:t>
      </w:r>
      <w:r w:rsidR="000033A6">
        <w:t>.</w:t>
      </w:r>
      <w:r>
        <w:t xml:space="preserve"> </w:t>
      </w:r>
      <w:r w:rsidR="002C361A">
        <w:t>C</w:t>
      </w:r>
      <w:r w:rsidR="00F40166">
        <w:t>apital</w:t>
      </w:r>
      <w:r w:rsidR="00F40166" w:rsidRPr="001664C4">
        <w:t xml:space="preserve"> </w:t>
      </w:r>
      <w:proofErr w:type="gramStart"/>
      <w:r w:rsidR="00F40166" w:rsidRPr="001664C4">
        <w:t>i</w:t>
      </w:r>
      <w:r w:rsidR="002C361A">
        <w:t>s</w:t>
      </w:r>
      <w:r w:rsidR="00F40166" w:rsidRPr="001664C4">
        <w:t xml:space="preserve"> split</w:t>
      </w:r>
      <w:proofErr w:type="gramEnd"/>
      <w:r w:rsidR="00F40166" w:rsidRPr="001664C4">
        <w:t xml:space="preserve"> into</w:t>
      </w:r>
      <w:r w:rsidR="002C361A">
        <w:t xml:space="preserve"> </w:t>
      </w:r>
      <w:r w:rsidR="00F40166" w:rsidRPr="001664C4">
        <w:t>overhead lines, underground cables and transformers.</w:t>
      </w:r>
      <w:r w:rsidR="00F40166">
        <w:t xml:space="preserve"> </w:t>
      </w:r>
    </w:p>
    <w:p w:rsidR="00F40166" w:rsidRDefault="000033A6" w:rsidP="00F40166">
      <w:r>
        <w:t xml:space="preserve">Further detail about the MTFP input and output specifications </w:t>
      </w:r>
      <w:proofErr w:type="gramStart"/>
      <w:r>
        <w:t>can be found</w:t>
      </w:r>
      <w:proofErr w:type="gramEnd"/>
      <w:r>
        <w:t xml:space="preserve"> in the Economic Insights publications referred to in Appendix </w:t>
      </w:r>
      <w:r>
        <w:fldChar w:fldCharType="begin"/>
      </w:r>
      <w:r>
        <w:instrText xml:space="preserve"> REF _Ref432682897 \n \h </w:instrText>
      </w:r>
      <w:r>
        <w:fldChar w:fldCharType="separate"/>
      </w:r>
      <w:r w:rsidR="000C4199">
        <w:t>A</w:t>
      </w:r>
      <w:r>
        <w:fldChar w:fldCharType="end"/>
      </w:r>
      <w:r>
        <w:t>.</w:t>
      </w:r>
      <w:r w:rsidR="006D74A7">
        <w:t xml:space="preserve"> </w:t>
      </w:r>
      <w:r w:rsidR="006D74A7">
        <w:fldChar w:fldCharType="begin"/>
      </w:r>
      <w:r w:rsidR="006D74A7">
        <w:instrText xml:space="preserve"> REF _Ref432682392 \h </w:instrText>
      </w:r>
      <w:r w:rsidR="006D74A7">
        <w:fldChar w:fldCharType="separate"/>
      </w:r>
      <w:r w:rsidR="000C4199">
        <w:t xml:space="preserve">Figure </w:t>
      </w:r>
      <w:r w:rsidR="000C4199">
        <w:rPr>
          <w:noProof/>
        </w:rPr>
        <w:t>3</w:t>
      </w:r>
      <w:r w:rsidR="006D74A7">
        <w:fldChar w:fldCharType="end"/>
      </w:r>
      <w:r w:rsidR="006D74A7">
        <w:t xml:space="preserve"> displays the output and input indices and the resultant TFP index, combined for all </w:t>
      </w:r>
      <w:r w:rsidR="007E76ED">
        <w:t>T</w:t>
      </w:r>
      <w:r w:rsidR="006D74A7">
        <w:t>NSPs.</w:t>
      </w:r>
    </w:p>
    <w:p w:rsidR="00F40166" w:rsidRDefault="00F40166" w:rsidP="00A75AB2">
      <w:pPr>
        <w:pStyle w:val="Caption"/>
      </w:pPr>
      <w:bookmarkStart w:id="23" w:name="_Ref432682392"/>
      <w:r>
        <w:t xml:space="preserve">Figure </w:t>
      </w:r>
      <w:r w:rsidRPr="00F50135">
        <w:fldChar w:fldCharType="begin"/>
      </w:r>
      <w:r>
        <w:instrText xml:space="preserve"> SEQ Figure \* ARABIC </w:instrText>
      </w:r>
      <w:r w:rsidRPr="00F50135">
        <w:fldChar w:fldCharType="separate"/>
      </w:r>
      <w:r w:rsidR="000C4199">
        <w:rPr>
          <w:noProof/>
        </w:rPr>
        <w:t>3</w:t>
      </w:r>
      <w:r w:rsidRPr="00F50135">
        <w:fldChar w:fldCharType="end"/>
      </w:r>
      <w:bookmarkEnd w:id="23"/>
      <w:r w:rsidR="00A21A46">
        <w:tab/>
      </w:r>
      <w:r>
        <w:t xml:space="preserve">MTFP </w:t>
      </w:r>
      <w:r w:rsidR="00CC1B70">
        <w:t xml:space="preserve">input, </w:t>
      </w:r>
      <w:r>
        <w:t xml:space="preserve">output </w:t>
      </w:r>
      <w:r w:rsidR="00CC1B70">
        <w:t>and TFP indices</w:t>
      </w:r>
      <w:r>
        <w:t xml:space="preserve"> for all </w:t>
      </w:r>
      <w:r w:rsidR="007E76ED">
        <w:t>T</w:t>
      </w:r>
      <w:r w:rsidR="004E1F45">
        <w:t>NSPs</w:t>
      </w:r>
      <w:r w:rsidR="00596D16">
        <w:t>,</w:t>
      </w:r>
      <w:r w:rsidR="002A7DF4">
        <w:t xml:space="preserve"> 2006–14</w:t>
      </w:r>
    </w:p>
    <w:p w:rsidR="00F25CCB" w:rsidRDefault="007A683A" w:rsidP="007A683A">
      <w:pPr>
        <w:jc w:val="center"/>
      </w:pPr>
      <w:r>
        <w:rPr>
          <w:noProof/>
          <w:lang w:eastAsia="en-AU"/>
        </w:rPr>
        <w:drawing>
          <wp:inline distT="0" distB="0" distL="0" distR="0" wp14:anchorId="37DEAB07" wp14:editId="745407DA">
            <wp:extent cx="4806950" cy="291592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06950" cy="2915920"/>
                    </a:xfrm>
                    <a:prstGeom prst="rect">
                      <a:avLst/>
                    </a:prstGeom>
                    <a:noFill/>
                    <a:ln>
                      <a:noFill/>
                    </a:ln>
                  </pic:spPr>
                </pic:pic>
              </a:graphicData>
            </a:graphic>
          </wp:inline>
        </w:drawing>
      </w:r>
    </w:p>
    <w:p w:rsidR="0096189F" w:rsidRDefault="00CC1B70" w:rsidP="00F40166">
      <w:r>
        <w:fldChar w:fldCharType="begin"/>
      </w:r>
      <w:r>
        <w:instrText xml:space="preserve"> REF _Ref432682392 \h </w:instrText>
      </w:r>
      <w:r>
        <w:fldChar w:fldCharType="separate"/>
      </w:r>
      <w:r w:rsidR="000C4199">
        <w:t xml:space="preserve">Figure </w:t>
      </w:r>
      <w:r w:rsidR="000C4199">
        <w:rPr>
          <w:noProof/>
        </w:rPr>
        <w:t>3</w:t>
      </w:r>
      <w:r>
        <w:fldChar w:fldCharType="end"/>
      </w:r>
      <w:r>
        <w:t xml:space="preserve"> shows </w:t>
      </w:r>
      <w:r w:rsidR="00F40166">
        <w:t xml:space="preserve">that </w:t>
      </w:r>
      <w:r w:rsidR="006D74A7">
        <w:t>since 2007, input</w:t>
      </w:r>
      <w:r w:rsidR="00A841EB">
        <w:t>s have</w:t>
      </w:r>
      <w:r w:rsidR="006D74A7">
        <w:t xml:space="preserve"> increased at a greater rate than output</w:t>
      </w:r>
      <w:r w:rsidR="007E76ED">
        <w:t>s. In other words, T</w:t>
      </w:r>
      <w:r w:rsidR="00A841EB">
        <w:t>NSPs have been spending</w:t>
      </w:r>
      <w:r w:rsidR="00212EEE">
        <w:t xml:space="preserve"> resources</w:t>
      </w:r>
      <w:r w:rsidR="00A841EB">
        <w:t xml:space="preserve"> (</w:t>
      </w:r>
      <w:proofErr w:type="spellStart"/>
      <w:r w:rsidR="00A841EB">
        <w:t>opex</w:t>
      </w:r>
      <w:proofErr w:type="spellEnd"/>
      <w:r w:rsidR="00A841EB">
        <w:t xml:space="preserve"> and capital) at a greater rate than </w:t>
      </w:r>
      <w:r w:rsidR="00E14351">
        <w:t xml:space="preserve">the key factors that drive the supply of electricity </w:t>
      </w:r>
      <w:r w:rsidR="007E76ED">
        <w:t>transmission</w:t>
      </w:r>
      <w:r w:rsidR="00E14351">
        <w:t xml:space="preserve"> services</w:t>
      </w:r>
      <w:r w:rsidR="00A841EB">
        <w:t>. This indicates</w:t>
      </w:r>
      <w:r w:rsidR="006D74A7">
        <w:t xml:space="preserve"> </w:t>
      </w:r>
      <w:r w:rsidR="00F40166">
        <w:t xml:space="preserve">productivity </w:t>
      </w:r>
      <w:r w:rsidR="006D74A7">
        <w:t xml:space="preserve">declining </w:t>
      </w:r>
      <w:r w:rsidR="00F40166">
        <w:t>across the whole sector</w:t>
      </w:r>
      <w:r w:rsidR="006D74A7">
        <w:t xml:space="preserve">. With the exception of 2013, </w:t>
      </w:r>
      <w:r w:rsidR="006D74A7">
        <w:lastRenderedPageBreak/>
        <w:t xml:space="preserve">which showed minimal positive productivity growth, </w:t>
      </w:r>
      <w:r w:rsidR="00A841EB">
        <w:t xml:space="preserve">there has been negative </w:t>
      </w:r>
      <w:r w:rsidR="006D74A7">
        <w:t xml:space="preserve">productivity growth each year. </w:t>
      </w:r>
      <w:r w:rsidR="0096189F">
        <w:t xml:space="preserve">There </w:t>
      </w:r>
      <w:r w:rsidR="00480104">
        <w:t>are</w:t>
      </w:r>
      <w:r w:rsidR="0096189F">
        <w:t xml:space="preserve"> </w:t>
      </w:r>
      <w:r w:rsidR="00AA0A21">
        <w:t xml:space="preserve">two </w:t>
      </w:r>
      <w:r w:rsidR="0096189F">
        <w:t xml:space="preserve">reasons for </w:t>
      </w:r>
      <w:r w:rsidR="00A21A46">
        <w:t>this</w:t>
      </w:r>
      <w:r w:rsidR="0096189F">
        <w:t>:</w:t>
      </w:r>
    </w:p>
    <w:p w:rsidR="0096189F" w:rsidRDefault="00480104" w:rsidP="0096189F">
      <w:pPr>
        <w:pStyle w:val="AERbulletlistfirststyle"/>
      </w:pPr>
      <w:r>
        <w:t>most</w:t>
      </w:r>
      <w:r w:rsidR="0096189F">
        <w:t xml:space="preserve"> outputs have </w:t>
      </w:r>
      <w:r>
        <w:t>increased moderately or remained relatively flat in recent years</w:t>
      </w:r>
    </w:p>
    <w:p w:rsidR="0096189F" w:rsidRDefault="00AA0A21" w:rsidP="0096189F">
      <w:pPr>
        <w:pStyle w:val="AERbulletlistfirststyle"/>
      </w:pPr>
      <w:r>
        <w:t>TNSPs have been increasing the resources that they have been using to deliver their services.</w:t>
      </w:r>
    </w:p>
    <w:p w:rsidR="003A5A7D" w:rsidRDefault="00A21A46" w:rsidP="00F40166">
      <w:r>
        <w:fldChar w:fldCharType="begin"/>
      </w:r>
      <w:r>
        <w:instrText xml:space="preserve"> REF _Ref432690569 \h </w:instrText>
      </w:r>
      <w:r>
        <w:fldChar w:fldCharType="separate"/>
      </w:r>
      <w:r w:rsidR="000C4199">
        <w:t xml:space="preserve">Figure </w:t>
      </w:r>
      <w:r w:rsidR="000C4199">
        <w:rPr>
          <w:noProof/>
        </w:rPr>
        <w:t>4</w:t>
      </w:r>
      <w:r>
        <w:fldChar w:fldCharType="end"/>
      </w:r>
      <w:r w:rsidR="00F40166">
        <w:t xml:space="preserve"> </w:t>
      </w:r>
      <w:r>
        <w:t xml:space="preserve">presents </w:t>
      </w:r>
      <w:r w:rsidR="00F40166">
        <w:t xml:space="preserve">the MTFP results </w:t>
      </w:r>
      <w:r>
        <w:t xml:space="preserve">for each </w:t>
      </w:r>
      <w:r w:rsidR="003A5A7D">
        <w:t>T</w:t>
      </w:r>
      <w:r>
        <w:t>NSP</w:t>
      </w:r>
      <w:r w:rsidR="00F40166">
        <w:t xml:space="preserve">. </w:t>
      </w:r>
      <w:r w:rsidR="003A5A7D" w:rsidRPr="001268E4">
        <w:t>This illustrates that the productivity of most networks has declined from 2006 to 201</w:t>
      </w:r>
      <w:r w:rsidR="003A5A7D">
        <w:t>4</w:t>
      </w:r>
      <w:r w:rsidR="003A5A7D" w:rsidRPr="001268E4">
        <w:t xml:space="preserve">. </w:t>
      </w:r>
      <w:proofErr w:type="spellStart"/>
      <w:r w:rsidR="003A5A7D" w:rsidRPr="001268E4">
        <w:t>AusNet</w:t>
      </w:r>
      <w:proofErr w:type="spellEnd"/>
      <w:r w:rsidR="003A5A7D" w:rsidRPr="001268E4">
        <w:t xml:space="preserve"> Services is the only network to </w:t>
      </w:r>
      <w:r w:rsidR="003A5A7D">
        <w:t>improve its</w:t>
      </w:r>
      <w:r w:rsidR="003A5A7D" w:rsidRPr="001268E4">
        <w:t xml:space="preserve"> productivity over the period</w:t>
      </w:r>
      <w:r w:rsidR="003A5A7D">
        <w:t xml:space="preserve">. </w:t>
      </w:r>
      <w:proofErr w:type="spellStart"/>
      <w:r w:rsidR="003A5A7D">
        <w:t>TasNetworks</w:t>
      </w:r>
      <w:proofErr w:type="spellEnd"/>
      <w:r w:rsidR="003A5A7D">
        <w:t xml:space="preserve"> is the only network to improve its productivity from 2013 to 2014.</w:t>
      </w:r>
      <w:r w:rsidR="00CF4CAD">
        <w:t xml:space="preserve"> </w:t>
      </w:r>
    </w:p>
    <w:p w:rsidR="00F40166" w:rsidRDefault="00F40166" w:rsidP="00A75AB2">
      <w:pPr>
        <w:pStyle w:val="Caption"/>
      </w:pPr>
      <w:bookmarkStart w:id="24" w:name="_Ref432690569"/>
      <w:r>
        <w:t xml:space="preserve">Figure </w:t>
      </w:r>
      <w:r w:rsidRPr="00F50135">
        <w:fldChar w:fldCharType="begin"/>
      </w:r>
      <w:r>
        <w:instrText xml:space="preserve"> SEQ Figure \* ARABIC </w:instrText>
      </w:r>
      <w:r w:rsidRPr="00F50135">
        <w:fldChar w:fldCharType="separate"/>
      </w:r>
      <w:proofErr w:type="gramStart"/>
      <w:r w:rsidR="000C4199">
        <w:rPr>
          <w:noProof/>
        </w:rPr>
        <w:t>4</w:t>
      </w:r>
      <w:r w:rsidRPr="00F50135">
        <w:fldChar w:fldCharType="end"/>
      </w:r>
      <w:bookmarkEnd w:id="24"/>
      <w:r>
        <w:tab/>
      </w:r>
      <w:r w:rsidR="00480104">
        <w:t xml:space="preserve">Multilateral total factor productivity </w:t>
      </w:r>
      <w:r w:rsidR="00A21A46">
        <w:t xml:space="preserve">by </w:t>
      </w:r>
      <w:r w:rsidR="003A5A7D">
        <w:t>T</w:t>
      </w:r>
      <w:r>
        <w:t>NSP</w:t>
      </w:r>
      <w:proofErr w:type="gramEnd"/>
      <w:r w:rsidR="00A21A46">
        <w:t xml:space="preserve"> for 2006–14</w:t>
      </w:r>
    </w:p>
    <w:p w:rsidR="003A5A7D" w:rsidRPr="003A5A7D" w:rsidRDefault="005D60E3" w:rsidP="009452C4">
      <w:pPr>
        <w:pStyle w:val="AERtablesource"/>
      </w:pPr>
      <w:r>
        <w:t xml:space="preserve">Note: </w:t>
      </w:r>
      <w:r w:rsidR="00400BE4">
        <w:t xml:space="preserve">In </w:t>
      </w:r>
      <w:proofErr w:type="gramStart"/>
      <w:r w:rsidR="00400BE4">
        <w:t>2009</w:t>
      </w:r>
      <w:proofErr w:type="gramEnd"/>
      <w:r w:rsidR="00400BE4">
        <w:t xml:space="preserve"> </w:t>
      </w:r>
      <w:proofErr w:type="spellStart"/>
      <w:r w:rsidR="00400BE4">
        <w:t>AusNet</w:t>
      </w:r>
      <w:proofErr w:type="spellEnd"/>
      <w:r w:rsidR="00400BE4">
        <w:t xml:space="preserve"> S</w:t>
      </w:r>
      <w:r w:rsidRPr="005D60E3">
        <w:t xml:space="preserve">ervices had large customer interruptions which is why </w:t>
      </w:r>
      <w:proofErr w:type="spellStart"/>
      <w:r w:rsidRPr="005D60E3">
        <w:t>AusNet</w:t>
      </w:r>
      <w:proofErr w:type="spellEnd"/>
      <w:r w:rsidRPr="005D60E3">
        <w:t xml:space="preserve"> performs poorly in this year.   </w:t>
      </w:r>
      <w:r w:rsidR="00614056" w:rsidRPr="00614056">
        <w:rPr>
          <w:noProof/>
          <w:lang w:eastAsia="en-AU"/>
        </w:rPr>
        <w:drawing>
          <wp:anchor distT="0" distB="0" distL="114300" distR="114300" simplePos="0" relativeHeight="251672576" behindDoc="0" locked="0" layoutInCell="1" allowOverlap="1" wp14:anchorId="56BE2E01" wp14:editId="58F7C749">
            <wp:simplePos x="0" y="0"/>
            <wp:positionH relativeFrom="column">
              <wp:posOffset>152400</wp:posOffset>
            </wp:positionH>
            <wp:positionV relativeFrom="paragraph">
              <wp:posOffset>152400</wp:posOffset>
            </wp:positionV>
            <wp:extent cx="5338800" cy="324000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38800" cy="324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32A8" w:rsidRDefault="00CA32A8" w:rsidP="00CA32A8">
      <w:r>
        <w:t>In contrast to electricity distribution networks, where there has been a long history of benchmarking by international regulators, the benchmarking of transmission networks is relatively new. As a result, and because our models do not incorporate OEFs, the comparison of productivity levels between firms should be treated with caution.</w:t>
      </w:r>
      <w:r w:rsidRPr="001268E4">
        <w:t xml:space="preserve"> However, the MTFP scores indicate that </w:t>
      </w:r>
      <w:proofErr w:type="spellStart"/>
      <w:r w:rsidRPr="00DF1855">
        <w:t>TasNetworks</w:t>
      </w:r>
      <w:proofErr w:type="spellEnd"/>
      <w:r w:rsidRPr="00DF1855">
        <w:t xml:space="preserve"> ha</w:t>
      </w:r>
      <w:r>
        <w:t>s</w:t>
      </w:r>
      <w:r w:rsidRPr="00DF1855">
        <w:t xml:space="preserve"> relatively high productivity level</w:t>
      </w:r>
      <w:r>
        <w:t xml:space="preserve"> compared to the other TNSPs</w:t>
      </w:r>
      <w:r w:rsidRPr="001268E4">
        <w:t>.</w:t>
      </w:r>
    </w:p>
    <w:p w:rsidR="003A5A7D" w:rsidRDefault="00CA32A8" w:rsidP="003A5A7D">
      <w:r>
        <w:t xml:space="preserve">Further, we have made some changes to the MTFP series based on submissions made by the TNSPs that improves its comparability – particularly </w:t>
      </w:r>
      <w:proofErr w:type="gramStart"/>
      <w:r>
        <w:t>in regard to</w:t>
      </w:r>
      <w:proofErr w:type="gramEnd"/>
      <w:r>
        <w:t xml:space="preserve"> transformer capacity and entry and entry point data. </w:t>
      </w:r>
      <w:r>
        <w:fldChar w:fldCharType="begin"/>
      </w:r>
      <w:r>
        <w:instrText xml:space="preserve"> REF _Ref426030860 \h </w:instrText>
      </w:r>
      <w:r>
        <w:fldChar w:fldCharType="separate"/>
      </w:r>
      <w:r>
        <w:t xml:space="preserve">Figure </w:t>
      </w:r>
      <w:r>
        <w:rPr>
          <w:noProof/>
        </w:rPr>
        <w:t>5</w:t>
      </w:r>
      <w:r>
        <w:fldChar w:fldCharType="end"/>
      </w:r>
      <w:r>
        <w:t xml:space="preserve"> compares the 2006 to </w:t>
      </w:r>
      <w:r>
        <w:lastRenderedPageBreak/>
        <w:t xml:space="preserve">2013 average MTFP scores using the updated data and previous data. </w:t>
      </w:r>
      <w:proofErr w:type="gramStart"/>
      <w:r>
        <w:t>Using the new data,</w:t>
      </w:r>
      <w:proofErr w:type="gramEnd"/>
      <w:r>
        <w:t xml:space="preserve"> </w:t>
      </w:r>
      <w:proofErr w:type="gramStart"/>
      <w:r>
        <w:t>it</w:t>
      </w:r>
      <w:proofErr w:type="gramEnd"/>
      <w:r>
        <w:t xml:space="preserve"> can be seen that the performance of most TNSPs has remained similar. </w:t>
      </w:r>
      <w:r w:rsidR="00CE36A8">
        <w:rPr>
          <w:rStyle w:val="FootnoteReference"/>
        </w:rPr>
        <w:footnoteReference w:id="7"/>
      </w:r>
      <w:r w:rsidR="00CE36A8">
        <w:t xml:space="preserve"> </w:t>
      </w:r>
    </w:p>
    <w:p w:rsidR="002B1B59" w:rsidRDefault="002B1B59" w:rsidP="002B1B59">
      <w:pPr>
        <w:pStyle w:val="Caption"/>
      </w:pPr>
      <w:bookmarkStart w:id="25" w:name="_Ref426030860"/>
      <w:r>
        <w:t xml:space="preserve">Figure </w:t>
      </w:r>
      <w:r w:rsidR="00DD0FA1">
        <w:fldChar w:fldCharType="begin"/>
      </w:r>
      <w:r w:rsidR="00DD0FA1">
        <w:instrText xml:space="preserve"> SEQ Figure \* ARABIC </w:instrText>
      </w:r>
      <w:r w:rsidR="00DD0FA1">
        <w:fldChar w:fldCharType="separate"/>
      </w:r>
      <w:r w:rsidR="000C4199">
        <w:rPr>
          <w:noProof/>
        </w:rPr>
        <w:t>5</w:t>
      </w:r>
      <w:r w:rsidR="00DD0FA1">
        <w:rPr>
          <w:noProof/>
        </w:rPr>
        <w:fldChar w:fldCharType="end"/>
      </w:r>
      <w:bookmarkEnd w:id="25"/>
      <w:r>
        <w:tab/>
        <w:t>Average MTFP index scores for 2006</w:t>
      </w:r>
      <w:r w:rsidR="00376F24">
        <w:t>–</w:t>
      </w:r>
      <w:r w:rsidR="00546C6E">
        <w:t>13</w:t>
      </w:r>
      <w:r w:rsidR="00614056">
        <w:rPr>
          <w:rStyle w:val="FootnoteReference"/>
        </w:rPr>
        <w:footnoteReference w:id="8"/>
      </w:r>
    </w:p>
    <w:p w:rsidR="00F25CCB" w:rsidRDefault="002B1B59" w:rsidP="00097111">
      <w:pPr>
        <w:jc w:val="center"/>
      </w:pPr>
      <w:r w:rsidRPr="005B67B4">
        <w:t xml:space="preserve"> </w:t>
      </w:r>
      <w:r w:rsidR="00614056" w:rsidRPr="00614056">
        <w:rPr>
          <w:noProof/>
          <w:lang w:eastAsia="en-AU"/>
        </w:rPr>
        <w:drawing>
          <wp:anchor distT="0" distB="0" distL="114300" distR="114300" simplePos="0" relativeHeight="251674624" behindDoc="0" locked="0" layoutInCell="1" allowOverlap="1" wp14:anchorId="34A51D14" wp14:editId="3D594EC6">
            <wp:simplePos x="0" y="0"/>
            <wp:positionH relativeFrom="column">
              <wp:posOffset>152400</wp:posOffset>
            </wp:positionH>
            <wp:positionV relativeFrom="paragraph">
              <wp:posOffset>152400</wp:posOffset>
            </wp:positionV>
            <wp:extent cx="4870824" cy="2916000"/>
            <wp:effectExtent l="0" t="0" r="6350" b="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70824" cy="291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1F1B" w:rsidRDefault="007B1F1B" w:rsidP="007B1F1B">
      <w:pPr>
        <w:pStyle w:val="Heading2"/>
      </w:pPr>
      <w:r>
        <w:t>Observations for 2013–14</w:t>
      </w:r>
    </w:p>
    <w:p w:rsidR="005D60E3" w:rsidRDefault="005D60E3" w:rsidP="005D60E3">
      <w:r>
        <w:t xml:space="preserve">A requirement of the annual benchmarking report is to present each TNSP’s relative efficiency over a </w:t>
      </w:r>
      <w:proofErr w:type="gramStart"/>
      <w:r>
        <w:t>twelve month</w:t>
      </w:r>
      <w:proofErr w:type="gramEnd"/>
      <w:r>
        <w:t xml:space="preserve"> period. This section compares each TNSP’s MTFP performance in 2014. It also compares each TNSP’s average performance over the 2006–14 </w:t>
      </w:r>
      <w:proofErr w:type="gramStart"/>
      <w:r>
        <w:t>period</w:t>
      </w:r>
      <w:proofErr w:type="gramEnd"/>
      <w:r>
        <w:t xml:space="preserve"> because one off factors in a particular year can influence the results. It is, therefore, important to look at performance over a longer </w:t>
      </w:r>
      <w:proofErr w:type="gramStart"/>
      <w:r>
        <w:t>period of time</w:t>
      </w:r>
      <w:proofErr w:type="gramEnd"/>
      <w:r>
        <w:t>.</w:t>
      </w:r>
    </w:p>
    <w:p w:rsidR="00CE36A8" w:rsidRDefault="00550989" w:rsidP="00A21A46">
      <w:r>
        <w:fldChar w:fldCharType="begin"/>
      </w:r>
      <w:r>
        <w:instrText xml:space="preserve"> REF _Ref432692634 \h </w:instrText>
      </w:r>
      <w:r>
        <w:fldChar w:fldCharType="separate"/>
      </w:r>
      <w:r w:rsidR="000C4199" w:rsidRPr="00B33BF0">
        <w:t xml:space="preserve">Table </w:t>
      </w:r>
      <w:r w:rsidR="000C4199">
        <w:rPr>
          <w:noProof/>
        </w:rPr>
        <w:t>1</w:t>
      </w:r>
      <w:r>
        <w:fldChar w:fldCharType="end"/>
      </w:r>
      <w:r w:rsidR="003A5A7D">
        <w:t xml:space="preserve"> ranks each </w:t>
      </w:r>
      <w:r w:rsidR="002B1B59">
        <w:t>T</w:t>
      </w:r>
      <w:r>
        <w:t xml:space="preserve">NSP according to </w:t>
      </w:r>
      <w:r w:rsidR="004E2E3C">
        <w:t>its</w:t>
      </w:r>
      <w:r>
        <w:t xml:space="preserve"> </w:t>
      </w:r>
      <w:r w:rsidR="004E2E3C">
        <w:t>period-average MTFP score and its 2014 score</w:t>
      </w:r>
      <w:r w:rsidR="00E63EFB">
        <w:t>.</w:t>
      </w:r>
      <w:r w:rsidR="004E2E3C">
        <w:t xml:space="preserve"> </w:t>
      </w:r>
      <w:r w:rsidR="000C12D9">
        <w:t>T</w:t>
      </w:r>
      <w:r w:rsidR="0042011A" w:rsidRPr="0042011A">
        <w:t>he rankings in this table are indicative</w:t>
      </w:r>
      <w:r w:rsidR="000C12D9">
        <w:t xml:space="preserve"> only</w:t>
      </w:r>
      <w:r w:rsidR="0042011A" w:rsidRPr="0042011A">
        <w:t xml:space="preserve"> because</w:t>
      </w:r>
      <w:r w:rsidR="000C12D9">
        <w:t>,</w:t>
      </w:r>
      <w:r w:rsidR="0042011A" w:rsidRPr="0042011A">
        <w:t xml:space="preserve"> as outlined in section 2.4, </w:t>
      </w:r>
      <w:r w:rsidR="000C12D9">
        <w:t xml:space="preserve">there </w:t>
      </w:r>
      <w:r w:rsidR="0042011A" w:rsidRPr="0042011A">
        <w:t xml:space="preserve">may be </w:t>
      </w:r>
      <w:r w:rsidR="00E21DF4">
        <w:t>other operating environment variables not captured in the MTFP model</w:t>
      </w:r>
      <w:r w:rsidR="0042011A" w:rsidRPr="0042011A">
        <w:t>.</w:t>
      </w:r>
    </w:p>
    <w:p w:rsidR="00CE36A8" w:rsidRDefault="00CE36A8">
      <w:pPr>
        <w:spacing w:line="240" w:lineRule="auto"/>
      </w:pPr>
      <w:r>
        <w:br w:type="page"/>
      </w:r>
    </w:p>
    <w:p w:rsidR="00550989" w:rsidRDefault="00550989" w:rsidP="00A21A46"/>
    <w:p w:rsidR="00A21A46" w:rsidRPr="00A21A46" w:rsidRDefault="000A77A7" w:rsidP="00A75AB2">
      <w:pPr>
        <w:pStyle w:val="Caption"/>
      </w:pPr>
      <w:bookmarkStart w:id="26" w:name="_Ref432692634"/>
      <w:r w:rsidRPr="00B33BF0">
        <w:t xml:space="preserve">Table </w:t>
      </w:r>
      <w:r w:rsidRPr="00120085">
        <w:fldChar w:fldCharType="begin"/>
      </w:r>
      <w:r>
        <w:instrText xml:space="preserve"> SEQ Table \* ARABIC </w:instrText>
      </w:r>
      <w:r w:rsidRPr="00120085">
        <w:fldChar w:fldCharType="separate"/>
      </w:r>
      <w:r w:rsidR="000C4199">
        <w:rPr>
          <w:noProof/>
        </w:rPr>
        <w:t>1</w:t>
      </w:r>
      <w:r w:rsidRPr="00120085">
        <w:fldChar w:fldCharType="end"/>
      </w:r>
      <w:bookmarkEnd w:id="26"/>
      <w:r w:rsidRPr="00B33BF0">
        <w:tab/>
      </w:r>
      <w:r w:rsidR="002B1B59">
        <w:t>T</w:t>
      </w:r>
      <w:r>
        <w:t xml:space="preserve">NSP MTFP rankings for 2014 </w:t>
      </w:r>
      <w:r w:rsidR="00550989">
        <w:t xml:space="preserve">and </w:t>
      </w:r>
      <w:proofErr w:type="gramStart"/>
      <w:r w:rsidR="00341258">
        <w:t>period-average</w:t>
      </w:r>
      <w:proofErr w:type="gramEnd"/>
    </w:p>
    <w:tbl>
      <w:tblPr>
        <w:tblStyle w:val="AERtable-numbers"/>
        <w:tblW w:w="5036" w:type="pct"/>
        <w:tblLook w:val="04A0" w:firstRow="1" w:lastRow="0" w:firstColumn="1" w:lastColumn="0" w:noHBand="0" w:noVBand="1"/>
      </w:tblPr>
      <w:tblGrid>
        <w:gridCol w:w="1659"/>
        <w:gridCol w:w="1426"/>
        <w:gridCol w:w="1426"/>
        <w:gridCol w:w="1417"/>
        <w:gridCol w:w="1417"/>
        <w:gridCol w:w="1411"/>
      </w:tblGrid>
      <w:tr w:rsidR="000A4626" w:rsidTr="000A46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tcPr>
          <w:p w:rsidR="000A4626" w:rsidRDefault="002B1B59" w:rsidP="00550989">
            <w:r>
              <w:t>T</w:t>
            </w:r>
            <w:r w:rsidR="000A4626">
              <w:t>NSP</w:t>
            </w:r>
          </w:p>
        </w:tc>
        <w:tc>
          <w:tcPr>
            <w:tcW w:w="814" w:type="pct"/>
          </w:tcPr>
          <w:p w:rsidR="000A4626" w:rsidRDefault="000A4626" w:rsidP="000A4626">
            <w:pPr>
              <w:cnfStyle w:val="100000000000" w:firstRow="1" w:lastRow="0" w:firstColumn="0" w:lastColumn="0" w:oddVBand="0" w:evenVBand="0" w:oddHBand="0" w:evenHBand="0" w:firstRowFirstColumn="0" w:firstRowLastColumn="0" w:lastRowFirstColumn="0" w:lastRowLastColumn="0"/>
            </w:pPr>
            <w:r>
              <w:t>Average Rank</w:t>
            </w:r>
          </w:p>
        </w:tc>
        <w:tc>
          <w:tcPr>
            <w:tcW w:w="814" w:type="pct"/>
          </w:tcPr>
          <w:p w:rsidR="000A4626" w:rsidRDefault="000A4626" w:rsidP="00550989">
            <w:pPr>
              <w:cnfStyle w:val="100000000000" w:firstRow="1" w:lastRow="0" w:firstColumn="0" w:lastColumn="0" w:oddVBand="0" w:evenVBand="0" w:oddHBand="0" w:evenHBand="0" w:firstRowFirstColumn="0" w:firstRowLastColumn="0" w:lastRowFirstColumn="0" w:lastRowLastColumn="0"/>
            </w:pPr>
            <w:r>
              <w:t>2014 Rank</w:t>
            </w:r>
          </w:p>
        </w:tc>
        <w:tc>
          <w:tcPr>
            <w:tcW w:w="809" w:type="pct"/>
          </w:tcPr>
          <w:p w:rsidR="000A4626" w:rsidRDefault="000A4626" w:rsidP="00550989">
            <w:pPr>
              <w:cnfStyle w:val="100000000000" w:firstRow="1" w:lastRow="0" w:firstColumn="0" w:lastColumn="0" w:oddVBand="0" w:evenVBand="0" w:oddHBand="0" w:evenHBand="0" w:firstRowFirstColumn="0" w:firstRowLastColumn="0" w:lastRowFirstColumn="0" w:lastRowLastColumn="0"/>
            </w:pPr>
            <w:r>
              <w:t>Average Score</w:t>
            </w:r>
          </w:p>
        </w:tc>
        <w:tc>
          <w:tcPr>
            <w:tcW w:w="809" w:type="pct"/>
          </w:tcPr>
          <w:p w:rsidR="000A4626" w:rsidRDefault="000A4626" w:rsidP="00550989">
            <w:pPr>
              <w:cnfStyle w:val="100000000000" w:firstRow="1" w:lastRow="0" w:firstColumn="0" w:lastColumn="0" w:oddVBand="0" w:evenVBand="0" w:oddHBand="0" w:evenHBand="0" w:firstRowFirstColumn="0" w:firstRowLastColumn="0" w:lastRowFirstColumn="0" w:lastRowLastColumn="0"/>
            </w:pPr>
            <w:r>
              <w:t>2014 Score</w:t>
            </w:r>
          </w:p>
        </w:tc>
        <w:tc>
          <w:tcPr>
            <w:tcW w:w="806" w:type="pct"/>
          </w:tcPr>
          <w:p w:rsidR="000A4626" w:rsidRDefault="000A4626" w:rsidP="00550989">
            <w:pPr>
              <w:cnfStyle w:val="100000000000" w:firstRow="1" w:lastRow="0" w:firstColumn="0" w:lastColumn="0" w:oddVBand="0" w:evenVBand="0" w:oddHBand="0" w:evenHBand="0" w:firstRowFirstColumn="0" w:firstRowLastColumn="0" w:lastRowFirstColumn="0" w:lastRowLastColumn="0"/>
            </w:pPr>
            <w:r>
              <w:t>2014 % change</w:t>
            </w:r>
          </w:p>
        </w:tc>
      </w:tr>
      <w:tr w:rsidR="00614056" w:rsidTr="00097111">
        <w:tc>
          <w:tcPr>
            <w:cnfStyle w:val="001000000000" w:firstRow="0" w:lastRow="0" w:firstColumn="1" w:lastColumn="0" w:oddVBand="0" w:evenVBand="0" w:oddHBand="0" w:evenHBand="0" w:firstRowFirstColumn="0" w:firstRowLastColumn="0" w:lastRowFirstColumn="0" w:lastRowLastColumn="0"/>
            <w:tcW w:w="947" w:type="pct"/>
            <w:vAlign w:val="top"/>
          </w:tcPr>
          <w:p w:rsidR="00614056" w:rsidRPr="000A4626" w:rsidRDefault="00614056" w:rsidP="00B442EE">
            <w:pPr>
              <w:rPr>
                <w:bCs/>
              </w:rPr>
            </w:pPr>
            <w:proofErr w:type="spellStart"/>
            <w:r w:rsidRPr="000E556D">
              <w:t>TasNetworks</w:t>
            </w:r>
            <w:proofErr w:type="spellEnd"/>
            <w:r w:rsidRPr="000E556D">
              <w:t xml:space="preserve"> </w:t>
            </w:r>
          </w:p>
        </w:tc>
        <w:tc>
          <w:tcPr>
            <w:tcW w:w="814" w:type="pct"/>
          </w:tcPr>
          <w:p w:rsidR="00614056" w:rsidRDefault="00614056" w:rsidP="00097111">
            <w:pPr>
              <w:jc w:val="center"/>
              <w:cnfStyle w:val="000000000000" w:firstRow="0" w:lastRow="0" w:firstColumn="0" w:lastColumn="0" w:oddVBand="0" w:evenVBand="0" w:oddHBand="0" w:evenHBand="0" w:firstRowFirstColumn="0" w:firstRowLastColumn="0" w:lastRowFirstColumn="0" w:lastRowLastColumn="0"/>
            </w:pPr>
            <w:r>
              <w:t>1</w:t>
            </w:r>
          </w:p>
        </w:tc>
        <w:tc>
          <w:tcPr>
            <w:tcW w:w="814" w:type="pct"/>
            <w:vAlign w:val="top"/>
          </w:tcPr>
          <w:p w:rsidR="00614056" w:rsidRDefault="00614056" w:rsidP="00097111">
            <w:pPr>
              <w:jc w:val="center"/>
              <w:cnfStyle w:val="000000000000" w:firstRow="0" w:lastRow="0" w:firstColumn="0" w:lastColumn="0" w:oddVBand="0" w:evenVBand="0" w:oddHBand="0" w:evenHBand="0" w:firstRowFirstColumn="0" w:firstRowLastColumn="0" w:lastRowFirstColumn="0" w:lastRowLastColumn="0"/>
            </w:pPr>
            <w:r>
              <w:t>1</w:t>
            </w:r>
          </w:p>
        </w:tc>
        <w:tc>
          <w:tcPr>
            <w:tcW w:w="809" w:type="pct"/>
            <w:vAlign w:val="top"/>
          </w:tcPr>
          <w:p w:rsidR="00614056" w:rsidRPr="009C302E" w:rsidRDefault="00614056" w:rsidP="00097111">
            <w:pPr>
              <w:jc w:val="center"/>
              <w:cnfStyle w:val="000000000000" w:firstRow="0" w:lastRow="0" w:firstColumn="0" w:lastColumn="0" w:oddVBand="0" w:evenVBand="0" w:oddHBand="0" w:evenHBand="0" w:firstRowFirstColumn="0" w:firstRowLastColumn="0" w:lastRowFirstColumn="0" w:lastRowLastColumn="0"/>
            </w:pPr>
            <w:r w:rsidRPr="004E6E3A">
              <w:t>1.113</w:t>
            </w:r>
          </w:p>
        </w:tc>
        <w:tc>
          <w:tcPr>
            <w:tcW w:w="809" w:type="pct"/>
            <w:vAlign w:val="top"/>
          </w:tcPr>
          <w:p w:rsidR="00614056" w:rsidRPr="005E0E3B" w:rsidRDefault="00614056" w:rsidP="00097111">
            <w:pPr>
              <w:jc w:val="center"/>
              <w:cnfStyle w:val="000000000000" w:firstRow="0" w:lastRow="0" w:firstColumn="0" w:lastColumn="0" w:oddVBand="0" w:evenVBand="0" w:oddHBand="0" w:evenHBand="0" w:firstRowFirstColumn="0" w:firstRowLastColumn="0" w:lastRowFirstColumn="0" w:lastRowLastColumn="0"/>
            </w:pPr>
            <w:r w:rsidRPr="00911FD8">
              <w:t>1.114</w:t>
            </w:r>
          </w:p>
        </w:tc>
        <w:tc>
          <w:tcPr>
            <w:tcW w:w="806" w:type="pct"/>
            <w:vAlign w:val="top"/>
          </w:tcPr>
          <w:p w:rsidR="00614056" w:rsidRDefault="00614056" w:rsidP="00097111">
            <w:pPr>
              <w:jc w:val="center"/>
              <w:cnfStyle w:val="000000000000" w:firstRow="0" w:lastRow="0" w:firstColumn="0" w:lastColumn="0" w:oddVBand="0" w:evenVBand="0" w:oddHBand="0" w:evenHBand="0" w:firstRowFirstColumn="0" w:firstRowLastColumn="0" w:lastRowFirstColumn="0" w:lastRowLastColumn="0"/>
              <w:rPr>
                <w:b/>
                <w:bCs/>
              </w:rPr>
            </w:pPr>
            <w:r w:rsidRPr="00B06EEC">
              <w:t>10.6%</w:t>
            </w:r>
          </w:p>
        </w:tc>
      </w:tr>
      <w:tr w:rsidR="00614056" w:rsidTr="000971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vAlign w:val="top"/>
          </w:tcPr>
          <w:p w:rsidR="00614056" w:rsidRPr="000A4626" w:rsidRDefault="00614056" w:rsidP="00280AE2">
            <w:pPr>
              <w:rPr>
                <w:bCs/>
              </w:rPr>
            </w:pPr>
            <w:proofErr w:type="spellStart"/>
            <w:r w:rsidRPr="000E556D">
              <w:t>ElectraNet</w:t>
            </w:r>
            <w:proofErr w:type="spellEnd"/>
            <w:r w:rsidRPr="000E556D">
              <w:t xml:space="preserve"> </w:t>
            </w:r>
          </w:p>
        </w:tc>
        <w:tc>
          <w:tcPr>
            <w:tcW w:w="814" w:type="pct"/>
          </w:tcPr>
          <w:p w:rsidR="00614056" w:rsidRDefault="00614056" w:rsidP="00097111">
            <w:pPr>
              <w:jc w:val="center"/>
              <w:cnfStyle w:val="000000010000" w:firstRow="0" w:lastRow="0" w:firstColumn="0" w:lastColumn="0" w:oddVBand="0" w:evenVBand="0" w:oddHBand="0" w:evenHBand="1" w:firstRowFirstColumn="0" w:firstRowLastColumn="0" w:lastRowFirstColumn="0" w:lastRowLastColumn="0"/>
            </w:pPr>
            <w:r>
              <w:t>2</w:t>
            </w:r>
          </w:p>
        </w:tc>
        <w:tc>
          <w:tcPr>
            <w:tcW w:w="814" w:type="pct"/>
            <w:vAlign w:val="top"/>
          </w:tcPr>
          <w:p w:rsidR="00614056" w:rsidRDefault="00614056" w:rsidP="00097111">
            <w:pPr>
              <w:jc w:val="center"/>
              <w:cnfStyle w:val="000000010000" w:firstRow="0" w:lastRow="0" w:firstColumn="0" w:lastColumn="0" w:oddVBand="0" w:evenVBand="0" w:oddHBand="0" w:evenHBand="1" w:firstRowFirstColumn="0" w:firstRowLastColumn="0" w:lastRowFirstColumn="0" w:lastRowLastColumn="0"/>
            </w:pPr>
            <w:r>
              <w:t>2</w:t>
            </w:r>
          </w:p>
        </w:tc>
        <w:tc>
          <w:tcPr>
            <w:tcW w:w="809" w:type="pct"/>
            <w:vAlign w:val="top"/>
          </w:tcPr>
          <w:p w:rsidR="00614056" w:rsidRPr="009C302E" w:rsidRDefault="00614056" w:rsidP="00097111">
            <w:pPr>
              <w:jc w:val="center"/>
              <w:cnfStyle w:val="000000010000" w:firstRow="0" w:lastRow="0" w:firstColumn="0" w:lastColumn="0" w:oddVBand="0" w:evenVBand="0" w:oddHBand="0" w:evenHBand="1" w:firstRowFirstColumn="0" w:firstRowLastColumn="0" w:lastRowFirstColumn="0" w:lastRowLastColumn="0"/>
            </w:pPr>
            <w:r w:rsidRPr="004E6E3A">
              <w:t>0.936</w:t>
            </w:r>
          </w:p>
        </w:tc>
        <w:tc>
          <w:tcPr>
            <w:tcW w:w="809" w:type="pct"/>
            <w:vAlign w:val="top"/>
          </w:tcPr>
          <w:p w:rsidR="00614056" w:rsidRPr="005E0E3B" w:rsidRDefault="00614056" w:rsidP="00097111">
            <w:pPr>
              <w:jc w:val="center"/>
              <w:cnfStyle w:val="000000010000" w:firstRow="0" w:lastRow="0" w:firstColumn="0" w:lastColumn="0" w:oddVBand="0" w:evenVBand="0" w:oddHBand="0" w:evenHBand="1" w:firstRowFirstColumn="0" w:firstRowLastColumn="0" w:lastRowFirstColumn="0" w:lastRowLastColumn="0"/>
            </w:pPr>
            <w:r w:rsidRPr="00911FD8">
              <w:t>0.841</w:t>
            </w:r>
          </w:p>
        </w:tc>
        <w:tc>
          <w:tcPr>
            <w:tcW w:w="806" w:type="pct"/>
            <w:vAlign w:val="top"/>
          </w:tcPr>
          <w:p w:rsidR="00614056" w:rsidRDefault="00614056" w:rsidP="00097111">
            <w:pPr>
              <w:jc w:val="center"/>
              <w:cnfStyle w:val="000000010000" w:firstRow="0" w:lastRow="0" w:firstColumn="0" w:lastColumn="0" w:oddVBand="0" w:evenVBand="0" w:oddHBand="0" w:evenHBand="1" w:firstRowFirstColumn="0" w:firstRowLastColumn="0" w:lastRowFirstColumn="0" w:lastRowLastColumn="0"/>
              <w:rPr>
                <w:b/>
                <w:bCs/>
              </w:rPr>
            </w:pPr>
            <w:r w:rsidRPr="00B06EEC">
              <w:t>-0.4%</w:t>
            </w:r>
          </w:p>
        </w:tc>
      </w:tr>
      <w:tr w:rsidR="00614056" w:rsidTr="00097111">
        <w:tc>
          <w:tcPr>
            <w:cnfStyle w:val="001000000000" w:firstRow="0" w:lastRow="0" w:firstColumn="1" w:lastColumn="0" w:oddVBand="0" w:evenVBand="0" w:oddHBand="0" w:evenHBand="0" w:firstRowFirstColumn="0" w:firstRowLastColumn="0" w:lastRowFirstColumn="0" w:lastRowLastColumn="0"/>
            <w:tcW w:w="947" w:type="pct"/>
            <w:vAlign w:val="top"/>
          </w:tcPr>
          <w:p w:rsidR="00614056" w:rsidRDefault="00614056" w:rsidP="00230668">
            <w:pPr>
              <w:rPr>
                <w:b/>
                <w:bCs/>
              </w:rPr>
            </w:pPr>
            <w:proofErr w:type="spellStart"/>
            <w:r w:rsidRPr="000E556D">
              <w:t>TransGrid</w:t>
            </w:r>
            <w:proofErr w:type="spellEnd"/>
            <w:r w:rsidRPr="000E556D" w:rsidDel="00280AE2">
              <w:t xml:space="preserve"> </w:t>
            </w:r>
          </w:p>
        </w:tc>
        <w:tc>
          <w:tcPr>
            <w:tcW w:w="814" w:type="pct"/>
          </w:tcPr>
          <w:p w:rsidR="00614056" w:rsidRDefault="00614056" w:rsidP="00097111">
            <w:pPr>
              <w:jc w:val="center"/>
              <w:cnfStyle w:val="000000000000" w:firstRow="0" w:lastRow="0" w:firstColumn="0" w:lastColumn="0" w:oddVBand="0" w:evenVBand="0" w:oddHBand="0" w:evenHBand="0" w:firstRowFirstColumn="0" w:firstRowLastColumn="0" w:lastRowFirstColumn="0" w:lastRowLastColumn="0"/>
            </w:pPr>
            <w:r>
              <w:t>3</w:t>
            </w:r>
          </w:p>
        </w:tc>
        <w:tc>
          <w:tcPr>
            <w:tcW w:w="814" w:type="pct"/>
            <w:vAlign w:val="top"/>
          </w:tcPr>
          <w:p w:rsidR="00614056" w:rsidRDefault="00614056" w:rsidP="00097111">
            <w:pPr>
              <w:jc w:val="center"/>
              <w:cnfStyle w:val="000000000000" w:firstRow="0" w:lastRow="0" w:firstColumn="0" w:lastColumn="0" w:oddVBand="0" w:evenVBand="0" w:oddHBand="0" w:evenHBand="0" w:firstRowFirstColumn="0" w:firstRowLastColumn="0" w:lastRowFirstColumn="0" w:lastRowLastColumn="0"/>
            </w:pPr>
            <w:r>
              <w:t>5</w:t>
            </w:r>
          </w:p>
        </w:tc>
        <w:tc>
          <w:tcPr>
            <w:tcW w:w="809" w:type="pct"/>
            <w:vAlign w:val="top"/>
          </w:tcPr>
          <w:p w:rsidR="00614056" w:rsidRPr="009C302E" w:rsidRDefault="00614056" w:rsidP="00097111">
            <w:pPr>
              <w:jc w:val="center"/>
              <w:cnfStyle w:val="000000000000" w:firstRow="0" w:lastRow="0" w:firstColumn="0" w:lastColumn="0" w:oddVBand="0" w:evenVBand="0" w:oddHBand="0" w:evenHBand="0" w:firstRowFirstColumn="0" w:firstRowLastColumn="0" w:lastRowFirstColumn="0" w:lastRowLastColumn="0"/>
            </w:pPr>
            <w:r w:rsidRPr="004E6E3A">
              <w:t>0.786</w:t>
            </w:r>
          </w:p>
        </w:tc>
        <w:tc>
          <w:tcPr>
            <w:tcW w:w="809" w:type="pct"/>
            <w:vAlign w:val="top"/>
          </w:tcPr>
          <w:p w:rsidR="00614056" w:rsidRPr="005E0E3B" w:rsidRDefault="00614056" w:rsidP="00097111">
            <w:pPr>
              <w:jc w:val="center"/>
              <w:cnfStyle w:val="000000000000" w:firstRow="0" w:lastRow="0" w:firstColumn="0" w:lastColumn="0" w:oddVBand="0" w:evenVBand="0" w:oddHBand="0" w:evenHBand="0" w:firstRowFirstColumn="0" w:firstRowLastColumn="0" w:lastRowFirstColumn="0" w:lastRowLastColumn="0"/>
            </w:pPr>
            <w:r w:rsidRPr="00911FD8">
              <w:t>0.707</w:t>
            </w:r>
          </w:p>
        </w:tc>
        <w:tc>
          <w:tcPr>
            <w:tcW w:w="806" w:type="pct"/>
            <w:vAlign w:val="top"/>
          </w:tcPr>
          <w:p w:rsidR="00614056" w:rsidRDefault="00614056" w:rsidP="00097111">
            <w:pPr>
              <w:jc w:val="center"/>
              <w:cnfStyle w:val="000000000000" w:firstRow="0" w:lastRow="0" w:firstColumn="0" w:lastColumn="0" w:oddVBand="0" w:evenVBand="0" w:oddHBand="0" w:evenHBand="0" w:firstRowFirstColumn="0" w:firstRowLastColumn="0" w:lastRowFirstColumn="0" w:lastRowLastColumn="0"/>
              <w:rPr>
                <w:b/>
                <w:bCs/>
              </w:rPr>
            </w:pPr>
            <w:r w:rsidRPr="00B06EEC">
              <w:t>-4.8%</w:t>
            </w:r>
          </w:p>
        </w:tc>
      </w:tr>
      <w:tr w:rsidR="00614056" w:rsidTr="000971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vAlign w:val="top"/>
          </w:tcPr>
          <w:p w:rsidR="00614056" w:rsidRDefault="00614056" w:rsidP="007D1A44">
            <w:pPr>
              <w:rPr>
                <w:b/>
                <w:bCs/>
              </w:rPr>
            </w:pPr>
            <w:r w:rsidRPr="000E556D">
              <w:t>Powerlink</w:t>
            </w:r>
            <w:r w:rsidRPr="000E556D" w:rsidDel="00B442EE">
              <w:t xml:space="preserve"> </w:t>
            </w:r>
          </w:p>
        </w:tc>
        <w:tc>
          <w:tcPr>
            <w:tcW w:w="814" w:type="pct"/>
          </w:tcPr>
          <w:p w:rsidR="00614056" w:rsidRDefault="00614056" w:rsidP="00097111">
            <w:pPr>
              <w:jc w:val="center"/>
              <w:cnfStyle w:val="000000010000" w:firstRow="0" w:lastRow="0" w:firstColumn="0" w:lastColumn="0" w:oddVBand="0" w:evenVBand="0" w:oddHBand="0" w:evenHBand="1" w:firstRowFirstColumn="0" w:firstRowLastColumn="0" w:lastRowFirstColumn="0" w:lastRowLastColumn="0"/>
            </w:pPr>
            <w:r>
              <w:t>4</w:t>
            </w:r>
          </w:p>
        </w:tc>
        <w:tc>
          <w:tcPr>
            <w:tcW w:w="814" w:type="pct"/>
            <w:vAlign w:val="top"/>
          </w:tcPr>
          <w:p w:rsidR="00614056" w:rsidRDefault="00614056" w:rsidP="00097111">
            <w:pPr>
              <w:jc w:val="center"/>
              <w:cnfStyle w:val="000000010000" w:firstRow="0" w:lastRow="0" w:firstColumn="0" w:lastColumn="0" w:oddVBand="0" w:evenVBand="0" w:oddHBand="0" w:evenHBand="1" w:firstRowFirstColumn="0" w:firstRowLastColumn="0" w:lastRowFirstColumn="0" w:lastRowLastColumn="0"/>
            </w:pPr>
            <w:r>
              <w:t>4</w:t>
            </w:r>
          </w:p>
        </w:tc>
        <w:tc>
          <w:tcPr>
            <w:tcW w:w="809" w:type="pct"/>
            <w:vAlign w:val="top"/>
          </w:tcPr>
          <w:p w:rsidR="00614056" w:rsidRPr="009C302E" w:rsidRDefault="00614056" w:rsidP="00097111">
            <w:pPr>
              <w:jc w:val="center"/>
              <w:cnfStyle w:val="000000010000" w:firstRow="0" w:lastRow="0" w:firstColumn="0" w:lastColumn="0" w:oddVBand="0" w:evenVBand="0" w:oddHBand="0" w:evenHBand="1" w:firstRowFirstColumn="0" w:firstRowLastColumn="0" w:lastRowFirstColumn="0" w:lastRowLastColumn="0"/>
            </w:pPr>
            <w:r w:rsidRPr="004E6E3A">
              <w:t>0.781</w:t>
            </w:r>
          </w:p>
        </w:tc>
        <w:tc>
          <w:tcPr>
            <w:tcW w:w="809" w:type="pct"/>
            <w:vAlign w:val="top"/>
          </w:tcPr>
          <w:p w:rsidR="00614056" w:rsidRPr="005E0E3B" w:rsidRDefault="00614056" w:rsidP="00097111">
            <w:pPr>
              <w:jc w:val="center"/>
              <w:cnfStyle w:val="000000010000" w:firstRow="0" w:lastRow="0" w:firstColumn="0" w:lastColumn="0" w:oddVBand="0" w:evenVBand="0" w:oddHBand="0" w:evenHBand="1" w:firstRowFirstColumn="0" w:firstRowLastColumn="0" w:lastRowFirstColumn="0" w:lastRowLastColumn="0"/>
            </w:pPr>
            <w:r w:rsidRPr="00911FD8">
              <w:t>0.729</w:t>
            </w:r>
          </w:p>
        </w:tc>
        <w:tc>
          <w:tcPr>
            <w:tcW w:w="806" w:type="pct"/>
            <w:vAlign w:val="top"/>
          </w:tcPr>
          <w:p w:rsidR="00614056" w:rsidRDefault="00614056" w:rsidP="00097111">
            <w:pPr>
              <w:jc w:val="center"/>
              <w:cnfStyle w:val="000000010000" w:firstRow="0" w:lastRow="0" w:firstColumn="0" w:lastColumn="0" w:oddVBand="0" w:evenVBand="0" w:oddHBand="0" w:evenHBand="1" w:firstRowFirstColumn="0" w:firstRowLastColumn="0" w:lastRowFirstColumn="0" w:lastRowLastColumn="0"/>
              <w:rPr>
                <w:b/>
                <w:bCs/>
              </w:rPr>
            </w:pPr>
            <w:r w:rsidRPr="00B06EEC">
              <w:t>-4.9%</w:t>
            </w:r>
          </w:p>
        </w:tc>
      </w:tr>
      <w:tr w:rsidR="00614056" w:rsidRPr="00341258" w:rsidTr="00097111">
        <w:tc>
          <w:tcPr>
            <w:cnfStyle w:val="001000000000" w:firstRow="0" w:lastRow="0" w:firstColumn="1" w:lastColumn="0" w:oddVBand="0" w:evenVBand="0" w:oddHBand="0" w:evenHBand="0" w:firstRowFirstColumn="0" w:firstRowLastColumn="0" w:lastRowFirstColumn="0" w:lastRowLastColumn="0"/>
            <w:tcW w:w="947" w:type="pct"/>
            <w:vAlign w:val="top"/>
          </w:tcPr>
          <w:p w:rsidR="00614056" w:rsidRPr="00341258" w:rsidRDefault="00614056" w:rsidP="00280AE2">
            <w:pPr>
              <w:rPr>
                <w:rStyle w:val="Strong"/>
                <w:b w:val="0"/>
              </w:rPr>
            </w:pPr>
            <w:proofErr w:type="spellStart"/>
            <w:r w:rsidRPr="000E556D">
              <w:t>AusNet</w:t>
            </w:r>
            <w:proofErr w:type="spellEnd"/>
            <w:r w:rsidRPr="000E556D">
              <w:t xml:space="preserve"> Services </w:t>
            </w:r>
          </w:p>
        </w:tc>
        <w:tc>
          <w:tcPr>
            <w:tcW w:w="814" w:type="pct"/>
          </w:tcPr>
          <w:p w:rsidR="00614056" w:rsidRPr="00341258" w:rsidRDefault="00614056" w:rsidP="00097111">
            <w:pPr>
              <w:jc w:val="center"/>
              <w:cnfStyle w:val="000000000000" w:firstRow="0" w:lastRow="0" w:firstColumn="0" w:lastColumn="0" w:oddVBand="0" w:evenVBand="0" w:oddHBand="0" w:evenHBand="0" w:firstRowFirstColumn="0" w:firstRowLastColumn="0" w:lastRowFirstColumn="0" w:lastRowLastColumn="0"/>
              <w:rPr>
                <w:rStyle w:val="Strong"/>
                <w:rFonts w:eastAsiaTheme="minorHAnsi" w:cstheme="minorBidi"/>
                <w:b w:val="0"/>
                <w:sz w:val="22"/>
                <w:szCs w:val="22"/>
                <w:lang w:eastAsia="en-US"/>
              </w:rPr>
            </w:pPr>
            <w:r>
              <w:rPr>
                <w:rStyle w:val="Strong"/>
                <w:b w:val="0"/>
              </w:rPr>
              <w:t>5</w:t>
            </w:r>
          </w:p>
        </w:tc>
        <w:tc>
          <w:tcPr>
            <w:tcW w:w="814" w:type="pct"/>
            <w:vAlign w:val="top"/>
          </w:tcPr>
          <w:p w:rsidR="00614056" w:rsidRPr="00341258" w:rsidRDefault="00614056" w:rsidP="00097111">
            <w:pPr>
              <w:jc w:val="center"/>
              <w:cnfStyle w:val="000000000000" w:firstRow="0" w:lastRow="0" w:firstColumn="0" w:lastColumn="0" w:oddVBand="0" w:evenVBand="0" w:oddHBand="0" w:evenHBand="0" w:firstRowFirstColumn="0" w:firstRowLastColumn="0" w:lastRowFirstColumn="0" w:lastRowLastColumn="0"/>
              <w:rPr>
                <w:rStyle w:val="Strong"/>
                <w:rFonts w:eastAsiaTheme="minorHAnsi" w:cstheme="minorBidi"/>
                <w:b w:val="0"/>
                <w:sz w:val="22"/>
                <w:szCs w:val="22"/>
                <w:lang w:eastAsia="en-US"/>
              </w:rPr>
            </w:pPr>
            <w:r>
              <w:t>3</w:t>
            </w:r>
          </w:p>
        </w:tc>
        <w:tc>
          <w:tcPr>
            <w:tcW w:w="809" w:type="pct"/>
            <w:vAlign w:val="top"/>
          </w:tcPr>
          <w:p w:rsidR="00614056" w:rsidRPr="00341258" w:rsidRDefault="00614056" w:rsidP="00097111">
            <w:pPr>
              <w:jc w:val="center"/>
              <w:cnfStyle w:val="000000000000" w:firstRow="0" w:lastRow="0" w:firstColumn="0" w:lastColumn="0" w:oddVBand="0" w:evenVBand="0" w:oddHBand="0" w:evenHBand="0" w:firstRowFirstColumn="0" w:firstRowLastColumn="0" w:lastRowFirstColumn="0" w:lastRowLastColumn="0"/>
              <w:rPr>
                <w:rStyle w:val="Strong"/>
                <w:rFonts w:eastAsiaTheme="minorHAnsi" w:cstheme="minorBidi"/>
                <w:b w:val="0"/>
                <w:sz w:val="22"/>
                <w:szCs w:val="22"/>
                <w:lang w:eastAsia="en-US"/>
              </w:rPr>
            </w:pPr>
            <w:r w:rsidRPr="004E6E3A">
              <w:t>0.730</w:t>
            </w:r>
          </w:p>
        </w:tc>
        <w:tc>
          <w:tcPr>
            <w:tcW w:w="809" w:type="pct"/>
            <w:vAlign w:val="top"/>
          </w:tcPr>
          <w:p w:rsidR="00614056" w:rsidRPr="00341258" w:rsidRDefault="00614056" w:rsidP="00097111">
            <w:pPr>
              <w:jc w:val="center"/>
              <w:cnfStyle w:val="000000000000" w:firstRow="0" w:lastRow="0" w:firstColumn="0" w:lastColumn="0" w:oddVBand="0" w:evenVBand="0" w:oddHBand="0" w:evenHBand="0" w:firstRowFirstColumn="0" w:firstRowLastColumn="0" w:lastRowFirstColumn="0" w:lastRowLastColumn="0"/>
              <w:rPr>
                <w:rStyle w:val="Strong"/>
                <w:rFonts w:eastAsiaTheme="minorHAnsi" w:cstheme="minorBidi"/>
                <w:b w:val="0"/>
                <w:sz w:val="22"/>
                <w:szCs w:val="22"/>
                <w:lang w:eastAsia="en-US"/>
              </w:rPr>
            </w:pPr>
            <w:r w:rsidRPr="00911FD8">
              <w:t>0.802</w:t>
            </w:r>
          </w:p>
        </w:tc>
        <w:tc>
          <w:tcPr>
            <w:tcW w:w="806" w:type="pct"/>
            <w:vAlign w:val="top"/>
          </w:tcPr>
          <w:p w:rsidR="00614056" w:rsidRPr="00341258" w:rsidRDefault="00614056" w:rsidP="00097111">
            <w:pPr>
              <w:jc w:val="center"/>
              <w:cnfStyle w:val="000000000000" w:firstRow="0" w:lastRow="0" w:firstColumn="0" w:lastColumn="0" w:oddVBand="0" w:evenVBand="0" w:oddHBand="0" w:evenHBand="0" w:firstRowFirstColumn="0" w:firstRowLastColumn="0" w:lastRowFirstColumn="0" w:lastRowLastColumn="0"/>
              <w:rPr>
                <w:rStyle w:val="Strong"/>
                <w:rFonts w:eastAsiaTheme="minorHAnsi" w:cstheme="minorBidi"/>
                <w:b w:val="0"/>
                <w:sz w:val="22"/>
                <w:szCs w:val="22"/>
                <w:lang w:eastAsia="en-US"/>
              </w:rPr>
            </w:pPr>
            <w:r w:rsidRPr="00B06EEC">
              <w:t>-2.5%</w:t>
            </w:r>
          </w:p>
        </w:tc>
      </w:tr>
    </w:tbl>
    <w:p w:rsidR="00027848" w:rsidRDefault="00E21DF4" w:rsidP="00550989">
      <w:r>
        <w:fldChar w:fldCharType="begin"/>
      </w:r>
      <w:r>
        <w:instrText xml:space="preserve"> REF _Ref432692634 \h </w:instrText>
      </w:r>
      <w:r>
        <w:fldChar w:fldCharType="separate"/>
      </w:r>
      <w:r w:rsidRPr="00B33BF0">
        <w:t xml:space="preserve">Table </w:t>
      </w:r>
      <w:r>
        <w:rPr>
          <w:noProof/>
        </w:rPr>
        <w:t>1</w:t>
      </w:r>
      <w:r>
        <w:fldChar w:fldCharType="end"/>
      </w:r>
      <w:r>
        <w:t xml:space="preserve"> also shows the percentage change in score between 2013 and 2014. </w:t>
      </w:r>
      <w:r w:rsidR="00341258">
        <w:t xml:space="preserve">The last column in </w:t>
      </w:r>
      <w:r w:rsidR="00E63EFB">
        <w:fldChar w:fldCharType="begin"/>
      </w:r>
      <w:r w:rsidR="00E63EFB">
        <w:instrText xml:space="preserve"> REF _Ref432692634 \h </w:instrText>
      </w:r>
      <w:r w:rsidR="00E63EFB">
        <w:fldChar w:fldCharType="separate"/>
      </w:r>
      <w:r w:rsidR="000C4199" w:rsidRPr="00B33BF0">
        <w:t xml:space="preserve">Table </w:t>
      </w:r>
      <w:r w:rsidR="000C4199">
        <w:rPr>
          <w:noProof/>
        </w:rPr>
        <w:t>1</w:t>
      </w:r>
      <w:r w:rsidR="00E63EFB">
        <w:fldChar w:fldCharType="end"/>
      </w:r>
      <w:r w:rsidR="002B1B59">
        <w:t xml:space="preserve"> shows the only T</w:t>
      </w:r>
      <w:r w:rsidR="00E63EFB">
        <w:t>NSP who ha</w:t>
      </w:r>
      <w:r w:rsidR="00280AE2">
        <w:t>s</w:t>
      </w:r>
      <w:r w:rsidR="00E63EFB">
        <w:t xml:space="preserve"> improved </w:t>
      </w:r>
      <w:r w:rsidR="00280AE2">
        <w:t>its</w:t>
      </w:r>
      <w:r w:rsidR="00E63EFB">
        <w:t xml:space="preserve"> productivity between 2013 and 2014 </w:t>
      </w:r>
      <w:r w:rsidR="00280AE2">
        <w:t xml:space="preserve">is </w:t>
      </w:r>
      <w:proofErr w:type="spellStart"/>
      <w:r w:rsidR="00280AE2">
        <w:t>TasNetworks</w:t>
      </w:r>
      <w:proofErr w:type="spellEnd"/>
      <w:r w:rsidR="00341258">
        <w:t xml:space="preserve">. </w:t>
      </w:r>
      <w:r w:rsidR="00550989">
        <w:t xml:space="preserve">All other </w:t>
      </w:r>
      <w:r w:rsidR="002B1B59">
        <w:t>T</w:t>
      </w:r>
      <w:r w:rsidR="00E63EFB">
        <w:t xml:space="preserve">NSPs’ </w:t>
      </w:r>
      <w:r w:rsidR="00550989">
        <w:t xml:space="preserve">MTFP performance </w:t>
      </w:r>
      <w:r w:rsidR="00376F24">
        <w:t xml:space="preserve">declined </w:t>
      </w:r>
      <w:r w:rsidR="00E056BF">
        <w:t>in 2014</w:t>
      </w:r>
      <w:r w:rsidR="00550989">
        <w:t xml:space="preserve">. </w:t>
      </w:r>
      <w:r w:rsidR="00280AE2">
        <w:t xml:space="preserve">Both Powerlink and </w:t>
      </w:r>
      <w:proofErr w:type="spellStart"/>
      <w:r w:rsidR="00280AE2">
        <w:t>TransGrid</w:t>
      </w:r>
      <w:proofErr w:type="spellEnd"/>
      <w:r w:rsidR="00280AE2">
        <w:t xml:space="preserve"> had the </w:t>
      </w:r>
      <w:r w:rsidR="00614056">
        <w:t>largest</w:t>
      </w:r>
      <w:r w:rsidR="00280AE2">
        <w:t xml:space="preserve"> </w:t>
      </w:r>
      <w:r w:rsidR="00376F24">
        <w:t>decline</w:t>
      </w:r>
      <w:r w:rsidR="00614056">
        <w:t>s</w:t>
      </w:r>
      <w:r w:rsidR="00280AE2">
        <w:t xml:space="preserve"> in productivity with fall</w:t>
      </w:r>
      <w:r w:rsidR="00614056">
        <w:t>s</w:t>
      </w:r>
      <w:r w:rsidR="00280AE2">
        <w:t xml:space="preserve"> of </w:t>
      </w:r>
      <w:r w:rsidR="00614056">
        <w:t xml:space="preserve">4.9 and </w:t>
      </w:r>
      <w:r w:rsidR="00280AE2">
        <w:t>4.8</w:t>
      </w:r>
      <w:r w:rsidR="00376F24">
        <w:t xml:space="preserve"> per cent</w:t>
      </w:r>
      <w:r w:rsidR="00614056">
        <w:t xml:space="preserve"> respectively</w:t>
      </w:r>
      <w:r w:rsidR="00550989">
        <w:t>.</w:t>
      </w:r>
      <w:r w:rsidR="00E63EFB">
        <w:t xml:space="preserve"> </w:t>
      </w:r>
      <w:proofErr w:type="spellStart"/>
      <w:r w:rsidR="00280AE2">
        <w:t>AusNet</w:t>
      </w:r>
      <w:proofErr w:type="spellEnd"/>
      <w:r w:rsidR="00280AE2">
        <w:t xml:space="preserve"> Services had a </w:t>
      </w:r>
      <w:r w:rsidR="00376F24">
        <w:t xml:space="preserve">decline of </w:t>
      </w:r>
      <w:r w:rsidR="00614056">
        <w:t>2.5</w:t>
      </w:r>
      <w:r w:rsidR="00376F24">
        <w:t xml:space="preserve"> per cent</w:t>
      </w:r>
      <w:r w:rsidR="00280AE2">
        <w:t xml:space="preserve"> and </w:t>
      </w:r>
      <w:proofErr w:type="spellStart"/>
      <w:r w:rsidR="00280AE2">
        <w:t>ElectraNet</w:t>
      </w:r>
      <w:proofErr w:type="spellEnd"/>
      <w:r w:rsidR="00280AE2">
        <w:t xml:space="preserve"> had a marginal </w:t>
      </w:r>
      <w:r w:rsidR="00376F24">
        <w:t xml:space="preserve">decline of </w:t>
      </w:r>
      <w:r w:rsidR="00280AE2">
        <w:t>0.4</w:t>
      </w:r>
      <w:r w:rsidR="00376F24">
        <w:t xml:space="preserve"> per cent</w:t>
      </w:r>
      <w:r w:rsidR="00E63EFB">
        <w:t>.</w:t>
      </w:r>
    </w:p>
    <w:p w:rsidR="000961C9" w:rsidRDefault="000961C9" w:rsidP="009452C4">
      <w:pPr>
        <w:pStyle w:val="Heading1"/>
      </w:pPr>
      <w:bookmarkStart w:id="27" w:name="_Toc435709421"/>
      <w:r>
        <w:lastRenderedPageBreak/>
        <w:t>Results from supporting techniques</w:t>
      </w:r>
      <w:bookmarkEnd w:id="27"/>
    </w:p>
    <w:p w:rsidR="000961C9" w:rsidRPr="003367D3" w:rsidRDefault="000961C9" w:rsidP="000961C9">
      <w:r>
        <w:t>For the purposes of this report, the techniques presented in this section support the MTFP results because they either measure relative efficiency of one input (MPFP) or provide a general indication of comparative performance (PPIs). They are, however, useful for assessing relative efficiency and we use all of them in our distribution determinations.</w:t>
      </w:r>
    </w:p>
    <w:p w:rsidR="000961C9" w:rsidRDefault="000961C9" w:rsidP="009452C4">
      <w:pPr>
        <w:pStyle w:val="Heading2"/>
      </w:pPr>
      <w:r>
        <w:t>Multilateral partial factor productivity</w:t>
      </w:r>
    </w:p>
    <w:p w:rsidR="000961C9" w:rsidRDefault="000961C9" w:rsidP="000961C9">
      <w:r>
        <w:t>The MPFP techniques use the same output specification (</w:t>
      </w:r>
      <w:r w:rsidRPr="000961C9">
        <w:t>energy throughput, circuit line length, ratche</w:t>
      </w:r>
      <w:r>
        <w:t xml:space="preserve">ted maximum demand, </w:t>
      </w:r>
      <w:r w:rsidRPr="000961C9">
        <w:t>voltage weighted entry and exit points and reliability</w:t>
      </w:r>
      <w:r>
        <w:t xml:space="preserve">) but examine the productivity of either </w:t>
      </w:r>
      <w:proofErr w:type="spellStart"/>
      <w:r>
        <w:t>opex</w:t>
      </w:r>
      <w:proofErr w:type="spellEnd"/>
      <w:r>
        <w:t xml:space="preserve"> or capital in isolation (rather than both). This is why they are ‘partial’ factor productivity metrics. </w:t>
      </w:r>
    </w:p>
    <w:p w:rsidR="000961C9" w:rsidRDefault="000961C9" w:rsidP="000961C9">
      <w:r>
        <w:t xml:space="preserve">Figure 5 displays capital MPFP for all TNSPs over the 2006–14 </w:t>
      </w:r>
      <w:proofErr w:type="gramStart"/>
      <w:r>
        <w:t>period</w:t>
      </w:r>
      <w:proofErr w:type="gramEnd"/>
      <w:r>
        <w:t xml:space="preserve">. The input specification is the same as the capital index in the MTFP model so it simultaneously considers the productivity of each TNSP’s use of overhead lines and underground cables and transformers. </w:t>
      </w:r>
    </w:p>
    <w:p w:rsidR="000961C9" w:rsidRDefault="000961C9" w:rsidP="009452C4">
      <w:pPr>
        <w:pStyle w:val="Caption"/>
      </w:pPr>
      <w:bookmarkStart w:id="28" w:name="_Ref435709461"/>
      <w:r>
        <w:t xml:space="preserve">Figure </w:t>
      </w:r>
      <w:r w:rsidR="0038750D">
        <w:fldChar w:fldCharType="begin"/>
      </w:r>
      <w:r w:rsidR="0038750D">
        <w:instrText xml:space="preserve"> SEQ Figure \* ARABIC </w:instrText>
      </w:r>
      <w:r w:rsidR="0038750D">
        <w:fldChar w:fldCharType="separate"/>
      </w:r>
      <w:proofErr w:type="gramStart"/>
      <w:r w:rsidR="000C4199">
        <w:rPr>
          <w:noProof/>
        </w:rPr>
        <w:t>6</w:t>
      </w:r>
      <w:r w:rsidR="0038750D">
        <w:rPr>
          <w:noProof/>
        </w:rPr>
        <w:fldChar w:fldCharType="end"/>
      </w:r>
      <w:bookmarkEnd w:id="28"/>
      <w:r>
        <w:tab/>
        <w:t>Capital partial factor productivity</w:t>
      </w:r>
      <w:proofErr w:type="gramEnd"/>
      <w:r>
        <w:t xml:space="preserve"> for 2006–14</w:t>
      </w:r>
    </w:p>
    <w:p w:rsidR="000961C9" w:rsidRDefault="000961C9" w:rsidP="000961C9">
      <w:r w:rsidRPr="000961C9">
        <w:rPr>
          <w:noProof/>
          <w:lang w:eastAsia="en-AU"/>
        </w:rPr>
        <w:drawing>
          <wp:inline distT="0" distB="0" distL="0" distR="0" wp14:anchorId="262FD8D9" wp14:editId="149ECB49">
            <wp:extent cx="4979858" cy="3384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79858" cy="3384000"/>
                    </a:xfrm>
                    <a:prstGeom prst="rect">
                      <a:avLst/>
                    </a:prstGeom>
                    <a:noFill/>
                    <a:ln>
                      <a:noFill/>
                    </a:ln>
                  </pic:spPr>
                </pic:pic>
              </a:graphicData>
            </a:graphic>
          </wp:inline>
        </w:drawing>
      </w:r>
    </w:p>
    <w:p w:rsidR="000961C9" w:rsidRDefault="00BF2D78" w:rsidP="000961C9">
      <w:r>
        <w:fldChar w:fldCharType="begin"/>
      </w:r>
      <w:r>
        <w:instrText xml:space="preserve"> REF _Ref435709461 \h </w:instrText>
      </w:r>
      <w:r>
        <w:fldChar w:fldCharType="separate"/>
      </w:r>
      <w:r w:rsidR="000C4199">
        <w:t xml:space="preserve">Figure </w:t>
      </w:r>
      <w:r w:rsidR="000C4199">
        <w:rPr>
          <w:noProof/>
        </w:rPr>
        <w:t>6</w:t>
      </w:r>
      <w:r>
        <w:fldChar w:fldCharType="end"/>
      </w:r>
      <w:r w:rsidR="000961C9">
        <w:t xml:space="preserve"> shows that the capital productivity for </w:t>
      </w:r>
      <w:proofErr w:type="spellStart"/>
      <w:r w:rsidR="000961C9">
        <w:t>ElectraNet</w:t>
      </w:r>
      <w:proofErr w:type="spellEnd"/>
      <w:r w:rsidR="000961C9">
        <w:t xml:space="preserve"> and </w:t>
      </w:r>
      <w:proofErr w:type="spellStart"/>
      <w:r w:rsidR="000961C9">
        <w:t>TasNetworks</w:t>
      </w:r>
      <w:proofErr w:type="spellEnd"/>
      <w:r w:rsidR="000961C9">
        <w:t xml:space="preserve"> has improved between 2013 and 2014. </w:t>
      </w:r>
      <w:r w:rsidR="000D466A">
        <w:t>The capital productivity for the other TNSPs has declined moderately between 2013 and 2014</w:t>
      </w:r>
      <w:r w:rsidR="000961C9">
        <w:t xml:space="preserve">. </w:t>
      </w:r>
    </w:p>
    <w:p w:rsidR="000961C9" w:rsidRDefault="00BF2D78" w:rsidP="000961C9">
      <w:r>
        <w:fldChar w:fldCharType="begin"/>
      </w:r>
      <w:r>
        <w:instrText xml:space="preserve"> REF _Ref435709474 \h </w:instrText>
      </w:r>
      <w:r>
        <w:fldChar w:fldCharType="separate"/>
      </w:r>
      <w:r w:rsidR="000C4199">
        <w:t xml:space="preserve">Figure </w:t>
      </w:r>
      <w:r w:rsidR="000C4199">
        <w:rPr>
          <w:noProof/>
        </w:rPr>
        <w:t>7</w:t>
      </w:r>
      <w:r>
        <w:fldChar w:fldCharType="end"/>
      </w:r>
      <w:r>
        <w:t xml:space="preserve"> </w:t>
      </w:r>
      <w:r w:rsidR="000961C9">
        <w:t xml:space="preserve">displays </w:t>
      </w:r>
      <w:proofErr w:type="spellStart"/>
      <w:r w:rsidR="000961C9">
        <w:t>opex</w:t>
      </w:r>
      <w:proofErr w:type="spellEnd"/>
      <w:r w:rsidR="000961C9">
        <w:t xml:space="preserve"> MPFP f</w:t>
      </w:r>
      <w:r w:rsidR="000D466A">
        <w:t>or all T</w:t>
      </w:r>
      <w:r w:rsidR="000961C9">
        <w:t xml:space="preserve">NSPs over the same period. </w:t>
      </w:r>
      <w:r w:rsidR="000D466A">
        <w:t xml:space="preserve">There has been some variability in the </w:t>
      </w:r>
      <w:proofErr w:type="spellStart"/>
      <w:r w:rsidR="000D466A">
        <w:t>opex</w:t>
      </w:r>
      <w:proofErr w:type="spellEnd"/>
      <w:r w:rsidR="000D466A">
        <w:t xml:space="preserve"> partial productivity over the period. </w:t>
      </w:r>
      <w:proofErr w:type="spellStart"/>
      <w:r w:rsidR="000D466A">
        <w:t>AusNet</w:t>
      </w:r>
      <w:proofErr w:type="spellEnd"/>
      <w:r w:rsidR="000D466A">
        <w:t xml:space="preserve">, Powerlink and </w:t>
      </w:r>
      <w:proofErr w:type="spellStart"/>
      <w:r w:rsidR="000D466A">
        <w:lastRenderedPageBreak/>
        <w:t>TasNetworks</w:t>
      </w:r>
      <w:proofErr w:type="spellEnd"/>
      <w:r w:rsidR="000D466A">
        <w:t xml:space="preserve"> have improved their performance over the period. However, only </w:t>
      </w:r>
      <w:proofErr w:type="spellStart"/>
      <w:r w:rsidR="000D466A">
        <w:t>TasNetworks</w:t>
      </w:r>
      <w:proofErr w:type="spellEnd"/>
      <w:r w:rsidR="000D466A">
        <w:t xml:space="preserve"> has improved its </w:t>
      </w:r>
      <w:proofErr w:type="spellStart"/>
      <w:r w:rsidR="000D466A">
        <w:t>opex</w:t>
      </w:r>
      <w:proofErr w:type="spellEnd"/>
      <w:r w:rsidR="000D466A">
        <w:t xml:space="preserve"> MPFP performance in 2014. </w:t>
      </w:r>
    </w:p>
    <w:p w:rsidR="000961C9" w:rsidRDefault="000D466A" w:rsidP="009452C4">
      <w:pPr>
        <w:pStyle w:val="Caption"/>
      </w:pPr>
      <w:bookmarkStart w:id="29" w:name="_Ref435709474"/>
      <w:r>
        <w:t xml:space="preserve">Figure </w:t>
      </w:r>
      <w:r w:rsidR="0038750D">
        <w:fldChar w:fldCharType="begin"/>
      </w:r>
      <w:r w:rsidR="0038750D">
        <w:instrText xml:space="preserve"> SEQ Figure \* ARABIC </w:instrText>
      </w:r>
      <w:r w:rsidR="0038750D">
        <w:fldChar w:fldCharType="separate"/>
      </w:r>
      <w:proofErr w:type="gramStart"/>
      <w:r w:rsidR="000C4199">
        <w:rPr>
          <w:noProof/>
        </w:rPr>
        <w:t>7</w:t>
      </w:r>
      <w:r w:rsidR="0038750D">
        <w:rPr>
          <w:noProof/>
        </w:rPr>
        <w:fldChar w:fldCharType="end"/>
      </w:r>
      <w:bookmarkEnd w:id="29"/>
      <w:r>
        <w:tab/>
      </w:r>
      <w:proofErr w:type="spellStart"/>
      <w:r w:rsidR="000961C9">
        <w:t>Opex</w:t>
      </w:r>
      <w:proofErr w:type="spellEnd"/>
      <w:r w:rsidR="000961C9">
        <w:t xml:space="preserve"> partial factor productivity</w:t>
      </w:r>
      <w:proofErr w:type="gramEnd"/>
      <w:r w:rsidR="000961C9">
        <w:t xml:space="preserve"> for 2006–14</w:t>
      </w:r>
    </w:p>
    <w:p w:rsidR="000961C9" w:rsidRDefault="000D466A" w:rsidP="009452C4">
      <w:pPr>
        <w:jc w:val="center"/>
      </w:pPr>
      <w:r w:rsidRPr="000D466A">
        <w:rPr>
          <w:noProof/>
          <w:lang w:eastAsia="en-AU"/>
        </w:rPr>
        <w:drawing>
          <wp:inline distT="0" distB="0" distL="0" distR="0" wp14:anchorId="2AE969D1" wp14:editId="578D368A">
            <wp:extent cx="5159144" cy="313200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59144" cy="3132000"/>
                    </a:xfrm>
                    <a:prstGeom prst="rect">
                      <a:avLst/>
                    </a:prstGeom>
                    <a:noFill/>
                    <a:ln>
                      <a:noFill/>
                    </a:ln>
                  </pic:spPr>
                </pic:pic>
              </a:graphicData>
            </a:graphic>
          </wp:inline>
        </w:drawing>
      </w:r>
    </w:p>
    <w:p w:rsidR="000961C9" w:rsidRPr="000961C9" w:rsidRDefault="000D466A" w:rsidP="000961C9">
      <w:r>
        <w:t>The ranking of the T</w:t>
      </w:r>
      <w:r w:rsidR="000961C9">
        <w:t xml:space="preserve">NSPs changes somewhat under the two MPFP results, which reflects differing input combinations. </w:t>
      </w:r>
      <w:proofErr w:type="spellStart"/>
      <w:r>
        <w:t>AusNet</w:t>
      </w:r>
      <w:proofErr w:type="spellEnd"/>
      <w:r>
        <w:t xml:space="preserve"> and </w:t>
      </w:r>
      <w:proofErr w:type="spellStart"/>
      <w:r w:rsidR="000961C9">
        <w:t>TasNetworks</w:t>
      </w:r>
      <w:proofErr w:type="spellEnd"/>
      <w:r w:rsidR="000961C9">
        <w:t xml:space="preserve"> are two pertinent examples. </w:t>
      </w:r>
      <w:proofErr w:type="spellStart"/>
      <w:r>
        <w:t>AusNet</w:t>
      </w:r>
      <w:proofErr w:type="spellEnd"/>
      <w:r>
        <w:t xml:space="preserve"> performs poorly under the capital MPFP metric but performs well under the </w:t>
      </w:r>
      <w:proofErr w:type="spellStart"/>
      <w:r>
        <w:t>opex</w:t>
      </w:r>
      <w:proofErr w:type="spellEnd"/>
      <w:r>
        <w:t xml:space="preserve"> </w:t>
      </w:r>
      <w:r w:rsidR="00467B27">
        <w:t>MPFP</w:t>
      </w:r>
      <w:r w:rsidR="00871308">
        <w:t>.</w:t>
      </w:r>
      <w:r>
        <w:t xml:space="preserve"> </w:t>
      </w:r>
      <w:proofErr w:type="spellStart"/>
      <w:r>
        <w:t>TasNetworks</w:t>
      </w:r>
      <w:proofErr w:type="spellEnd"/>
      <w:r>
        <w:t xml:space="preserve"> </w:t>
      </w:r>
      <w:r w:rsidR="00871308">
        <w:t xml:space="preserve">is the opposite as it </w:t>
      </w:r>
      <w:r w:rsidR="00467B27">
        <w:t xml:space="preserve">performs well under the capital measure and not as well under the </w:t>
      </w:r>
      <w:proofErr w:type="spellStart"/>
      <w:r w:rsidR="00467B27">
        <w:t>opex</w:t>
      </w:r>
      <w:proofErr w:type="spellEnd"/>
      <w:r w:rsidR="00467B27">
        <w:t xml:space="preserve"> measure</w:t>
      </w:r>
      <w:r w:rsidR="000961C9">
        <w:t xml:space="preserve">. </w:t>
      </w:r>
    </w:p>
    <w:p w:rsidR="008A7BEA" w:rsidRDefault="00345BE3" w:rsidP="009452C4">
      <w:pPr>
        <w:pStyle w:val="Heading2"/>
      </w:pPr>
      <w:bookmarkStart w:id="30" w:name="_Ref433210826"/>
      <w:bookmarkStart w:id="31" w:name="_Ref432605896"/>
      <w:bookmarkStart w:id="32" w:name="_Ref432607030"/>
      <w:r w:rsidRPr="00345BE3">
        <w:t xml:space="preserve"> </w:t>
      </w:r>
      <w:r>
        <w:t>Partial performance indicators</w:t>
      </w:r>
      <w:bookmarkEnd w:id="30"/>
      <w:r>
        <w:t xml:space="preserve"> </w:t>
      </w:r>
      <w:bookmarkEnd w:id="31"/>
      <w:bookmarkEnd w:id="32"/>
    </w:p>
    <w:p w:rsidR="00345BE3" w:rsidRDefault="006A4D99" w:rsidP="006818B2">
      <w:r>
        <w:t>This section</w:t>
      </w:r>
      <w:r w:rsidR="00E056BF" w:rsidRPr="002C74DF">
        <w:t xml:space="preserve"> present</w:t>
      </w:r>
      <w:r>
        <w:t>s</w:t>
      </w:r>
      <w:r w:rsidR="00E056BF" w:rsidRPr="002C74DF">
        <w:t xml:space="preserve"> </w:t>
      </w:r>
      <w:r w:rsidR="00D30FE2">
        <w:t xml:space="preserve">our PPI analysis. </w:t>
      </w:r>
      <w:r w:rsidR="00345BE3">
        <w:t>The PPIs support the MTFP results because they provide a general indication of comparative performance</w:t>
      </w:r>
      <w:r w:rsidR="00345BE3" w:rsidRPr="00345BE3">
        <w:t xml:space="preserve"> </w:t>
      </w:r>
      <w:r w:rsidR="00345BE3">
        <w:t>and are useful for assessing the relative efficiency of the TNSPs.</w:t>
      </w:r>
    </w:p>
    <w:p w:rsidR="006818B2" w:rsidRDefault="00E41D28" w:rsidP="006818B2">
      <w:r>
        <w:t>The inputs w</w:t>
      </w:r>
      <w:r w:rsidR="00D30FE2">
        <w:t xml:space="preserve">e </w:t>
      </w:r>
      <w:r w:rsidR="00EC3FB1">
        <w:t>use</w:t>
      </w:r>
      <w:r w:rsidR="00D246D0">
        <w:t xml:space="preserve"> are</w:t>
      </w:r>
      <w:r w:rsidR="00D30FE2">
        <w:t xml:space="preserve"> the TNSPs’ total cost</w:t>
      </w:r>
      <w:r w:rsidR="00EC3FB1">
        <w:t xml:space="preserve">, comprising </w:t>
      </w:r>
      <w:proofErr w:type="spellStart"/>
      <w:r w:rsidR="00EC3FB1">
        <w:t>opex</w:t>
      </w:r>
      <w:proofErr w:type="spellEnd"/>
      <w:r w:rsidR="00EC3FB1">
        <w:t xml:space="preserve"> and assets. The outputs we use are voltage weighted entry and e</w:t>
      </w:r>
      <w:r w:rsidR="008973D4">
        <w:t>xit points, circuit line length and</w:t>
      </w:r>
      <w:r w:rsidR="00EC3FB1">
        <w:t xml:space="preserve"> maximum demand served. </w:t>
      </w:r>
      <w:r w:rsidR="006818B2" w:rsidRPr="00671F53">
        <w:t xml:space="preserve">We examine each </w:t>
      </w:r>
      <w:r w:rsidR="006818B2">
        <w:t>of these outputs below, noting that t</w:t>
      </w:r>
      <w:r w:rsidR="006818B2" w:rsidRPr="00671F53">
        <w:t>he appropriate measurement of transmission outputs is a matter of ongoing consideration.</w:t>
      </w:r>
      <w:r w:rsidR="006818B2" w:rsidRPr="007658B4">
        <w:rPr>
          <w:rStyle w:val="FootnoteReference"/>
        </w:rPr>
        <w:footnoteReference w:id="9"/>
      </w:r>
      <w:r w:rsidR="006818B2">
        <w:t xml:space="preserve"> </w:t>
      </w:r>
    </w:p>
    <w:p w:rsidR="00EC3FB1" w:rsidRPr="000E556D" w:rsidRDefault="00780FE5" w:rsidP="00EC3FB1">
      <w:r>
        <w:t>It is important to keep in mind that the Australian Energy Market Operator (</w:t>
      </w:r>
      <w:r w:rsidR="00EC3FB1" w:rsidRPr="00030D3A">
        <w:t>AEMO</w:t>
      </w:r>
      <w:r>
        <w:t>)</w:t>
      </w:r>
      <w:r w:rsidR="00EC3FB1" w:rsidRPr="00030D3A">
        <w:t xml:space="preserve"> undertakes the augmentation procurement </w:t>
      </w:r>
      <w:r w:rsidR="00EC3FB1" w:rsidRPr="000E556D">
        <w:t xml:space="preserve">functions for </w:t>
      </w:r>
      <w:proofErr w:type="spellStart"/>
      <w:r w:rsidR="00EC3FB1" w:rsidRPr="000E556D">
        <w:t>AusNet</w:t>
      </w:r>
      <w:proofErr w:type="spellEnd"/>
      <w:r w:rsidR="00EC3FB1" w:rsidRPr="000E556D">
        <w:t xml:space="preserve"> Services' transmission network</w:t>
      </w:r>
      <w:r w:rsidR="006818B2" w:rsidRPr="006818B2">
        <w:t xml:space="preserve"> </w:t>
      </w:r>
      <w:r w:rsidR="006818B2">
        <w:t>in Victoria</w:t>
      </w:r>
      <w:r>
        <w:t>.</w:t>
      </w:r>
      <w:r w:rsidR="00EC3FB1" w:rsidRPr="000E556D">
        <w:t xml:space="preserve"> </w:t>
      </w:r>
      <w:r w:rsidR="006818B2">
        <w:t xml:space="preserve">This is not the case for </w:t>
      </w:r>
      <w:r w:rsidR="00550352">
        <w:t>the other TNSPs in the NEM</w:t>
      </w:r>
      <w:r w:rsidR="006818B2">
        <w:t>, who</w:t>
      </w:r>
      <w:r w:rsidR="00550352">
        <w:t xml:space="preserve"> </w:t>
      </w:r>
      <w:r w:rsidR="00EC3FB1" w:rsidRPr="000E556D">
        <w:t>undertake</w:t>
      </w:r>
      <w:r w:rsidR="00550352">
        <w:t xml:space="preserve"> </w:t>
      </w:r>
      <w:r w:rsidR="006818B2">
        <w:t>these functions</w:t>
      </w:r>
      <w:r w:rsidR="00550352">
        <w:t xml:space="preserve"> themselves</w:t>
      </w:r>
      <w:r w:rsidR="006818B2">
        <w:t>.</w:t>
      </w:r>
      <w:r w:rsidR="00550352">
        <w:t xml:space="preserve"> </w:t>
      </w:r>
      <w:proofErr w:type="spellStart"/>
      <w:r w:rsidR="00EC3FB1" w:rsidRPr="000E556D">
        <w:t>AusNet</w:t>
      </w:r>
      <w:proofErr w:type="spellEnd"/>
      <w:r w:rsidR="00EC3FB1" w:rsidRPr="000E556D">
        <w:t xml:space="preserve"> Services' reported</w:t>
      </w:r>
      <w:r w:rsidR="00EC3FB1">
        <w:t xml:space="preserve"> </w:t>
      </w:r>
      <w:r w:rsidR="00EC3FB1" w:rsidRPr="000E556D">
        <w:t>total cost</w:t>
      </w:r>
      <w:r w:rsidR="00EC3FB1">
        <w:t xml:space="preserve"> is </w:t>
      </w:r>
      <w:r w:rsidR="006818B2">
        <w:t xml:space="preserve">therefore </w:t>
      </w:r>
      <w:r w:rsidR="00EC3FB1" w:rsidRPr="000E556D">
        <w:t xml:space="preserve">less than it </w:t>
      </w:r>
      <w:r w:rsidR="006818B2">
        <w:t xml:space="preserve">otherwise </w:t>
      </w:r>
      <w:r w:rsidR="00EC3FB1" w:rsidRPr="000E556D">
        <w:t xml:space="preserve">would be if it </w:t>
      </w:r>
      <w:r w:rsidR="006818B2">
        <w:t xml:space="preserve">had to </w:t>
      </w:r>
      <w:r w:rsidR="00EC3FB1" w:rsidRPr="000E556D">
        <w:t xml:space="preserve">capture </w:t>
      </w:r>
      <w:r w:rsidR="00D246D0">
        <w:t>all</w:t>
      </w:r>
      <w:r w:rsidR="00EC3FB1" w:rsidRPr="000E556D">
        <w:t xml:space="preserve"> augmentation</w:t>
      </w:r>
      <w:r w:rsidR="00D246D0">
        <w:t xml:space="preserve"> expenditure</w:t>
      </w:r>
      <w:r w:rsidR="00EC3FB1" w:rsidRPr="000E556D">
        <w:t>.</w:t>
      </w:r>
    </w:p>
    <w:p w:rsidR="00E64F71" w:rsidRDefault="00E64F71" w:rsidP="00E056BF">
      <w:r>
        <w:lastRenderedPageBreak/>
        <w:t xml:space="preserve">All the PPIs in this </w:t>
      </w:r>
      <w:r w:rsidR="00027848">
        <w:t>report</w:t>
      </w:r>
      <w:r>
        <w:t xml:space="preserve"> measure average costs over a </w:t>
      </w:r>
      <w:proofErr w:type="gramStart"/>
      <w:r>
        <w:t>five year</w:t>
      </w:r>
      <w:proofErr w:type="gramEnd"/>
      <w:r>
        <w:t xml:space="preserve"> period (from 2010 to 2014). We use an average to mitigate the effect of one-off changes in </w:t>
      </w:r>
      <w:proofErr w:type="spellStart"/>
      <w:r>
        <w:t>opex</w:t>
      </w:r>
      <w:proofErr w:type="spellEnd"/>
      <w:r>
        <w:t xml:space="preserve"> or assets in a particular year. Five years is the length of a typical regulatory period.</w:t>
      </w:r>
    </w:p>
    <w:p w:rsidR="008973D4" w:rsidRDefault="008973D4" w:rsidP="008973D4">
      <w:r w:rsidRPr="000E556D">
        <w:fldChar w:fldCharType="begin"/>
      </w:r>
      <w:r w:rsidRPr="000E556D">
        <w:instrText xml:space="preserve"> REF _Ref404067758 \h </w:instrText>
      </w:r>
      <w:r w:rsidRPr="000E556D">
        <w:fldChar w:fldCharType="separate"/>
      </w:r>
      <w:r w:rsidR="000C4199" w:rsidRPr="007E6211">
        <w:t xml:space="preserve">Figure </w:t>
      </w:r>
      <w:r w:rsidR="000C4199">
        <w:rPr>
          <w:noProof/>
        </w:rPr>
        <w:t>8</w:t>
      </w:r>
      <w:r w:rsidRPr="000E556D">
        <w:fldChar w:fldCharType="end"/>
      </w:r>
      <w:r w:rsidRPr="000E556D">
        <w:t xml:space="preserve"> shows the total cost per kilovolt (kV) of entry and exit points.</w:t>
      </w:r>
      <w:r>
        <w:rPr>
          <w:rStyle w:val="FootnoteReference"/>
        </w:rPr>
        <w:footnoteReference w:id="10"/>
      </w:r>
      <w:r w:rsidRPr="000E556D">
        <w:t xml:space="preserve"> </w:t>
      </w:r>
      <w:r w:rsidR="006818B2">
        <w:t>In 2014,</w:t>
      </w:r>
      <w:r w:rsidR="006818B2" w:rsidRPr="000E556D">
        <w:t xml:space="preserve"> Powerlink</w:t>
      </w:r>
      <w:r w:rsidR="006818B2">
        <w:t xml:space="preserve"> and </w:t>
      </w:r>
      <w:proofErr w:type="spellStart"/>
      <w:r w:rsidR="006818B2">
        <w:t>TransGrid</w:t>
      </w:r>
      <w:proofErr w:type="spellEnd"/>
      <w:r w:rsidR="006818B2" w:rsidRPr="000E556D">
        <w:t xml:space="preserve"> </w:t>
      </w:r>
      <w:r w:rsidR="006818B2">
        <w:t>continue</w:t>
      </w:r>
      <w:r w:rsidR="00D246D0">
        <w:t>d</w:t>
      </w:r>
      <w:r w:rsidR="006818B2">
        <w:t xml:space="preserve"> to </w:t>
      </w:r>
      <w:r w:rsidR="006818B2" w:rsidRPr="000E556D">
        <w:t>ha</w:t>
      </w:r>
      <w:r w:rsidR="006818B2">
        <w:t>ve</w:t>
      </w:r>
      <w:r w:rsidR="006818B2" w:rsidRPr="000E556D">
        <w:t xml:space="preserve"> the highest costs per entry and exit point voltage of all the transmission networks. </w:t>
      </w:r>
      <w:proofErr w:type="spellStart"/>
      <w:r w:rsidR="00CE36A8">
        <w:t>TasNetworks</w:t>
      </w:r>
      <w:proofErr w:type="spellEnd"/>
      <w:r w:rsidR="00CE36A8" w:rsidRPr="000E556D">
        <w:t xml:space="preserve"> </w:t>
      </w:r>
      <w:r w:rsidR="006818B2" w:rsidRPr="000E556D">
        <w:t xml:space="preserve">has the lowest cost per voltage weighted connection point. </w:t>
      </w:r>
      <w:r w:rsidR="006818B2">
        <w:t>We note that t</w:t>
      </w:r>
      <w:r w:rsidRPr="000E556D">
        <w:t xml:space="preserve">his measure potentially favours more dense transmission networks </w:t>
      </w:r>
      <w:r w:rsidR="009F7FA2">
        <w:t xml:space="preserve">(where density </w:t>
      </w:r>
      <w:proofErr w:type="gramStart"/>
      <w:r w:rsidR="009F7FA2">
        <w:t>is measured</w:t>
      </w:r>
      <w:proofErr w:type="gramEnd"/>
      <w:r w:rsidR="009F7FA2">
        <w:t xml:space="preserve"> in terms of circuit km per voltage of connection points)</w:t>
      </w:r>
      <w:r w:rsidR="006818B2">
        <w:t>.</w:t>
      </w:r>
      <w:r>
        <w:t xml:space="preserve"> </w:t>
      </w:r>
      <w:r w:rsidR="006818B2">
        <w:t>The more dense</w:t>
      </w:r>
      <w:r>
        <w:t xml:space="preserve"> </w:t>
      </w:r>
      <w:r w:rsidR="006818B2" w:rsidRPr="000E556D">
        <w:t xml:space="preserve">transmission </w:t>
      </w:r>
      <w:r>
        <w:t>networks tend to have more entry and exit points</w:t>
      </w:r>
      <w:r w:rsidR="009F7FA2">
        <w:t xml:space="preserve"> per km and hence are required to maintain </w:t>
      </w:r>
      <w:proofErr w:type="gramStart"/>
      <w:r w:rsidR="009F7FA2">
        <w:t>less lines</w:t>
      </w:r>
      <w:proofErr w:type="gramEnd"/>
      <w:r w:rsidR="009F7FA2">
        <w:t xml:space="preserve"> per connection point</w:t>
      </w:r>
      <w:r w:rsidRPr="000E556D">
        <w:t xml:space="preserve">. </w:t>
      </w:r>
      <w:r w:rsidR="00B45E5C">
        <w:fldChar w:fldCharType="begin"/>
      </w:r>
      <w:r w:rsidR="00B45E5C">
        <w:instrText xml:space="preserve"> REF _Ref435695871 \h </w:instrText>
      </w:r>
      <w:r w:rsidR="00B45E5C">
        <w:fldChar w:fldCharType="separate"/>
      </w:r>
      <w:r w:rsidR="000C4199">
        <w:t xml:space="preserve">Figure </w:t>
      </w:r>
      <w:r w:rsidR="000C4199">
        <w:rPr>
          <w:noProof/>
        </w:rPr>
        <w:t>9</w:t>
      </w:r>
      <w:r w:rsidR="00B45E5C">
        <w:fldChar w:fldCharType="end"/>
      </w:r>
      <w:r w:rsidR="00B45E5C">
        <w:t xml:space="preserve"> shows the connection density of the transmission networks.</w:t>
      </w:r>
    </w:p>
    <w:p w:rsidR="008973D4" w:rsidRDefault="008973D4" w:rsidP="008973D4">
      <w:pPr>
        <w:pStyle w:val="Caption"/>
      </w:pPr>
      <w:bookmarkStart w:id="33" w:name="_Ref404067758"/>
      <w:r w:rsidRPr="007E6211">
        <w:t xml:space="preserve">Figure </w:t>
      </w:r>
      <w:r w:rsidRPr="000E556D">
        <w:fldChar w:fldCharType="begin"/>
      </w:r>
      <w:r>
        <w:instrText xml:space="preserve"> SEQ Figure \* ARABIC </w:instrText>
      </w:r>
      <w:r w:rsidRPr="000E556D">
        <w:fldChar w:fldCharType="separate"/>
      </w:r>
      <w:r w:rsidR="000C4199">
        <w:rPr>
          <w:noProof/>
        </w:rPr>
        <w:t>8</w:t>
      </w:r>
      <w:r w:rsidRPr="000E556D">
        <w:fldChar w:fldCharType="end"/>
      </w:r>
      <w:bookmarkEnd w:id="33"/>
      <w:r w:rsidRPr="007E6211">
        <w:tab/>
        <w:t xml:space="preserve">Total cost per total </w:t>
      </w:r>
      <w:r>
        <w:t>k</w:t>
      </w:r>
      <w:r w:rsidRPr="007E6211">
        <w:t>V of entry/exit points ($</w:t>
      </w:r>
      <w:r>
        <w:t>2014</w:t>
      </w:r>
      <w:r w:rsidRPr="007E6211">
        <w:t>)</w:t>
      </w:r>
      <w:r w:rsidRPr="00B8156B">
        <w:t xml:space="preserve"> </w:t>
      </w:r>
    </w:p>
    <w:p w:rsidR="008973D4" w:rsidRDefault="00280AE2" w:rsidP="00097111">
      <w:pPr>
        <w:jc w:val="center"/>
      </w:pPr>
      <w:r w:rsidRPr="00280AE2">
        <w:rPr>
          <w:noProof/>
          <w:lang w:eastAsia="en-AU"/>
        </w:rPr>
        <w:drawing>
          <wp:inline distT="0" distB="0" distL="0" distR="0" wp14:anchorId="5F722E23" wp14:editId="3A60E508">
            <wp:extent cx="4520186" cy="2592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20186" cy="2592000"/>
                    </a:xfrm>
                    <a:prstGeom prst="rect">
                      <a:avLst/>
                    </a:prstGeom>
                    <a:noFill/>
                    <a:ln>
                      <a:noFill/>
                    </a:ln>
                  </pic:spPr>
                </pic:pic>
              </a:graphicData>
            </a:graphic>
          </wp:inline>
        </w:drawing>
      </w:r>
    </w:p>
    <w:p w:rsidR="009F7FA2" w:rsidRDefault="009F7FA2" w:rsidP="009452C4">
      <w:pPr>
        <w:pStyle w:val="Caption"/>
      </w:pPr>
      <w:bookmarkStart w:id="34" w:name="_Ref435695871"/>
      <w:r>
        <w:lastRenderedPageBreak/>
        <w:t xml:space="preserve">Figure </w:t>
      </w:r>
      <w:r w:rsidR="0038750D">
        <w:fldChar w:fldCharType="begin"/>
      </w:r>
      <w:r w:rsidR="0038750D">
        <w:instrText xml:space="preserve"> SEQ Figure \* ARABIC </w:instrText>
      </w:r>
      <w:r w:rsidR="0038750D">
        <w:fldChar w:fldCharType="separate"/>
      </w:r>
      <w:proofErr w:type="gramStart"/>
      <w:r w:rsidR="000C4199">
        <w:rPr>
          <w:noProof/>
        </w:rPr>
        <w:t>9</w:t>
      </w:r>
      <w:r w:rsidR="0038750D">
        <w:rPr>
          <w:noProof/>
        </w:rPr>
        <w:fldChar w:fldCharType="end"/>
      </w:r>
      <w:bookmarkEnd w:id="34"/>
      <w:r>
        <w:tab/>
        <w:t>Connection density</w:t>
      </w:r>
      <w:proofErr w:type="gramEnd"/>
      <w:r>
        <w:t xml:space="preserve"> (kV of connection points per circuit km)</w:t>
      </w:r>
    </w:p>
    <w:p w:rsidR="009F7FA2" w:rsidRPr="009F7FA2" w:rsidRDefault="009F7FA2" w:rsidP="00250600">
      <w:pPr>
        <w:jc w:val="center"/>
      </w:pPr>
      <w:r w:rsidRPr="009F7FA2">
        <w:rPr>
          <w:noProof/>
          <w:lang w:eastAsia="en-AU"/>
        </w:rPr>
        <w:drawing>
          <wp:inline distT="0" distB="0" distL="0" distR="0" wp14:anchorId="323F4876" wp14:editId="40CBA791">
            <wp:extent cx="4098557" cy="2484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98557" cy="2484000"/>
                    </a:xfrm>
                    <a:prstGeom prst="rect">
                      <a:avLst/>
                    </a:prstGeom>
                    <a:noFill/>
                    <a:ln>
                      <a:noFill/>
                    </a:ln>
                  </pic:spPr>
                </pic:pic>
              </a:graphicData>
            </a:graphic>
          </wp:inline>
        </w:drawing>
      </w:r>
    </w:p>
    <w:p w:rsidR="008973D4" w:rsidRDefault="008973D4" w:rsidP="008973D4">
      <w:r w:rsidRPr="000E556D">
        <w:fldChar w:fldCharType="begin"/>
      </w:r>
      <w:r w:rsidRPr="000E556D">
        <w:instrText xml:space="preserve"> REF _Ref404067772 \h </w:instrText>
      </w:r>
      <w:r w:rsidRPr="000E556D">
        <w:fldChar w:fldCharType="separate"/>
      </w:r>
      <w:r w:rsidR="000C4199">
        <w:t xml:space="preserve">Figure </w:t>
      </w:r>
      <w:r w:rsidR="000C4199">
        <w:rPr>
          <w:noProof/>
        </w:rPr>
        <w:t>10</w:t>
      </w:r>
      <w:r w:rsidRPr="000E556D">
        <w:fldChar w:fldCharType="end"/>
      </w:r>
      <w:r w:rsidRPr="000E556D">
        <w:t xml:space="preserve"> shows the cost per </w:t>
      </w:r>
      <w:r w:rsidR="006818B2">
        <w:t>kilometre</w:t>
      </w:r>
      <w:r w:rsidRPr="000E556D">
        <w:t xml:space="preserve"> of circuit length</w:t>
      </w:r>
      <w:r w:rsidR="006818B2">
        <w:t>. In 2014</w:t>
      </w:r>
      <w:r>
        <w:t xml:space="preserve">, </w:t>
      </w:r>
      <w:r w:rsidRPr="000E556D">
        <w:t xml:space="preserve">most </w:t>
      </w:r>
      <w:r w:rsidR="006818B2">
        <w:t>transmission networks</w:t>
      </w:r>
      <w:r w:rsidRPr="000E556D">
        <w:t xml:space="preserve"> </w:t>
      </w:r>
      <w:r w:rsidR="006818B2">
        <w:t>incurred</w:t>
      </w:r>
      <w:r w:rsidRPr="000E556D">
        <w:t xml:space="preserve"> a total cost of approximately </w:t>
      </w:r>
      <w:r w:rsidR="006818B2">
        <w:t xml:space="preserve">between </w:t>
      </w:r>
      <w:r w:rsidRPr="000E556D">
        <w:t>$50</w:t>
      </w:r>
      <w:r>
        <w:t>,000</w:t>
      </w:r>
      <w:r w:rsidRPr="000E556D">
        <w:t xml:space="preserve"> </w:t>
      </w:r>
      <w:r w:rsidR="006818B2">
        <w:t>and</w:t>
      </w:r>
      <w:r>
        <w:t xml:space="preserve"> $60,000</w:t>
      </w:r>
      <w:r w:rsidRPr="000E556D">
        <w:t xml:space="preserve"> per circuit </w:t>
      </w:r>
      <w:r w:rsidR="006818B2">
        <w:t>kilometre</w:t>
      </w:r>
      <w:r w:rsidRPr="000E556D">
        <w:t>.</w:t>
      </w:r>
      <w:r>
        <w:t xml:space="preserve"> </w:t>
      </w:r>
      <w:proofErr w:type="spellStart"/>
      <w:r w:rsidR="006818B2">
        <w:t>ElectraNet</w:t>
      </w:r>
      <w:proofErr w:type="spellEnd"/>
      <w:r w:rsidR="006818B2">
        <w:t xml:space="preserve"> has the lowest total cost in respect of this output</w:t>
      </w:r>
      <w:r w:rsidR="00AE6E25">
        <w:t xml:space="preserve"> with a total cost of $50,000 per circuit kilomet</w:t>
      </w:r>
      <w:r w:rsidR="00BF2D78">
        <w:t>re</w:t>
      </w:r>
      <w:r>
        <w:t>.</w:t>
      </w:r>
    </w:p>
    <w:p w:rsidR="008973D4" w:rsidRDefault="008973D4" w:rsidP="008973D4">
      <w:pPr>
        <w:pStyle w:val="Caption"/>
      </w:pPr>
      <w:bookmarkStart w:id="35" w:name="_Ref404067772"/>
      <w:r>
        <w:t xml:space="preserve">Figure </w:t>
      </w:r>
      <w:r w:rsidRPr="000E556D">
        <w:fldChar w:fldCharType="begin"/>
      </w:r>
      <w:r>
        <w:instrText xml:space="preserve"> SEQ Figure \* ARABIC </w:instrText>
      </w:r>
      <w:r w:rsidRPr="000E556D">
        <w:fldChar w:fldCharType="separate"/>
      </w:r>
      <w:r w:rsidR="000C4199">
        <w:rPr>
          <w:noProof/>
        </w:rPr>
        <w:t>10</w:t>
      </w:r>
      <w:r w:rsidRPr="000E556D">
        <w:fldChar w:fldCharType="end"/>
      </w:r>
      <w:bookmarkEnd w:id="35"/>
      <w:r>
        <w:tab/>
        <w:t>Total cost per km of transmission circuit length ($2014)</w:t>
      </w:r>
    </w:p>
    <w:p w:rsidR="008973D4" w:rsidRPr="00BA4D86" w:rsidRDefault="008973D4" w:rsidP="00097111">
      <w:pPr>
        <w:jc w:val="center"/>
      </w:pPr>
      <w:r w:rsidRPr="00BA4D86">
        <w:rPr>
          <w:noProof/>
          <w:lang w:eastAsia="en-AU"/>
        </w:rPr>
        <w:drawing>
          <wp:inline distT="0" distB="0" distL="0" distR="0" wp14:anchorId="5FE83134" wp14:editId="69B47553">
            <wp:extent cx="4508205" cy="2590264"/>
            <wp:effectExtent l="0" t="0" r="6985"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08031" cy="2590164"/>
                    </a:xfrm>
                    <a:prstGeom prst="rect">
                      <a:avLst/>
                    </a:prstGeom>
                    <a:noFill/>
                    <a:ln>
                      <a:noFill/>
                    </a:ln>
                  </pic:spPr>
                </pic:pic>
              </a:graphicData>
            </a:graphic>
          </wp:inline>
        </w:drawing>
      </w:r>
    </w:p>
    <w:p w:rsidR="008973D4" w:rsidRDefault="006818B2" w:rsidP="008973D4">
      <w:pPr>
        <w:rPr>
          <w:b/>
          <w:bCs/>
          <w:color w:val="076A92" w:themeColor="text1"/>
          <w:sz w:val="24"/>
          <w:szCs w:val="18"/>
        </w:rPr>
      </w:pPr>
      <w:r>
        <w:fldChar w:fldCharType="begin"/>
      </w:r>
      <w:r>
        <w:instrText xml:space="preserve"> REF _Ref425862258 \h  \* MERGEFORMAT </w:instrText>
      </w:r>
      <w:r>
        <w:fldChar w:fldCharType="separate"/>
      </w:r>
      <w:r w:rsidR="000C4199">
        <w:t xml:space="preserve">Figure </w:t>
      </w:r>
      <w:r w:rsidR="000C4199">
        <w:rPr>
          <w:noProof/>
        </w:rPr>
        <w:t>11</w:t>
      </w:r>
      <w:r>
        <w:fldChar w:fldCharType="end"/>
      </w:r>
      <w:r>
        <w:t xml:space="preserve"> presents the t</w:t>
      </w:r>
      <w:r w:rsidR="008973D4">
        <w:t>otal cost per MW of</w:t>
      </w:r>
      <w:r w:rsidR="008973D4" w:rsidRPr="000E556D">
        <w:t xml:space="preserve"> non-coincident maximum demand. The </w:t>
      </w:r>
      <w:r>
        <w:t xml:space="preserve">performance </w:t>
      </w:r>
      <w:r w:rsidR="008973D4" w:rsidRPr="000E556D">
        <w:t xml:space="preserve">of TNSPs under this measure differs to the </w:t>
      </w:r>
      <w:r>
        <w:t xml:space="preserve">two </w:t>
      </w:r>
      <w:r w:rsidR="008973D4" w:rsidRPr="000E556D">
        <w:t>PPI</w:t>
      </w:r>
      <w:r>
        <w:t xml:space="preserve"> measures discussed above</w:t>
      </w:r>
      <w:r w:rsidR="008973D4" w:rsidRPr="000E556D">
        <w:t>. Under this measure</w:t>
      </w:r>
      <w:r w:rsidR="00AE6E25">
        <w:t>,</w:t>
      </w:r>
      <w:r w:rsidR="008973D4" w:rsidRPr="000E556D">
        <w:t xml:space="preserve"> </w:t>
      </w:r>
      <w:proofErr w:type="spellStart"/>
      <w:r w:rsidR="008973D4" w:rsidRPr="000E556D">
        <w:t>TasNetworks</w:t>
      </w:r>
      <w:proofErr w:type="spellEnd"/>
      <w:r w:rsidR="008973D4" w:rsidRPr="000E556D">
        <w:t xml:space="preserve"> has the highest total cost per MW of maximum demand</w:t>
      </w:r>
      <w:r>
        <w:t>.</w:t>
      </w:r>
      <w:r w:rsidR="008973D4" w:rsidRPr="000E556D">
        <w:t xml:space="preserve"> </w:t>
      </w:r>
      <w:proofErr w:type="spellStart"/>
      <w:r w:rsidR="008973D4" w:rsidRPr="000E556D">
        <w:t>TransGrid</w:t>
      </w:r>
      <w:proofErr w:type="spellEnd"/>
      <w:r w:rsidR="008973D4" w:rsidRPr="000E556D">
        <w:t xml:space="preserve"> </w:t>
      </w:r>
      <w:r w:rsidR="008973D4">
        <w:t xml:space="preserve">and </w:t>
      </w:r>
      <w:proofErr w:type="spellStart"/>
      <w:r w:rsidR="008973D4">
        <w:t>AusNet</w:t>
      </w:r>
      <w:proofErr w:type="spellEnd"/>
      <w:r w:rsidR="008973D4">
        <w:t xml:space="preserve"> services have</w:t>
      </w:r>
      <w:r w:rsidR="008973D4" w:rsidRPr="000E556D">
        <w:t xml:space="preserve"> the lowest. </w:t>
      </w:r>
      <w:proofErr w:type="spellStart"/>
      <w:r w:rsidR="008973D4" w:rsidRPr="000E556D">
        <w:t>TransGrid</w:t>
      </w:r>
      <w:proofErr w:type="spellEnd"/>
      <w:r w:rsidR="008973D4" w:rsidRPr="000E556D">
        <w:t xml:space="preserve"> performs well under this measure as it has the highest maximum demand of all the networks. </w:t>
      </w:r>
      <w:proofErr w:type="spellStart"/>
      <w:r w:rsidR="008973D4" w:rsidRPr="000E556D">
        <w:t>TasNetworks</w:t>
      </w:r>
      <w:proofErr w:type="spellEnd"/>
      <w:r w:rsidR="008973D4" w:rsidRPr="000E556D">
        <w:t xml:space="preserve"> has the lowest maximum demand</w:t>
      </w:r>
      <w:r w:rsidR="008973D4">
        <w:t>,</w:t>
      </w:r>
      <w:r w:rsidR="008973D4" w:rsidRPr="000E556D">
        <w:t xml:space="preserve"> which </w:t>
      </w:r>
      <w:r w:rsidR="008973D4">
        <w:t>likely</w:t>
      </w:r>
      <w:r w:rsidR="008973D4" w:rsidRPr="000E556D">
        <w:t xml:space="preserve"> explain</w:t>
      </w:r>
      <w:r w:rsidR="008973D4">
        <w:t>s</w:t>
      </w:r>
      <w:r w:rsidR="008973D4" w:rsidRPr="000E556D">
        <w:t xml:space="preserve"> its high cost per MW of maximum demand.</w:t>
      </w:r>
      <w:bookmarkStart w:id="36" w:name="_Ref390956563"/>
      <w:r w:rsidRPr="006818B2">
        <w:t xml:space="preserve"> </w:t>
      </w:r>
    </w:p>
    <w:p w:rsidR="008973D4" w:rsidRDefault="008973D4" w:rsidP="008973D4">
      <w:pPr>
        <w:pStyle w:val="Caption"/>
      </w:pPr>
      <w:bookmarkStart w:id="37" w:name="_Ref425862258"/>
      <w:r>
        <w:lastRenderedPageBreak/>
        <w:t xml:space="preserve">Figure </w:t>
      </w:r>
      <w:r w:rsidRPr="000E556D">
        <w:fldChar w:fldCharType="begin"/>
      </w:r>
      <w:r>
        <w:instrText xml:space="preserve"> SEQ Figure \* ARABIC </w:instrText>
      </w:r>
      <w:r w:rsidRPr="000E556D">
        <w:fldChar w:fldCharType="separate"/>
      </w:r>
      <w:r w:rsidR="000C4199">
        <w:rPr>
          <w:noProof/>
        </w:rPr>
        <w:t>11</w:t>
      </w:r>
      <w:r w:rsidRPr="000E556D">
        <w:fldChar w:fldCharType="end"/>
      </w:r>
      <w:bookmarkEnd w:id="36"/>
      <w:bookmarkEnd w:id="37"/>
      <w:r>
        <w:tab/>
        <w:t>Total cost per MW of maximum demand served ($2014)</w:t>
      </w:r>
    </w:p>
    <w:p w:rsidR="008973D4" w:rsidRDefault="008973D4" w:rsidP="00097111">
      <w:pPr>
        <w:jc w:val="center"/>
      </w:pPr>
      <w:r w:rsidRPr="00892BA8">
        <w:rPr>
          <w:noProof/>
          <w:lang w:eastAsia="en-AU"/>
        </w:rPr>
        <w:drawing>
          <wp:inline distT="0" distB="0" distL="0" distR="0" wp14:anchorId="4B05DE66" wp14:editId="3B31C273">
            <wp:extent cx="4465675" cy="2565828"/>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465502" cy="2565729"/>
                    </a:xfrm>
                    <a:prstGeom prst="rect">
                      <a:avLst/>
                    </a:prstGeom>
                    <a:noFill/>
                    <a:ln>
                      <a:noFill/>
                    </a:ln>
                  </pic:spPr>
                </pic:pic>
              </a:graphicData>
            </a:graphic>
          </wp:inline>
        </w:drawing>
      </w:r>
    </w:p>
    <w:p w:rsidR="008973D4" w:rsidRDefault="008973D4" w:rsidP="00A75AB2">
      <w:pPr>
        <w:pStyle w:val="Caption"/>
      </w:pPr>
      <w:bookmarkStart w:id="38" w:name="_Ref432778045"/>
    </w:p>
    <w:bookmarkEnd w:id="38"/>
    <w:p w:rsidR="006A4D99" w:rsidRPr="001664C4" w:rsidRDefault="006A4D99" w:rsidP="009C6743">
      <w:pPr>
        <w:jc w:val="center"/>
      </w:pPr>
    </w:p>
    <w:p w:rsidR="00DE3DA0" w:rsidRDefault="00DE3DA0" w:rsidP="00DE3DA0">
      <w:pPr>
        <w:pStyle w:val="Heading1"/>
      </w:pPr>
      <w:bookmarkStart w:id="39" w:name="_Toc435709422"/>
      <w:r>
        <w:lastRenderedPageBreak/>
        <w:t>Conclusions</w:t>
      </w:r>
      <w:bookmarkEnd w:id="39"/>
    </w:p>
    <w:p w:rsidR="00DE3DA0" w:rsidRDefault="00DE3DA0" w:rsidP="00DE3DA0">
      <w:r>
        <w:t>Productivity across the industry has been declining over the past several years. Productivity is declining because the resources used to maintain, replace and augment the networks are increasing at a greater rate than the demand for electricity network services (measured in terms of maximum demand, line length, energy, and connection point kV).</w:t>
      </w:r>
      <w:r w:rsidR="000860C8">
        <w:t xml:space="preserve"> </w:t>
      </w:r>
      <w:proofErr w:type="spellStart"/>
      <w:r w:rsidR="000860C8">
        <w:t>TasNetworks</w:t>
      </w:r>
      <w:proofErr w:type="spellEnd"/>
      <w:r w:rsidR="000860C8">
        <w:t xml:space="preserve"> is the only network to improve its productivity in 2014 with a substantial 10.6 per cent improvement.</w:t>
      </w:r>
    </w:p>
    <w:p w:rsidR="00DE3DA0" w:rsidRDefault="00DE3DA0" w:rsidP="00DE3DA0">
      <w:r>
        <w:t xml:space="preserve">The </w:t>
      </w:r>
      <w:r w:rsidR="00467B27">
        <w:t xml:space="preserve">supporting measures </w:t>
      </w:r>
      <w:r>
        <w:t>provide alternative measures of comparative performance. While, in some cases, the best and worst performers on a supporting metric</w:t>
      </w:r>
      <w:r w:rsidR="00467B27">
        <w:t>s</w:t>
      </w:r>
      <w:r>
        <w:t xml:space="preserve"> rank similarly to those on MTFP, the supporting techniques do not measure overall efficiency.  PPIs examine efficiency in the use of only one output. </w:t>
      </w:r>
      <w:r w:rsidR="00467B27">
        <w:t xml:space="preserve">The partial factor productivity measures only consider a single input. </w:t>
      </w:r>
      <w:r>
        <w:t>Therefore, the results of the</w:t>
      </w:r>
      <w:r w:rsidR="00467B27">
        <w:t xml:space="preserve">se measures </w:t>
      </w:r>
      <w:r>
        <w:t xml:space="preserve">while useful for assessing relative </w:t>
      </w:r>
      <w:proofErr w:type="gramStart"/>
      <w:r>
        <w:t>efficiency,</w:t>
      </w:r>
      <w:proofErr w:type="gramEnd"/>
      <w:r>
        <w:t xml:space="preserve"> will not be the same as they are for MTFP.</w:t>
      </w:r>
    </w:p>
    <w:p w:rsidR="003367D3" w:rsidRPr="003367D3" w:rsidRDefault="00F40268" w:rsidP="00F40268">
      <w:pPr>
        <w:pStyle w:val="UnnumberedHeading"/>
      </w:pPr>
      <w:bookmarkStart w:id="40" w:name="_Toc435709423"/>
      <w:r>
        <w:lastRenderedPageBreak/>
        <w:t>Appendices</w:t>
      </w:r>
      <w:bookmarkEnd w:id="40"/>
    </w:p>
    <w:p w:rsidR="00F40166" w:rsidRDefault="00F40166" w:rsidP="00F40166">
      <w:pPr>
        <w:pStyle w:val="Heading7"/>
      </w:pPr>
      <w:bookmarkStart w:id="41" w:name="_Ref432682897"/>
      <w:bookmarkStart w:id="42" w:name="_Toc435709424"/>
      <w:bookmarkStart w:id="43" w:name="_Ref432603789"/>
      <w:r>
        <w:lastRenderedPageBreak/>
        <w:t>References and further reading</w:t>
      </w:r>
      <w:bookmarkEnd w:id="41"/>
      <w:bookmarkEnd w:id="42"/>
    </w:p>
    <w:p w:rsidR="00BF278D" w:rsidRDefault="00A302E8" w:rsidP="00A302E8">
      <w:r>
        <w:t xml:space="preserve">This benchmarking report </w:t>
      </w:r>
      <w:proofErr w:type="gramStart"/>
      <w:r>
        <w:t>is informed</w:t>
      </w:r>
      <w:proofErr w:type="gramEnd"/>
      <w:r>
        <w:t xml:space="preserve"> by several sources</w:t>
      </w:r>
      <w:r w:rsidR="00BF278D">
        <w:t>. These include</w:t>
      </w:r>
      <w:r>
        <w:t xml:space="preserve"> </w:t>
      </w:r>
      <w:r w:rsidR="003A4C69">
        <w:t xml:space="preserve">ACCC/AER research and expert advice provided </w:t>
      </w:r>
      <w:r>
        <w:t>by Economic Insights</w:t>
      </w:r>
      <w:r w:rsidR="003A4C69">
        <w:t>.</w:t>
      </w:r>
      <w:r>
        <w:t xml:space="preserve"> </w:t>
      </w:r>
      <w:r w:rsidR="003A4C69">
        <w:t>W</w:t>
      </w:r>
      <w:r>
        <w:t xml:space="preserve">e retained </w:t>
      </w:r>
      <w:r w:rsidR="003A4C69">
        <w:t xml:space="preserve">Economic Insights </w:t>
      </w:r>
      <w:r>
        <w:t xml:space="preserve">to assist us </w:t>
      </w:r>
      <w:r w:rsidR="00BF278D">
        <w:t xml:space="preserve">with the </w:t>
      </w:r>
      <w:r>
        <w:t xml:space="preserve">economic benchmarking </w:t>
      </w:r>
      <w:r w:rsidR="00BF278D">
        <w:t xml:space="preserve">relied on in this report and </w:t>
      </w:r>
      <w:r>
        <w:t xml:space="preserve">in recent </w:t>
      </w:r>
      <w:r w:rsidR="00B039FF">
        <w:t>transmission</w:t>
      </w:r>
      <w:r>
        <w:t xml:space="preserve"> determinations. </w:t>
      </w:r>
      <w:r w:rsidR="00BF278D">
        <w:t xml:space="preserve">References to relevant </w:t>
      </w:r>
      <w:r w:rsidR="00B039FF">
        <w:t>transmission</w:t>
      </w:r>
      <w:r w:rsidR="00BF278D">
        <w:t xml:space="preserve"> determinations are also included below.</w:t>
      </w:r>
    </w:p>
    <w:p w:rsidR="00A302E8" w:rsidRDefault="00A302E8" w:rsidP="00A302E8">
      <w:pPr>
        <w:pStyle w:val="HeadingBoldBlue"/>
      </w:pPr>
      <w:r>
        <w:t>Economic Insights publications</w:t>
      </w:r>
    </w:p>
    <w:p w:rsidR="00BF278D" w:rsidRDefault="00BF278D" w:rsidP="00BF278D">
      <w:pPr>
        <w:pStyle w:val="AERbulletlistfirststyle"/>
        <w:numPr>
          <w:ilvl w:val="0"/>
          <w:numId w:val="0"/>
        </w:numPr>
      </w:pPr>
      <w:r>
        <w:t>The following publications explain in detail how Economic Insights developed and applied the economic benchmarking techniques used by the AER.</w:t>
      </w:r>
    </w:p>
    <w:p w:rsidR="00A302E8" w:rsidRPr="000A6D1B" w:rsidRDefault="00345BE3" w:rsidP="00A302E8">
      <w:pPr>
        <w:pStyle w:val="AERbulletlistfirststyle"/>
      </w:pPr>
      <w:r w:rsidRPr="00345BE3">
        <w:t>Economic Insights</w:t>
      </w:r>
      <w:r>
        <w:t>,</w:t>
      </w:r>
      <w:r w:rsidRPr="00345BE3">
        <w:t xml:space="preserve"> </w:t>
      </w:r>
      <w:r w:rsidRPr="00345BE3">
        <w:rPr>
          <w:rStyle w:val="AERtextitalic"/>
        </w:rPr>
        <w:t>Memorandum – TNSP MTFP Results</w:t>
      </w:r>
      <w:r w:rsidRPr="00345BE3">
        <w:t xml:space="preserve">, </w:t>
      </w:r>
      <w:r w:rsidR="006900CA">
        <w:t>November</w:t>
      </w:r>
      <w:r w:rsidR="006900CA" w:rsidRPr="00345BE3">
        <w:t xml:space="preserve"> </w:t>
      </w:r>
      <w:r w:rsidRPr="00345BE3">
        <w:t>2015</w:t>
      </w:r>
    </w:p>
    <w:p w:rsidR="00A302E8" w:rsidRDefault="00345BE3" w:rsidP="00A302E8">
      <w:pPr>
        <w:pStyle w:val="AERbulletlistfirststyle"/>
      </w:pPr>
      <w:proofErr w:type="gramStart"/>
      <w:r w:rsidRPr="00345BE3">
        <w:t>Economic Insights</w:t>
      </w:r>
      <w:r>
        <w:t>,</w:t>
      </w:r>
      <w:r w:rsidRPr="00345BE3">
        <w:t xml:space="preserve"> </w:t>
      </w:r>
      <w:r w:rsidRPr="00345BE3">
        <w:rPr>
          <w:rStyle w:val="AERtextitalic"/>
        </w:rPr>
        <w:t>Economic Benchmarking Assessment of Operating Expenditure for NSW and Tasmanian Electricity TNSPs</w:t>
      </w:r>
      <w:r>
        <w:t>,</w:t>
      </w:r>
      <w:r w:rsidRPr="00345BE3">
        <w:t xml:space="preserve"> 10 November 2014 </w:t>
      </w:r>
      <w:r w:rsidR="000A6D1B">
        <w:t>(</w:t>
      </w:r>
      <w:hyperlink r:id="rId21" w:history="1">
        <w:r w:rsidR="000A6D1B" w:rsidRPr="00B73028">
          <w:rPr>
            <w:rStyle w:val="Hyperlink"/>
          </w:rPr>
          <w:t>link</w:t>
        </w:r>
      </w:hyperlink>
      <w:r w:rsidR="000A6D1B">
        <w:t>)</w:t>
      </w:r>
      <w:r w:rsidR="00BF278D">
        <w:t>.</w:t>
      </w:r>
      <w:proofErr w:type="gramEnd"/>
      <w:r w:rsidR="00BF278D">
        <w:t xml:space="preserve"> </w:t>
      </w:r>
    </w:p>
    <w:p w:rsidR="00A302E8" w:rsidRDefault="00345BE3" w:rsidP="00A302E8">
      <w:pPr>
        <w:pStyle w:val="AERbulletlistfirststyle"/>
      </w:pPr>
      <w:proofErr w:type="gramStart"/>
      <w:r w:rsidRPr="00345BE3">
        <w:t>Economic Insights</w:t>
      </w:r>
      <w:r>
        <w:t>,</w:t>
      </w:r>
      <w:r w:rsidRPr="00345BE3">
        <w:t xml:space="preserve"> </w:t>
      </w:r>
      <w:r w:rsidRPr="00345BE3">
        <w:rPr>
          <w:rStyle w:val="AERtextitalic"/>
        </w:rPr>
        <w:t xml:space="preserve">AER Response to </w:t>
      </w:r>
      <w:proofErr w:type="spellStart"/>
      <w:r w:rsidRPr="00345BE3">
        <w:rPr>
          <w:rStyle w:val="AERtextitalic"/>
        </w:rPr>
        <w:t>HoustonKemp</w:t>
      </w:r>
      <w:proofErr w:type="spellEnd"/>
      <w:r w:rsidRPr="00345BE3">
        <w:rPr>
          <w:rStyle w:val="AERtextitalic"/>
        </w:rPr>
        <w:t xml:space="preserve"> for </w:t>
      </w:r>
      <w:proofErr w:type="spellStart"/>
      <w:r w:rsidRPr="00345BE3">
        <w:rPr>
          <w:rStyle w:val="AERtextitalic"/>
        </w:rPr>
        <w:t>TransGrid</w:t>
      </w:r>
      <w:proofErr w:type="spellEnd"/>
      <w:r w:rsidRPr="00345BE3">
        <w:rPr>
          <w:rStyle w:val="AERtextitalic"/>
        </w:rPr>
        <w:t xml:space="preserve"> determination</w:t>
      </w:r>
      <w:r>
        <w:t xml:space="preserve">, </w:t>
      </w:r>
      <w:r w:rsidRPr="00345BE3">
        <w:t xml:space="preserve">4 March 2015 </w:t>
      </w:r>
      <w:r w:rsidR="000A6D1B">
        <w:t>(</w:t>
      </w:r>
      <w:hyperlink r:id="rId22" w:history="1">
        <w:r w:rsidR="000A6D1B" w:rsidRPr="00B73028">
          <w:rPr>
            <w:rStyle w:val="Hyperlink"/>
          </w:rPr>
          <w:t>link</w:t>
        </w:r>
      </w:hyperlink>
      <w:r w:rsidR="000A6D1B">
        <w:t>)</w:t>
      </w:r>
      <w:r w:rsidR="00BF278D">
        <w:t>.</w:t>
      </w:r>
      <w:proofErr w:type="gramEnd"/>
      <w:r>
        <w:t xml:space="preserve"> </w:t>
      </w:r>
    </w:p>
    <w:p w:rsidR="00A302E8" w:rsidRDefault="00A302E8" w:rsidP="00A302E8">
      <w:pPr>
        <w:pStyle w:val="HeadingBoldBlue"/>
      </w:pPr>
      <w:r>
        <w:t>ACCC/AER publications</w:t>
      </w:r>
    </w:p>
    <w:p w:rsidR="00BF278D" w:rsidRDefault="00BF278D" w:rsidP="00BF278D">
      <w:r>
        <w:t>These publications provide a comprehensive overview of the benchmarking approaches used by overseas regulators.</w:t>
      </w:r>
    </w:p>
    <w:p w:rsidR="00972FCB" w:rsidRDefault="00972FCB" w:rsidP="00972FCB">
      <w:pPr>
        <w:pStyle w:val="AERbulletlistfirststyle"/>
      </w:pPr>
      <w:proofErr w:type="gramStart"/>
      <w:r>
        <w:t xml:space="preserve">ACCC/AER, </w:t>
      </w:r>
      <w:r w:rsidRPr="000A6D1B">
        <w:rPr>
          <w:rStyle w:val="AERtextitalic"/>
        </w:rPr>
        <w:t xml:space="preserve">Benchmarking </w:t>
      </w:r>
      <w:proofErr w:type="spellStart"/>
      <w:r w:rsidRPr="000A6D1B">
        <w:rPr>
          <w:rStyle w:val="AERtextitalic"/>
        </w:rPr>
        <w:t>Opex</w:t>
      </w:r>
      <w:proofErr w:type="spellEnd"/>
      <w:r w:rsidRPr="000A6D1B">
        <w:rPr>
          <w:rStyle w:val="AERtextitalic"/>
        </w:rPr>
        <w:t xml:space="preserve"> and Capex in Energy Networks – Working Paper no. 6</w:t>
      </w:r>
      <w:r>
        <w:t>, May 2012</w:t>
      </w:r>
      <w:r w:rsidR="000A6D1B">
        <w:t xml:space="preserve"> (</w:t>
      </w:r>
      <w:hyperlink r:id="rId23" w:history="1">
        <w:r w:rsidR="000A6D1B" w:rsidRPr="000A6D1B">
          <w:rPr>
            <w:rStyle w:val="Hyperlink"/>
          </w:rPr>
          <w:t>link</w:t>
        </w:r>
      </w:hyperlink>
      <w:r w:rsidR="000A6D1B">
        <w:t>)</w:t>
      </w:r>
      <w:r w:rsidR="00BF278D">
        <w:t>.</w:t>
      </w:r>
      <w:proofErr w:type="gramEnd"/>
    </w:p>
    <w:p w:rsidR="00972FCB" w:rsidRDefault="00972FCB" w:rsidP="00972FCB">
      <w:pPr>
        <w:pStyle w:val="AERbulletlistfirststyle"/>
      </w:pPr>
      <w:r>
        <w:t xml:space="preserve">ACCC/AER, </w:t>
      </w:r>
      <w:r w:rsidRPr="000A6D1B">
        <w:rPr>
          <w:rStyle w:val="AERtextitalic"/>
        </w:rPr>
        <w:t xml:space="preserve">Regulatory Practices in Other Countries – Benchmarking </w:t>
      </w:r>
      <w:proofErr w:type="spellStart"/>
      <w:r w:rsidRPr="000A6D1B">
        <w:rPr>
          <w:rStyle w:val="AERtextitalic"/>
        </w:rPr>
        <w:t>opex</w:t>
      </w:r>
      <w:proofErr w:type="spellEnd"/>
      <w:r w:rsidRPr="000A6D1B">
        <w:rPr>
          <w:rStyle w:val="AERtextitalic"/>
        </w:rPr>
        <w:t xml:space="preserve"> and capex in energy networks</w:t>
      </w:r>
      <w:r>
        <w:t>, May 2012</w:t>
      </w:r>
      <w:r w:rsidR="000A6D1B">
        <w:t xml:space="preserve"> (</w:t>
      </w:r>
      <w:hyperlink r:id="rId24" w:history="1">
        <w:r w:rsidR="000A6D1B" w:rsidRPr="000A6D1B">
          <w:rPr>
            <w:rStyle w:val="Hyperlink"/>
          </w:rPr>
          <w:t>link</w:t>
        </w:r>
      </w:hyperlink>
      <w:r w:rsidR="000A6D1B">
        <w:t>)</w:t>
      </w:r>
      <w:r w:rsidR="00BF278D">
        <w:t>.</w:t>
      </w:r>
    </w:p>
    <w:p w:rsidR="000860C8" w:rsidRDefault="000860C8" w:rsidP="000860C8">
      <w:pPr>
        <w:pStyle w:val="AERbulletlistfirststyle"/>
      </w:pPr>
      <w:proofErr w:type="gramStart"/>
      <w:r w:rsidRPr="000860C8">
        <w:t>WIK Consult, Cost Benchmarking in Energy Regulation in European Countries, December 2011 (link).</w:t>
      </w:r>
      <w:proofErr w:type="gramEnd"/>
    </w:p>
    <w:p w:rsidR="00BF278D" w:rsidRDefault="00BF278D" w:rsidP="00BF278D">
      <w:pPr>
        <w:pStyle w:val="HeadingBoldBlue"/>
      </w:pPr>
      <w:r>
        <w:t xml:space="preserve">AER </w:t>
      </w:r>
      <w:r w:rsidR="00145676">
        <w:t>transmission</w:t>
      </w:r>
      <w:r>
        <w:t xml:space="preserve"> determinations</w:t>
      </w:r>
    </w:p>
    <w:p w:rsidR="00BF278D" w:rsidRDefault="00BF278D" w:rsidP="00BF278D">
      <w:r>
        <w:t xml:space="preserve">In each of the following determinations, the AER applied economic benchmarking to determine efficient total forecast </w:t>
      </w:r>
      <w:proofErr w:type="spellStart"/>
      <w:r>
        <w:t>opex</w:t>
      </w:r>
      <w:proofErr w:type="spellEnd"/>
      <w:r>
        <w:t>.</w:t>
      </w:r>
    </w:p>
    <w:p w:rsidR="00B73028" w:rsidRDefault="00626D34" w:rsidP="00626D34">
      <w:pPr>
        <w:pStyle w:val="AERbulletlistfirststyle"/>
      </w:pPr>
      <w:r>
        <w:t xml:space="preserve">AER, Draft decision, </w:t>
      </w:r>
      <w:proofErr w:type="spellStart"/>
      <w:r w:rsidRPr="00626D34">
        <w:rPr>
          <w:i/>
        </w:rPr>
        <w:t>TransGrid</w:t>
      </w:r>
      <w:proofErr w:type="spellEnd"/>
      <w:r w:rsidRPr="00626D34">
        <w:rPr>
          <w:i/>
        </w:rPr>
        <w:t xml:space="preserve"> transmission determination 2015–16 to 2017–18 Attachment 7: Operating expenditure</w:t>
      </w:r>
      <w:r>
        <w:t>, November 2014 (</w:t>
      </w:r>
      <w:hyperlink r:id="rId25" w:history="1">
        <w:r w:rsidRPr="00626D34">
          <w:rPr>
            <w:rStyle w:val="Hyperlink"/>
          </w:rPr>
          <w:t>link</w:t>
        </w:r>
      </w:hyperlink>
      <w:r>
        <w:t>).</w:t>
      </w:r>
    </w:p>
    <w:p w:rsidR="00626D34" w:rsidRDefault="00626D34" w:rsidP="00626D34">
      <w:pPr>
        <w:pStyle w:val="AERbulletlistfirststyle"/>
      </w:pPr>
      <w:r>
        <w:t xml:space="preserve">AER, </w:t>
      </w:r>
      <w:r w:rsidRPr="00626D34">
        <w:rPr>
          <w:i/>
        </w:rPr>
        <w:t xml:space="preserve">Final decision </w:t>
      </w:r>
      <w:proofErr w:type="spellStart"/>
      <w:r w:rsidRPr="00626D34">
        <w:rPr>
          <w:i/>
        </w:rPr>
        <w:t>TransGrid</w:t>
      </w:r>
      <w:proofErr w:type="spellEnd"/>
      <w:r w:rsidRPr="00626D34">
        <w:rPr>
          <w:i/>
        </w:rPr>
        <w:t xml:space="preserve"> transmission determination 2015−16 to 2017−18 Attachment 7 – Operating expenditure</w:t>
      </w:r>
      <w:r>
        <w:t>, April 2015 (</w:t>
      </w:r>
      <w:hyperlink r:id="rId26" w:history="1">
        <w:r w:rsidRPr="00626D34">
          <w:rPr>
            <w:rStyle w:val="Hyperlink"/>
          </w:rPr>
          <w:t>link</w:t>
        </w:r>
      </w:hyperlink>
      <w:r>
        <w:t>).</w:t>
      </w:r>
    </w:p>
    <w:p w:rsidR="00626D34" w:rsidRDefault="00626D34" w:rsidP="00626D34">
      <w:pPr>
        <w:pStyle w:val="AERbulletlistfirststyle"/>
      </w:pPr>
      <w:r>
        <w:t xml:space="preserve">AER, </w:t>
      </w:r>
      <w:r w:rsidRPr="00626D34">
        <w:rPr>
          <w:i/>
        </w:rPr>
        <w:t xml:space="preserve">Draft decision </w:t>
      </w:r>
      <w:proofErr w:type="spellStart"/>
      <w:r w:rsidRPr="00626D34">
        <w:rPr>
          <w:i/>
        </w:rPr>
        <w:t>TasNetworks</w:t>
      </w:r>
      <w:proofErr w:type="spellEnd"/>
      <w:r w:rsidRPr="00626D34">
        <w:rPr>
          <w:i/>
        </w:rPr>
        <w:t xml:space="preserve"> transmission determination 2015–16 to 2018–19 Attachment 7: Operating expenditure</w:t>
      </w:r>
      <w:r>
        <w:t>, November 2014 (</w:t>
      </w:r>
      <w:hyperlink r:id="rId27" w:history="1">
        <w:r w:rsidRPr="00626D34">
          <w:rPr>
            <w:rStyle w:val="Hyperlink"/>
          </w:rPr>
          <w:t>link</w:t>
        </w:r>
      </w:hyperlink>
      <w:r>
        <w:t>)</w:t>
      </w:r>
    </w:p>
    <w:p w:rsidR="008A7BEA" w:rsidRDefault="003367D3" w:rsidP="008A7BEA">
      <w:pPr>
        <w:pStyle w:val="Heading7"/>
      </w:pPr>
      <w:bookmarkStart w:id="44" w:name="_Ref433113873"/>
      <w:bookmarkStart w:id="45" w:name="_Toc435709425"/>
      <w:r>
        <w:lastRenderedPageBreak/>
        <w:t>I</w:t>
      </w:r>
      <w:r w:rsidR="008A7BEA">
        <w:t>nputs and outputs</w:t>
      </w:r>
      <w:bookmarkEnd w:id="43"/>
      <w:bookmarkEnd w:id="44"/>
      <w:bookmarkEnd w:id="45"/>
    </w:p>
    <w:p w:rsidR="00397790" w:rsidRPr="00D050A0" w:rsidRDefault="00D050A0" w:rsidP="00397790">
      <w:pPr>
        <w:rPr>
          <w:rStyle w:val="AERbody"/>
        </w:rPr>
      </w:pPr>
      <w:r w:rsidRPr="00D050A0">
        <w:rPr>
          <w:rStyle w:val="AERbody"/>
        </w:rPr>
        <w:t xml:space="preserve">This </w:t>
      </w:r>
      <w:r>
        <w:rPr>
          <w:rStyle w:val="AERbody"/>
        </w:rPr>
        <w:t>appendix contains further information on the outputs and inputs used in the benchmarking techniques.</w:t>
      </w:r>
      <w:r w:rsidR="00F250EA">
        <w:rPr>
          <w:rStyle w:val="AERbody"/>
        </w:rPr>
        <w:t xml:space="preserve"> The November 2014 Economic Insights report referenced in Appendix </w:t>
      </w:r>
      <w:r w:rsidR="00F250EA">
        <w:rPr>
          <w:rStyle w:val="AERbody"/>
        </w:rPr>
        <w:fldChar w:fldCharType="begin"/>
      </w:r>
      <w:r w:rsidR="00F250EA">
        <w:rPr>
          <w:rStyle w:val="AERbody"/>
        </w:rPr>
        <w:instrText xml:space="preserve"> REF _Ref432682897 \n \h </w:instrText>
      </w:r>
      <w:r w:rsidR="00F250EA">
        <w:rPr>
          <w:rStyle w:val="AERbody"/>
        </w:rPr>
      </w:r>
      <w:r w:rsidR="00F250EA">
        <w:rPr>
          <w:rStyle w:val="AERbody"/>
        </w:rPr>
        <w:fldChar w:fldCharType="separate"/>
      </w:r>
      <w:r w:rsidR="000C4199">
        <w:rPr>
          <w:rStyle w:val="AERbody"/>
        </w:rPr>
        <w:t>A</w:t>
      </w:r>
      <w:r w:rsidR="00F250EA">
        <w:rPr>
          <w:rStyle w:val="AERbody"/>
        </w:rPr>
        <w:fldChar w:fldCharType="end"/>
      </w:r>
      <w:r w:rsidR="00F250EA">
        <w:rPr>
          <w:rStyle w:val="AERbody"/>
        </w:rPr>
        <w:t xml:space="preserve"> explains the input and output specifications used in this report.</w:t>
      </w:r>
    </w:p>
    <w:p w:rsidR="003367D3" w:rsidRPr="008F31F7" w:rsidRDefault="003367D3" w:rsidP="003367D3">
      <w:pPr>
        <w:pStyle w:val="Heading8"/>
      </w:pPr>
      <w:bookmarkStart w:id="46" w:name="_Toc404010811"/>
      <w:bookmarkStart w:id="47" w:name="_Ref429588987"/>
      <w:bookmarkStart w:id="48" w:name="_Ref429649021"/>
      <w:r>
        <w:t>O</w:t>
      </w:r>
      <w:r w:rsidRPr="008F31F7">
        <w:t>utputs</w:t>
      </w:r>
      <w:bookmarkEnd w:id="46"/>
      <w:bookmarkEnd w:id="47"/>
      <w:bookmarkEnd w:id="48"/>
    </w:p>
    <w:p w:rsidR="003367D3" w:rsidRDefault="00D050A0" w:rsidP="003367D3">
      <w:r>
        <w:t xml:space="preserve">The techniques in the report measure output using line length, </w:t>
      </w:r>
      <w:r w:rsidR="00933D65">
        <w:t xml:space="preserve">energy transported, </w:t>
      </w:r>
      <w:r>
        <w:t xml:space="preserve">maximum demand, </w:t>
      </w:r>
      <w:r w:rsidR="00933D65">
        <w:t xml:space="preserve">voltage of entry and exit points </w:t>
      </w:r>
      <w:r>
        <w:t xml:space="preserve">and reliability. </w:t>
      </w:r>
    </w:p>
    <w:p w:rsidR="003367D3" w:rsidRPr="008F31F7" w:rsidRDefault="00962005" w:rsidP="003367D3">
      <w:pPr>
        <w:pStyle w:val="Heading9"/>
      </w:pPr>
      <w:bookmarkStart w:id="49" w:name="_Toc429645839"/>
      <w:bookmarkStart w:id="50" w:name="_Toc429645934"/>
      <w:bookmarkStart w:id="51" w:name="_Toc429648210"/>
      <w:bookmarkStart w:id="52" w:name="_Toc429661402"/>
      <w:bookmarkStart w:id="53" w:name="_Toc429661430"/>
      <w:bookmarkStart w:id="54" w:name="_Ref429646220"/>
      <w:bookmarkEnd w:id="49"/>
      <w:bookmarkEnd w:id="50"/>
      <w:bookmarkEnd w:id="51"/>
      <w:bookmarkEnd w:id="52"/>
      <w:bookmarkEnd w:id="53"/>
      <w:r>
        <w:t>L</w:t>
      </w:r>
      <w:r w:rsidR="00933D65">
        <w:t>ine length</w:t>
      </w:r>
      <w:bookmarkEnd w:id="54"/>
    </w:p>
    <w:p w:rsidR="00933D65" w:rsidRPr="00120085" w:rsidRDefault="00BF2D78" w:rsidP="00933D65">
      <w:r>
        <w:t>TNSPs must</w:t>
      </w:r>
      <w:r w:rsidRPr="00120085">
        <w:t xml:space="preserve"> transport electricity </w:t>
      </w:r>
      <w:r>
        <w:t>between generators and downstream users.</w:t>
      </w:r>
      <w:r w:rsidRPr="00120085">
        <w:t xml:space="preserve"> </w:t>
      </w:r>
      <w:r w:rsidR="00933D65">
        <w:t xml:space="preserve">Line length reflects the distances over which TNSPs deliver electricity </w:t>
      </w:r>
      <w:r w:rsidR="00933D65" w:rsidRPr="00120085">
        <w:t xml:space="preserve">to </w:t>
      </w:r>
      <w:r>
        <w:t>downstream users from generators.</w:t>
      </w:r>
      <w:r w:rsidR="00933D65" w:rsidRPr="00120085">
        <w:t xml:space="preserve"> </w:t>
      </w:r>
      <w:r w:rsidR="00933D65">
        <w:t xml:space="preserve">TNSPs </w:t>
      </w:r>
      <w:r w:rsidR="00933D65" w:rsidRPr="00120085">
        <w:t>will typically operate networks that transport electricity over thousands of kilometres.</w:t>
      </w:r>
    </w:p>
    <w:p w:rsidR="00DF204F" w:rsidRDefault="002A0CEF" w:rsidP="00DF204F">
      <w:r>
        <w:t xml:space="preserve">In this report, line length </w:t>
      </w:r>
      <w:proofErr w:type="gramStart"/>
      <w:r>
        <w:t>is measured</w:t>
      </w:r>
      <w:proofErr w:type="gramEnd"/>
      <w:r>
        <w:t xml:space="preserve"> in terms of</w:t>
      </w:r>
      <w:r w:rsidRPr="00120085">
        <w:t xml:space="preserve"> </w:t>
      </w:r>
      <w:r w:rsidR="00142B6A">
        <w:t>circuit line length</w:t>
      </w:r>
      <w:r w:rsidRPr="00120085">
        <w:t xml:space="preserve">. </w:t>
      </w:r>
      <w:r w:rsidR="00DF204F" w:rsidRPr="003114AE">
        <w:t>The circuit line length is the length in kilometres of lines, measured as the length of each circuit span between poles and/or towers</w:t>
      </w:r>
      <w:r w:rsidR="00DF204F" w:rsidRPr="00BF0D56">
        <w:t xml:space="preserve"> and underground. This represents the distance over which transmission networks are required to transport electricity</w:t>
      </w:r>
      <w:r w:rsidR="00DF204F">
        <w:t xml:space="preserve">. </w:t>
      </w:r>
    </w:p>
    <w:p w:rsidR="002A0CEF" w:rsidRDefault="002A0CEF" w:rsidP="002A0CEF">
      <w:r>
        <w:t>In economic benchmarking metrics, we use circuit length because, in addition to measuring network size, it also approximates system</w:t>
      </w:r>
      <w:r w:rsidRPr="00731ED0">
        <w:t xml:space="preserve"> </w:t>
      </w:r>
      <w:r>
        <w:t>capacity</w:t>
      </w:r>
      <w:r w:rsidRPr="00731ED0">
        <w:t xml:space="preserve">. </w:t>
      </w:r>
      <w:r>
        <w:t xml:space="preserve">System capacity represents </w:t>
      </w:r>
      <w:r w:rsidRPr="00731ED0">
        <w:t xml:space="preserve">the amount of network </w:t>
      </w:r>
      <w:r>
        <w:t xml:space="preserve">a </w:t>
      </w:r>
      <w:r w:rsidR="00DF204F">
        <w:t>TNSP</w:t>
      </w:r>
      <w:r>
        <w:t xml:space="preserve"> must</w:t>
      </w:r>
      <w:r w:rsidRPr="00731ED0">
        <w:t xml:space="preserve"> install and maintain to supply consumers with the quantity of electricity demanded at the places where they are located.</w:t>
      </w:r>
      <w:r>
        <w:t xml:space="preserve"> </w:t>
      </w:r>
      <w:r w:rsidR="000860C8">
        <w:fldChar w:fldCharType="begin"/>
      </w:r>
      <w:r w:rsidR="000860C8">
        <w:instrText xml:space="preserve"> REF _Ref435703593 \h </w:instrText>
      </w:r>
      <w:r w:rsidR="000860C8">
        <w:fldChar w:fldCharType="separate"/>
      </w:r>
      <w:r w:rsidR="000C4199">
        <w:t xml:space="preserve">Figure </w:t>
      </w:r>
      <w:r w:rsidR="000C4199">
        <w:rPr>
          <w:noProof/>
        </w:rPr>
        <w:t>12</w:t>
      </w:r>
      <w:r w:rsidR="000860C8">
        <w:fldChar w:fldCharType="end"/>
      </w:r>
      <w:r w:rsidR="0045506F">
        <w:t xml:space="preserve"> shows each T</w:t>
      </w:r>
      <w:r>
        <w:t>NSP’s circuit length, on average, over the five years from 2010 to 2014.</w:t>
      </w:r>
    </w:p>
    <w:p w:rsidR="00933D65" w:rsidRDefault="000E6F5A" w:rsidP="00933D65">
      <w:pPr>
        <w:pStyle w:val="Caption"/>
      </w:pPr>
      <w:bookmarkStart w:id="55" w:name="_Ref435703593"/>
      <w:r>
        <w:t xml:space="preserve">Figure </w:t>
      </w:r>
      <w:r w:rsidRPr="00120085">
        <w:fldChar w:fldCharType="begin"/>
      </w:r>
      <w:r>
        <w:instrText xml:space="preserve"> SEQ Figure \* ARABIC </w:instrText>
      </w:r>
      <w:r w:rsidRPr="00120085">
        <w:fldChar w:fldCharType="separate"/>
      </w:r>
      <w:r w:rsidR="000C4199">
        <w:rPr>
          <w:noProof/>
        </w:rPr>
        <w:t>12</w:t>
      </w:r>
      <w:r w:rsidRPr="00120085">
        <w:fldChar w:fldCharType="end"/>
      </w:r>
      <w:bookmarkEnd w:id="55"/>
      <w:r>
        <w:tab/>
      </w:r>
      <w:proofErr w:type="gramStart"/>
      <w:r>
        <w:t>Five year</w:t>
      </w:r>
      <w:proofErr w:type="gramEnd"/>
      <w:r>
        <w:t xml:space="preserve"> average circuit length by TNSP (2010–14)</w:t>
      </w:r>
    </w:p>
    <w:p w:rsidR="00933D65" w:rsidRDefault="00933D65" w:rsidP="00097111">
      <w:pPr>
        <w:jc w:val="center"/>
      </w:pPr>
      <w:r w:rsidRPr="00BA4F40">
        <w:rPr>
          <w:noProof/>
          <w:lang w:eastAsia="en-AU"/>
        </w:rPr>
        <w:drawing>
          <wp:inline distT="0" distB="0" distL="0" distR="0" wp14:anchorId="7EFD95FB" wp14:editId="616FC713">
            <wp:extent cx="3965944" cy="24050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966132" cy="2405172"/>
                    </a:xfrm>
                    <a:prstGeom prst="rect">
                      <a:avLst/>
                    </a:prstGeom>
                    <a:noFill/>
                    <a:ln>
                      <a:noFill/>
                    </a:ln>
                  </pic:spPr>
                </pic:pic>
              </a:graphicData>
            </a:graphic>
          </wp:inline>
        </w:drawing>
      </w:r>
    </w:p>
    <w:p w:rsidR="00BF2D78" w:rsidRPr="00BF0D56" w:rsidRDefault="00BF2D78" w:rsidP="00097111">
      <w:pPr>
        <w:jc w:val="center"/>
      </w:pPr>
    </w:p>
    <w:p w:rsidR="0014002E" w:rsidRPr="00BF0D56" w:rsidRDefault="0014002E" w:rsidP="0014002E">
      <w:pPr>
        <w:pStyle w:val="Heading9"/>
      </w:pPr>
      <w:r>
        <w:lastRenderedPageBreak/>
        <w:t xml:space="preserve">Energy </w:t>
      </w:r>
      <w:r w:rsidR="0045506F">
        <w:t>throughput</w:t>
      </w:r>
    </w:p>
    <w:p w:rsidR="0014002E" w:rsidRDefault="0014002E" w:rsidP="0014002E">
      <w:r>
        <w:t xml:space="preserve">Energy transported is the total </w:t>
      </w:r>
      <w:r w:rsidRPr="00BF0D56">
        <w:t xml:space="preserve">volume of electricity </w:t>
      </w:r>
      <w:r w:rsidR="0045506F">
        <w:t>throughput</w:t>
      </w:r>
      <w:r w:rsidRPr="00BF0D56">
        <w:t xml:space="preserve"> over time through the transmission network, measured in gigawatt hours (</w:t>
      </w:r>
      <w:proofErr w:type="spellStart"/>
      <w:r w:rsidRPr="00BF0D56">
        <w:t>GWh</w:t>
      </w:r>
      <w:proofErr w:type="spellEnd"/>
      <w:r w:rsidRPr="00BF0D56">
        <w:t>).</w:t>
      </w:r>
    </w:p>
    <w:p w:rsidR="0014002E" w:rsidRDefault="0014002E" w:rsidP="0014002E">
      <w:pPr>
        <w:pStyle w:val="Caption"/>
      </w:pPr>
      <w:r w:rsidRPr="00A904A4">
        <w:t xml:space="preserve">Figure </w:t>
      </w:r>
      <w:r w:rsidRPr="00BF0D56">
        <w:fldChar w:fldCharType="begin"/>
      </w:r>
      <w:r>
        <w:instrText xml:space="preserve"> SEQ Figure \* ARABIC </w:instrText>
      </w:r>
      <w:r w:rsidRPr="00BF0D56">
        <w:fldChar w:fldCharType="separate"/>
      </w:r>
      <w:r w:rsidR="000C4199">
        <w:rPr>
          <w:noProof/>
        </w:rPr>
        <w:t>13</w:t>
      </w:r>
      <w:r w:rsidRPr="00BF0D56">
        <w:fldChar w:fldCharType="end"/>
      </w:r>
      <w:r w:rsidRPr="00A904A4">
        <w:tab/>
      </w:r>
      <w:r>
        <w:t>Energy transported in 2014 (</w:t>
      </w:r>
      <w:proofErr w:type="spellStart"/>
      <w:r>
        <w:t>GWh</w:t>
      </w:r>
      <w:proofErr w:type="spellEnd"/>
      <w:r>
        <w:t>)</w:t>
      </w:r>
    </w:p>
    <w:p w:rsidR="0014002E" w:rsidRPr="00BF0D56" w:rsidRDefault="0014002E" w:rsidP="00097111">
      <w:pPr>
        <w:jc w:val="center"/>
      </w:pPr>
      <w:r w:rsidRPr="00BA4F40">
        <w:rPr>
          <w:noProof/>
          <w:lang w:eastAsia="en-AU"/>
        </w:rPr>
        <w:drawing>
          <wp:inline distT="0" distB="0" distL="0" distR="0" wp14:anchorId="18351EB6" wp14:editId="48E7FACB">
            <wp:extent cx="3965944" cy="240505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966132" cy="2405172"/>
                    </a:xfrm>
                    <a:prstGeom prst="rect">
                      <a:avLst/>
                    </a:prstGeom>
                    <a:noFill/>
                    <a:ln>
                      <a:noFill/>
                    </a:ln>
                  </pic:spPr>
                </pic:pic>
              </a:graphicData>
            </a:graphic>
          </wp:inline>
        </w:drawing>
      </w:r>
    </w:p>
    <w:p w:rsidR="003367D3" w:rsidRPr="0069742C" w:rsidRDefault="003367D3" w:rsidP="003367D3">
      <w:pPr>
        <w:pStyle w:val="Heading9"/>
      </w:pPr>
      <w:r>
        <w:t>M</w:t>
      </w:r>
      <w:r w:rsidRPr="0069742C">
        <w:t>aximum demand</w:t>
      </w:r>
    </w:p>
    <w:p w:rsidR="00FB3438" w:rsidRDefault="00DE4C65" w:rsidP="00057140">
      <w:r>
        <w:t>T</w:t>
      </w:r>
      <w:r w:rsidR="00057140">
        <w:t>NSPs</w:t>
      </w:r>
      <w:r w:rsidR="003367D3">
        <w:t xml:space="preserve"> </w:t>
      </w:r>
      <w:r w:rsidR="003367D3" w:rsidRPr="00120085">
        <w:t xml:space="preserve">are required to meet and manage the demand of their customers. This means that they must build and operate their networks </w:t>
      </w:r>
      <w:r w:rsidR="003367D3">
        <w:t>with</w:t>
      </w:r>
      <w:r w:rsidR="003367D3" w:rsidRPr="00120085">
        <w:t xml:space="preserve"> sufficient capacity to meet the expected </w:t>
      </w:r>
      <w:r w:rsidR="003367D3">
        <w:t xml:space="preserve">peak </w:t>
      </w:r>
      <w:r w:rsidR="003367D3" w:rsidRPr="00120085">
        <w:t>demand for electricity. Maximum demand is a measure of the overall peak in demand experienced by the network</w:t>
      </w:r>
      <w:r w:rsidR="00057140">
        <w:t>.</w:t>
      </w:r>
      <w:r w:rsidR="00057140" w:rsidRPr="00057140">
        <w:t xml:space="preserve"> </w:t>
      </w:r>
      <w:r w:rsidR="00057140">
        <w:t>The maximum demand measure we use is non-coincident summated raw system annual maximum demand, at the transmission connection point.</w:t>
      </w:r>
    </w:p>
    <w:p w:rsidR="003367D3" w:rsidRDefault="00057140" w:rsidP="00057140">
      <w:r>
        <w:t xml:space="preserve">The economic benchmarking techniques </w:t>
      </w:r>
      <w:r w:rsidR="003367D3">
        <w:t xml:space="preserve">use 'ratcheted' maximum demand as an output rather than observed maximum demand. Ratcheted maximum demand is </w:t>
      </w:r>
      <w:r w:rsidR="003367D3" w:rsidRPr="00211D82">
        <w:t xml:space="preserve">the highest value of peak demand observed in the </w:t>
      </w:r>
      <w:proofErr w:type="gramStart"/>
      <w:r w:rsidR="003367D3" w:rsidRPr="00211D82">
        <w:t>time period</w:t>
      </w:r>
      <w:proofErr w:type="gramEnd"/>
      <w:r w:rsidR="003367D3" w:rsidRPr="00211D82">
        <w:t xml:space="preserve"> up to the year in question for each </w:t>
      </w:r>
      <w:r w:rsidR="00FB3438">
        <w:t>T</w:t>
      </w:r>
      <w:r w:rsidR="003E2578">
        <w:t>NSP</w:t>
      </w:r>
      <w:r w:rsidR="003367D3" w:rsidRPr="00211D82">
        <w:t xml:space="preserve">. It thus recognises capacity that </w:t>
      </w:r>
      <w:proofErr w:type="gramStart"/>
      <w:r w:rsidR="003367D3" w:rsidRPr="00211D82">
        <w:t>has actually been used</w:t>
      </w:r>
      <w:proofErr w:type="gramEnd"/>
      <w:r w:rsidR="003367D3" w:rsidRPr="00211D82">
        <w:t xml:space="preserve"> to satisfy demand and gives the </w:t>
      </w:r>
      <w:r w:rsidR="00FB3438">
        <w:t>T</w:t>
      </w:r>
      <w:r w:rsidR="003E2578">
        <w:t xml:space="preserve">NSP </w:t>
      </w:r>
      <w:r w:rsidR="003367D3" w:rsidRPr="00211D82">
        <w:t>credit for this capacity in subsequent years, even though annual peak demand may be lower in subsequent years.</w:t>
      </w:r>
    </w:p>
    <w:p w:rsidR="003210FF" w:rsidRDefault="003210FF" w:rsidP="003210FF">
      <w:pPr>
        <w:pStyle w:val="Caption"/>
      </w:pPr>
      <w:r w:rsidRPr="00A904A4">
        <w:lastRenderedPageBreak/>
        <w:t xml:space="preserve">Figure </w:t>
      </w:r>
      <w:r w:rsidRPr="00BF0D56">
        <w:fldChar w:fldCharType="begin"/>
      </w:r>
      <w:r>
        <w:instrText xml:space="preserve"> SEQ Figure \* ARABIC </w:instrText>
      </w:r>
      <w:r w:rsidRPr="00BF0D56">
        <w:fldChar w:fldCharType="separate"/>
      </w:r>
      <w:r w:rsidR="000C4199">
        <w:rPr>
          <w:noProof/>
        </w:rPr>
        <w:t>14</w:t>
      </w:r>
      <w:r w:rsidRPr="00BF0D56">
        <w:fldChar w:fldCharType="end"/>
      </w:r>
      <w:r w:rsidRPr="00A904A4">
        <w:tab/>
      </w:r>
      <w:r>
        <w:t>Maximum demand for 2014 (MW)</w:t>
      </w:r>
    </w:p>
    <w:p w:rsidR="003210FF" w:rsidRDefault="003210FF" w:rsidP="00097111">
      <w:pPr>
        <w:jc w:val="center"/>
      </w:pPr>
      <w:r w:rsidRPr="00BA4F40">
        <w:rPr>
          <w:noProof/>
          <w:lang w:eastAsia="en-AU"/>
        </w:rPr>
        <w:drawing>
          <wp:inline distT="0" distB="0" distL="0" distR="0" wp14:anchorId="068D0CF3" wp14:editId="6C367987">
            <wp:extent cx="4082902" cy="2475985"/>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083096" cy="2476102"/>
                    </a:xfrm>
                    <a:prstGeom prst="rect">
                      <a:avLst/>
                    </a:prstGeom>
                    <a:noFill/>
                    <a:ln>
                      <a:noFill/>
                    </a:ln>
                  </pic:spPr>
                </pic:pic>
              </a:graphicData>
            </a:graphic>
          </wp:inline>
        </w:drawing>
      </w:r>
    </w:p>
    <w:p w:rsidR="0014002E" w:rsidRPr="00BF0D56" w:rsidRDefault="0014002E" w:rsidP="0014002E">
      <w:pPr>
        <w:pStyle w:val="Heading9"/>
      </w:pPr>
      <w:bookmarkStart w:id="56" w:name="_Ref429738654"/>
      <w:r w:rsidRPr="003A32FE">
        <w:t>Voltage of entry and exit points</w:t>
      </w:r>
      <w:bookmarkEnd w:id="56"/>
    </w:p>
    <w:p w:rsidR="0014002E" w:rsidRDefault="0014002E" w:rsidP="0014002E">
      <w:r>
        <w:t xml:space="preserve">The number of entry and exit points </w:t>
      </w:r>
      <w:r w:rsidRPr="00BF0D56">
        <w:t>represents the number of points to which a transmission network must connect. We use the summation of the total voltage of transmission node identifiers (TNIs) as the measure of the entry and exit points of the transmission networks.</w:t>
      </w:r>
      <w:r w:rsidRPr="00BF0D56">
        <w:rPr>
          <w:rStyle w:val="FootnoteReference"/>
        </w:rPr>
        <w:footnoteReference w:id="11"/>
      </w:r>
      <w:r w:rsidRPr="00BF0D56">
        <w:t xml:space="preserve"> The summation of the voltages of the connection points is required so that the aggregate measure reflects the differing sizes of TNIs across transmission networks. Specifically, higher voltage TNIs will typically require more assets as they will have a higher capacity.</w:t>
      </w:r>
      <w:r>
        <w:t xml:space="preserve"> Where a single node services multiple distributors or a distributor and a generator, and hence has multiple TNIs, we have only counted this node once. </w:t>
      </w:r>
    </w:p>
    <w:p w:rsidR="0014002E" w:rsidRDefault="0014002E" w:rsidP="0014002E">
      <w:pPr>
        <w:pStyle w:val="Caption"/>
      </w:pPr>
      <w:r w:rsidRPr="00A904A4">
        <w:t xml:space="preserve">Figure </w:t>
      </w:r>
      <w:r w:rsidRPr="00BF0D56">
        <w:fldChar w:fldCharType="begin"/>
      </w:r>
      <w:r>
        <w:instrText xml:space="preserve"> SEQ Figure \* ARABIC </w:instrText>
      </w:r>
      <w:r w:rsidRPr="00BF0D56">
        <w:fldChar w:fldCharType="separate"/>
      </w:r>
      <w:r w:rsidR="000C4199">
        <w:rPr>
          <w:noProof/>
        </w:rPr>
        <w:t>15</w:t>
      </w:r>
      <w:r w:rsidRPr="00BF0D56">
        <w:fldChar w:fldCharType="end"/>
      </w:r>
      <w:r w:rsidRPr="00A904A4">
        <w:tab/>
      </w:r>
      <w:r>
        <w:t>Aggregate voltage of entry and exit points (kV) for 2014</w:t>
      </w:r>
    </w:p>
    <w:p w:rsidR="0014002E" w:rsidRDefault="00184268" w:rsidP="00097111">
      <w:pPr>
        <w:jc w:val="center"/>
      </w:pPr>
      <w:r w:rsidRPr="00184268">
        <w:rPr>
          <w:noProof/>
          <w:lang w:eastAsia="en-AU"/>
        </w:rPr>
        <w:drawing>
          <wp:inline distT="0" distB="0" distL="0" distR="0" wp14:anchorId="00E1132D" wp14:editId="55A964D0">
            <wp:extent cx="4097567" cy="2484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097567" cy="2484000"/>
                    </a:xfrm>
                    <a:prstGeom prst="rect">
                      <a:avLst/>
                    </a:prstGeom>
                    <a:noFill/>
                    <a:ln>
                      <a:noFill/>
                    </a:ln>
                  </pic:spPr>
                </pic:pic>
              </a:graphicData>
            </a:graphic>
          </wp:inline>
        </w:drawing>
      </w:r>
    </w:p>
    <w:p w:rsidR="003367D3" w:rsidRPr="0069742C" w:rsidRDefault="003367D3" w:rsidP="003367D3">
      <w:pPr>
        <w:pStyle w:val="Heading9"/>
      </w:pPr>
      <w:r>
        <w:lastRenderedPageBreak/>
        <w:t>Reliability</w:t>
      </w:r>
    </w:p>
    <w:p w:rsidR="0014002E" w:rsidRDefault="003367D3" w:rsidP="0014002E">
      <w:r>
        <w:t xml:space="preserve">Another dimension of the outputs of </w:t>
      </w:r>
      <w:r w:rsidR="0014002E">
        <w:t>T</w:t>
      </w:r>
      <w:r w:rsidR="003E2578">
        <w:t xml:space="preserve">NSPs </w:t>
      </w:r>
      <w:r>
        <w:t xml:space="preserve">is </w:t>
      </w:r>
      <w:r w:rsidR="003E2578">
        <w:t xml:space="preserve">the </w:t>
      </w:r>
      <w:r>
        <w:t>reliability</w:t>
      </w:r>
      <w:r w:rsidR="003E2578">
        <w:t xml:space="preserve"> of their electricity supply</w:t>
      </w:r>
      <w:r>
        <w:t xml:space="preserve">. </w:t>
      </w:r>
      <w:r w:rsidR="0014002E">
        <w:t>T</w:t>
      </w:r>
      <w:r w:rsidR="0014002E" w:rsidRPr="00BF0D56">
        <w:t xml:space="preserve">ransmission networks </w:t>
      </w:r>
      <w:proofErr w:type="gramStart"/>
      <w:r w:rsidR="0014002E" w:rsidRPr="00BF0D56">
        <w:t>are designed</w:t>
      </w:r>
      <w:proofErr w:type="gramEnd"/>
      <w:r w:rsidR="0014002E" w:rsidRPr="00BF0D56">
        <w:t xml:space="preserve"> to be very reliable because interruptions to supply at the level of transmission networks can affect a large number of consumers. One of the measures of transmission reliability is energy not supplied </w:t>
      </w:r>
      <w:proofErr w:type="gramStart"/>
      <w:r w:rsidR="0014002E" w:rsidRPr="00BF0D56">
        <w:t>as a result</w:t>
      </w:r>
      <w:proofErr w:type="gramEnd"/>
      <w:r w:rsidR="0014002E" w:rsidRPr="00BF0D56">
        <w:t xml:space="preserve"> of network outages (unsupplied energy). Unsupplied energy is a very small proportion of total energy (generally less than 0.005 per cent of all energy transported). However, the cost of transmission outages can be great. We have estimated the costs of unsupplied energy using AEMO's recently updated VCR values.</w:t>
      </w:r>
      <w:r w:rsidR="0014002E" w:rsidRPr="00BF0D56">
        <w:rPr>
          <w:rStyle w:val="FootnoteReference"/>
        </w:rPr>
        <w:footnoteReference w:id="12"/>
      </w:r>
      <w:r w:rsidR="0014002E" w:rsidRPr="00BF0D56">
        <w:t xml:space="preserve"> </w:t>
      </w:r>
      <w:r w:rsidR="0014002E" w:rsidRPr="00BF0D56">
        <w:fldChar w:fldCharType="begin"/>
      </w:r>
      <w:r w:rsidR="0014002E" w:rsidRPr="00BF0D56">
        <w:instrText xml:space="preserve"> REF _Ref392495647 \h </w:instrText>
      </w:r>
      <w:r w:rsidR="0014002E" w:rsidRPr="00BF0D56">
        <w:fldChar w:fldCharType="separate"/>
      </w:r>
      <w:r w:rsidR="000C4199" w:rsidRPr="00A904A4">
        <w:t xml:space="preserve">Figure </w:t>
      </w:r>
      <w:r w:rsidR="000C4199">
        <w:rPr>
          <w:noProof/>
        </w:rPr>
        <w:t>16</w:t>
      </w:r>
      <w:r w:rsidR="0014002E" w:rsidRPr="00BF0D56">
        <w:fldChar w:fldCharType="end"/>
      </w:r>
      <w:r w:rsidR="0014002E" w:rsidRPr="00BF0D56">
        <w:t xml:space="preserve"> presents the estimated cost of unsupplied energy.</w:t>
      </w:r>
    </w:p>
    <w:p w:rsidR="0014002E" w:rsidRPr="00BF0D56" w:rsidRDefault="0014002E" w:rsidP="0014002E">
      <w:r>
        <w:t>In the MTFP analysis, r</w:t>
      </w:r>
      <w:r w:rsidRPr="001268E4">
        <w:t xml:space="preserve">eliability has been measured using unsupplied energy as a negative output. </w:t>
      </w:r>
      <w:r>
        <w:t>Since 2010,</w:t>
      </w:r>
      <w:r w:rsidRPr="001268E4">
        <w:t xml:space="preserve"> unsupplied energy is relatively low for most transmission businesses. </w:t>
      </w:r>
      <w:r w:rsidR="00CF4CAD">
        <w:t xml:space="preserve">In </w:t>
      </w:r>
      <w:r w:rsidR="00CF4CAD">
        <w:fldChar w:fldCharType="begin"/>
      </w:r>
      <w:r w:rsidR="00CF4CAD">
        <w:instrText xml:space="preserve"> REF _Ref392495647 \h </w:instrText>
      </w:r>
      <w:r w:rsidR="00CF4CAD">
        <w:fldChar w:fldCharType="separate"/>
      </w:r>
      <w:proofErr w:type="gramStart"/>
      <w:r w:rsidR="000C4199" w:rsidRPr="00A904A4">
        <w:t xml:space="preserve">Figure </w:t>
      </w:r>
      <w:r w:rsidR="000C4199">
        <w:rPr>
          <w:noProof/>
        </w:rPr>
        <w:t>16</w:t>
      </w:r>
      <w:proofErr w:type="gramEnd"/>
      <w:r w:rsidR="00CF4CAD">
        <w:fldChar w:fldCharType="end"/>
      </w:r>
      <w:r w:rsidR="00CF4CAD">
        <w:t xml:space="preserve"> w</w:t>
      </w:r>
      <w:r w:rsidR="00CF4CAD" w:rsidRPr="00CF4CAD">
        <w:t xml:space="preserve">e have excluded the cost of customer interruptions </w:t>
      </w:r>
      <w:r w:rsidR="00CF4CAD">
        <w:t>in</w:t>
      </w:r>
      <w:r w:rsidR="00CF4CAD" w:rsidRPr="00CF4CAD">
        <w:t xml:space="preserve"> </w:t>
      </w:r>
      <w:proofErr w:type="spellStart"/>
      <w:r w:rsidR="00CF4CAD" w:rsidRPr="00CF4CAD">
        <w:t>AusNet</w:t>
      </w:r>
      <w:proofErr w:type="spellEnd"/>
      <w:r w:rsidR="00CF4CAD" w:rsidRPr="00CF4CAD">
        <w:t xml:space="preserve"> Services' network for 2009 as these are anomalously large (about $400 million) and dwarf the other results.</w:t>
      </w:r>
    </w:p>
    <w:p w:rsidR="0014002E" w:rsidRPr="00A904A4" w:rsidRDefault="0014002E" w:rsidP="0014002E">
      <w:pPr>
        <w:pStyle w:val="Caption"/>
      </w:pPr>
      <w:bookmarkStart w:id="57" w:name="_Ref392495647"/>
      <w:r w:rsidRPr="00A904A4">
        <w:t xml:space="preserve">Figure </w:t>
      </w:r>
      <w:r w:rsidRPr="00BF0D56">
        <w:fldChar w:fldCharType="begin"/>
      </w:r>
      <w:r>
        <w:instrText xml:space="preserve"> SEQ Figure \* ARABIC </w:instrText>
      </w:r>
      <w:r w:rsidRPr="00BF0D56">
        <w:fldChar w:fldCharType="separate"/>
      </w:r>
      <w:r w:rsidR="000C4199">
        <w:rPr>
          <w:noProof/>
        </w:rPr>
        <w:t>16</w:t>
      </w:r>
      <w:r w:rsidRPr="00BF0D56">
        <w:fldChar w:fldCharType="end"/>
      </w:r>
      <w:bookmarkEnd w:id="57"/>
      <w:r w:rsidRPr="00A904A4">
        <w:tab/>
      </w:r>
      <w:r>
        <w:t>Estimated customer cost of energy unsupplied due to supply interruptions ($million nominal)</w:t>
      </w:r>
    </w:p>
    <w:p w:rsidR="0014002E" w:rsidRDefault="005E2B3C" w:rsidP="00097111">
      <w:pPr>
        <w:jc w:val="center"/>
      </w:pPr>
      <w:r w:rsidRPr="005E2B3C">
        <w:rPr>
          <w:noProof/>
          <w:lang w:eastAsia="en-AU"/>
        </w:rPr>
        <w:drawing>
          <wp:inline distT="0" distB="0" distL="0" distR="0" wp14:anchorId="5E8D53A2" wp14:editId="6ECE4B82">
            <wp:extent cx="4651568" cy="2916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651568" cy="2916000"/>
                    </a:xfrm>
                    <a:prstGeom prst="rect">
                      <a:avLst/>
                    </a:prstGeom>
                    <a:noFill/>
                    <a:ln>
                      <a:noFill/>
                    </a:ln>
                  </pic:spPr>
                </pic:pic>
              </a:graphicData>
            </a:graphic>
          </wp:inline>
        </w:drawing>
      </w:r>
    </w:p>
    <w:p w:rsidR="0014002E" w:rsidRPr="00BF0D56" w:rsidRDefault="0014002E" w:rsidP="0014002E">
      <w:pPr>
        <w:pStyle w:val="Heading9"/>
      </w:pPr>
      <w:r>
        <w:t>Total outputs</w:t>
      </w:r>
    </w:p>
    <w:p w:rsidR="0014002E" w:rsidRPr="00933FB7" w:rsidRDefault="0014002E" w:rsidP="0014002E">
      <w:r>
        <w:fldChar w:fldCharType="begin"/>
      </w:r>
      <w:r>
        <w:instrText xml:space="preserve"> REF _Ref404603630 \h </w:instrText>
      </w:r>
      <w:r>
        <w:fldChar w:fldCharType="separate"/>
      </w:r>
      <w:r w:rsidR="000C4199" w:rsidRPr="00F2218C">
        <w:t xml:space="preserve">Table </w:t>
      </w:r>
      <w:r w:rsidR="000C4199">
        <w:rPr>
          <w:noProof/>
        </w:rPr>
        <w:t>2</w:t>
      </w:r>
      <w:r>
        <w:fldChar w:fldCharType="end"/>
      </w:r>
      <w:r>
        <w:t xml:space="preserve"> presents the average network outputs from 2009–14 for the </w:t>
      </w:r>
      <w:r w:rsidR="00376F24">
        <w:t>TNSPs</w:t>
      </w:r>
      <w:r>
        <w:t xml:space="preserve"> (with the exception of reliability).</w:t>
      </w:r>
      <w:bookmarkStart w:id="58" w:name="_Ref392574928"/>
      <w:bookmarkStart w:id="59" w:name="_Ref404603508"/>
    </w:p>
    <w:p w:rsidR="0014002E" w:rsidRPr="00F2218C" w:rsidRDefault="0014002E" w:rsidP="0014002E">
      <w:pPr>
        <w:pStyle w:val="Caption"/>
      </w:pPr>
      <w:bookmarkStart w:id="60" w:name="_Ref404603630"/>
      <w:r w:rsidRPr="00F2218C">
        <w:lastRenderedPageBreak/>
        <w:t xml:space="preserve">Table </w:t>
      </w:r>
      <w:r w:rsidRPr="00B52CC4">
        <w:fldChar w:fldCharType="begin"/>
      </w:r>
      <w:r>
        <w:instrText xml:space="preserve"> SEQ Table \* ARABIC </w:instrText>
      </w:r>
      <w:r w:rsidRPr="00B52CC4">
        <w:fldChar w:fldCharType="separate"/>
      </w:r>
      <w:r w:rsidR="000C4199">
        <w:rPr>
          <w:noProof/>
        </w:rPr>
        <w:t>2</w:t>
      </w:r>
      <w:r w:rsidRPr="00B52CC4">
        <w:fldChar w:fldCharType="end"/>
      </w:r>
      <w:bookmarkEnd w:id="58"/>
      <w:bookmarkEnd w:id="59"/>
      <w:bookmarkEnd w:id="60"/>
      <w:r w:rsidRPr="00F2218C">
        <w:tab/>
      </w:r>
      <w:r w:rsidR="00376F24">
        <w:t>TNSP</w:t>
      </w:r>
      <w:r w:rsidRPr="00F2218C">
        <w:t xml:space="preserve"> outputs</w:t>
      </w:r>
      <w:r>
        <w:t xml:space="preserve"> 2009–14 average</w:t>
      </w:r>
    </w:p>
    <w:tbl>
      <w:tblPr>
        <w:tblStyle w:val="AERTable-Text"/>
        <w:tblW w:w="5000" w:type="pct"/>
        <w:tblLayout w:type="fixed"/>
        <w:tblLook w:val="04A0" w:firstRow="1" w:lastRow="0" w:firstColumn="1" w:lastColumn="0" w:noHBand="0" w:noVBand="1"/>
      </w:tblPr>
      <w:tblGrid>
        <w:gridCol w:w="1185"/>
        <w:gridCol w:w="1876"/>
        <w:gridCol w:w="1878"/>
        <w:gridCol w:w="1878"/>
        <w:gridCol w:w="1876"/>
      </w:tblGrid>
      <w:tr w:rsidR="00184268" w:rsidRPr="009A1BE6" w:rsidTr="00097111">
        <w:trPr>
          <w:cnfStyle w:val="100000000000" w:firstRow="1" w:lastRow="0" w:firstColumn="0" w:lastColumn="0" w:oddVBand="0" w:evenVBand="0" w:oddHBand="0" w:evenHBand="0" w:firstRowFirstColumn="0" w:firstRowLastColumn="0" w:lastRowFirstColumn="0" w:lastRowLastColumn="0"/>
          <w:trHeight w:val="300"/>
        </w:trPr>
        <w:tc>
          <w:tcPr>
            <w:tcW w:w="682" w:type="pct"/>
            <w:noWrap/>
            <w:hideMark/>
          </w:tcPr>
          <w:p w:rsidR="00184268" w:rsidRPr="003114AE" w:rsidRDefault="00184268" w:rsidP="00345BE3">
            <w:pPr>
              <w:pStyle w:val="Source"/>
            </w:pPr>
          </w:p>
        </w:tc>
        <w:tc>
          <w:tcPr>
            <w:tcW w:w="1079" w:type="pct"/>
            <w:noWrap/>
            <w:vAlign w:val="center"/>
            <w:hideMark/>
          </w:tcPr>
          <w:p w:rsidR="00184268" w:rsidRPr="00BF0D56" w:rsidRDefault="00184268" w:rsidP="00376F24">
            <w:pPr>
              <w:pStyle w:val="Source"/>
              <w:jc w:val="center"/>
            </w:pPr>
            <w:r>
              <w:t>Circuit</w:t>
            </w:r>
            <w:r w:rsidRPr="00BF0D56">
              <w:t xml:space="preserve"> line length</w:t>
            </w:r>
            <w:r>
              <w:t xml:space="preserve"> </w:t>
            </w:r>
            <w:r w:rsidRPr="003114AE">
              <w:t>(km)</w:t>
            </w:r>
          </w:p>
        </w:tc>
        <w:tc>
          <w:tcPr>
            <w:tcW w:w="1080" w:type="pct"/>
            <w:noWrap/>
            <w:vAlign w:val="center"/>
            <w:hideMark/>
          </w:tcPr>
          <w:p w:rsidR="00184268" w:rsidRPr="00BF0D56" w:rsidRDefault="00184268" w:rsidP="00376F24">
            <w:pPr>
              <w:pStyle w:val="Source"/>
              <w:jc w:val="center"/>
            </w:pPr>
            <w:r w:rsidRPr="003114AE">
              <w:t>Energy transported</w:t>
            </w:r>
            <w:r>
              <w:t xml:space="preserve"> </w:t>
            </w:r>
            <w:r w:rsidRPr="003114AE">
              <w:t>(</w:t>
            </w:r>
            <w:proofErr w:type="spellStart"/>
            <w:r w:rsidRPr="003114AE">
              <w:t>GWh</w:t>
            </w:r>
            <w:proofErr w:type="spellEnd"/>
            <w:r w:rsidRPr="003114AE">
              <w:t>)</w:t>
            </w:r>
          </w:p>
        </w:tc>
        <w:tc>
          <w:tcPr>
            <w:tcW w:w="1080" w:type="pct"/>
            <w:noWrap/>
            <w:vAlign w:val="center"/>
            <w:hideMark/>
          </w:tcPr>
          <w:p w:rsidR="00184268" w:rsidRPr="00BF0D56" w:rsidRDefault="00184268" w:rsidP="00376F24">
            <w:pPr>
              <w:pStyle w:val="Source"/>
              <w:jc w:val="center"/>
            </w:pPr>
            <w:r w:rsidRPr="003114AE">
              <w:t>Maximum demand</w:t>
            </w:r>
            <w:r>
              <w:t xml:space="preserve"> </w:t>
            </w:r>
            <w:r w:rsidRPr="003114AE">
              <w:t>(MW)</w:t>
            </w:r>
          </w:p>
        </w:tc>
        <w:tc>
          <w:tcPr>
            <w:tcW w:w="1080" w:type="pct"/>
            <w:noWrap/>
            <w:vAlign w:val="center"/>
            <w:hideMark/>
          </w:tcPr>
          <w:p w:rsidR="00184268" w:rsidRPr="00BF0D56" w:rsidRDefault="00184268" w:rsidP="00376F24">
            <w:pPr>
              <w:pStyle w:val="Source"/>
              <w:jc w:val="center"/>
            </w:pPr>
            <w:r w:rsidRPr="003114AE">
              <w:t>Voltage of</w:t>
            </w:r>
            <w:r>
              <w:t xml:space="preserve"> e</w:t>
            </w:r>
            <w:r w:rsidRPr="003114AE">
              <w:t>ntry/exit points</w:t>
            </w:r>
            <w:r>
              <w:t xml:space="preserve"> </w:t>
            </w:r>
            <w:r w:rsidRPr="003114AE">
              <w:t>(KV)</w:t>
            </w:r>
            <w:r w:rsidRPr="00BF0D56">
              <w:rPr>
                <w:rStyle w:val="FootnoteReference"/>
              </w:rPr>
              <w:footnoteReference w:id="13"/>
            </w:r>
          </w:p>
        </w:tc>
      </w:tr>
      <w:tr w:rsidR="00184268" w:rsidRPr="009A1BE6" w:rsidTr="00097111">
        <w:trPr>
          <w:trHeight w:val="300"/>
        </w:trPr>
        <w:tc>
          <w:tcPr>
            <w:tcW w:w="682" w:type="pct"/>
            <w:noWrap/>
            <w:hideMark/>
          </w:tcPr>
          <w:p w:rsidR="00184268" w:rsidRPr="0097627F" w:rsidRDefault="00184268" w:rsidP="00345BE3">
            <w:pPr>
              <w:pStyle w:val="Source"/>
            </w:pPr>
            <w:proofErr w:type="spellStart"/>
            <w:r w:rsidRPr="0097627F">
              <w:t>ElectraNet</w:t>
            </w:r>
            <w:proofErr w:type="spellEnd"/>
          </w:p>
        </w:tc>
        <w:tc>
          <w:tcPr>
            <w:tcW w:w="1079" w:type="pct"/>
            <w:noWrap/>
            <w:vAlign w:val="center"/>
            <w:hideMark/>
          </w:tcPr>
          <w:p w:rsidR="00184268" w:rsidRPr="0097627F" w:rsidRDefault="00184268" w:rsidP="00376F24">
            <w:pPr>
              <w:pStyle w:val="Source"/>
              <w:jc w:val="center"/>
            </w:pPr>
            <w:r w:rsidRPr="00490474">
              <w:t>5,518</w:t>
            </w:r>
          </w:p>
        </w:tc>
        <w:tc>
          <w:tcPr>
            <w:tcW w:w="1080" w:type="pct"/>
            <w:noWrap/>
            <w:vAlign w:val="center"/>
            <w:hideMark/>
          </w:tcPr>
          <w:p w:rsidR="00184268" w:rsidRPr="0097627F" w:rsidRDefault="00184268" w:rsidP="00376F24">
            <w:pPr>
              <w:pStyle w:val="Source"/>
              <w:jc w:val="center"/>
            </w:pPr>
            <w:r w:rsidRPr="00490474">
              <w:t>14,006</w:t>
            </w:r>
          </w:p>
        </w:tc>
        <w:tc>
          <w:tcPr>
            <w:tcW w:w="1080" w:type="pct"/>
            <w:noWrap/>
            <w:vAlign w:val="center"/>
            <w:hideMark/>
          </w:tcPr>
          <w:p w:rsidR="00184268" w:rsidRPr="0097627F" w:rsidRDefault="00184268" w:rsidP="00376F24">
            <w:pPr>
              <w:pStyle w:val="Source"/>
              <w:jc w:val="center"/>
            </w:pPr>
            <w:r w:rsidRPr="00490474">
              <w:t>4,130</w:t>
            </w:r>
          </w:p>
        </w:tc>
        <w:tc>
          <w:tcPr>
            <w:tcW w:w="1080" w:type="pct"/>
            <w:noWrap/>
            <w:vAlign w:val="center"/>
            <w:hideMark/>
          </w:tcPr>
          <w:p w:rsidR="00184268" w:rsidRPr="0097627F" w:rsidRDefault="00184268" w:rsidP="00376F24">
            <w:pPr>
              <w:pStyle w:val="Source"/>
              <w:jc w:val="center"/>
            </w:pPr>
            <w:r w:rsidRPr="00490474">
              <w:t>7,092</w:t>
            </w:r>
          </w:p>
        </w:tc>
      </w:tr>
      <w:tr w:rsidR="00184268" w:rsidRPr="009A1BE6" w:rsidTr="00097111">
        <w:trPr>
          <w:cnfStyle w:val="000000010000" w:firstRow="0" w:lastRow="0" w:firstColumn="0" w:lastColumn="0" w:oddVBand="0" w:evenVBand="0" w:oddHBand="0" w:evenHBand="1" w:firstRowFirstColumn="0" w:firstRowLastColumn="0" w:lastRowFirstColumn="0" w:lastRowLastColumn="0"/>
          <w:trHeight w:val="300"/>
        </w:trPr>
        <w:tc>
          <w:tcPr>
            <w:tcW w:w="682" w:type="pct"/>
            <w:noWrap/>
            <w:hideMark/>
          </w:tcPr>
          <w:p w:rsidR="00184268" w:rsidRPr="0097627F" w:rsidRDefault="00184268" w:rsidP="00345BE3">
            <w:pPr>
              <w:pStyle w:val="Source"/>
            </w:pPr>
            <w:r w:rsidRPr="0097627F">
              <w:t>Powerlink</w:t>
            </w:r>
          </w:p>
        </w:tc>
        <w:tc>
          <w:tcPr>
            <w:tcW w:w="1079" w:type="pct"/>
            <w:noWrap/>
            <w:vAlign w:val="center"/>
            <w:hideMark/>
          </w:tcPr>
          <w:p w:rsidR="00184268" w:rsidRPr="0097627F" w:rsidRDefault="00184268" w:rsidP="00376F24">
            <w:pPr>
              <w:pStyle w:val="Source"/>
              <w:jc w:val="center"/>
            </w:pPr>
            <w:r w:rsidRPr="00490474">
              <w:t>13,970</w:t>
            </w:r>
          </w:p>
        </w:tc>
        <w:tc>
          <w:tcPr>
            <w:tcW w:w="1080" w:type="pct"/>
            <w:noWrap/>
            <w:vAlign w:val="center"/>
            <w:hideMark/>
          </w:tcPr>
          <w:p w:rsidR="00184268" w:rsidRPr="0097627F" w:rsidRDefault="00184268" w:rsidP="00376F24">
            <w:pPr>
              <w:pStyle w:val="Source"/>
              <w:jc w:val="center"/>
            </w:pPr>
            <w:r w:rsidRPr="00490474">
              <w:t>50,518</w:t>
            </w:r>
          </w:p>
        </w:tc>
        <w:tc>
          <w:tcPr>
            <w:tcW w:w="1080" w:type="pct"/>
            <w:noWrap/>
            <w:vAlign w:val="center"/>
            <w:hideMark/>
          </w:tcPr>
          <w:p w:rsidR="00184268" w:rsidRPr="0097627F" w:rsidRDefault="00184268" w:rsidP="00376F24">
            <w:pPr>
              <w:pStyle w:val="Source"/>
              <w:jc w:val="center"/>
            </w:pPr>
            <w:r w:rsidRPr="00490474">
              <w:t>11,139</w:t>
            </w:r>
          </w:p>
        </w:tc>
        <w:tc>
          <w:tcPr>
            <w:tcW w:w="1080" w:type="pct"/>
            <w:noWrap/>
            <w:vAlign w:val="center"/>
            <w:hideMark/>
          </w:tcPr>
          <w:p w:rsidR="00184268" w:rsidRPr="0097627F" w:rsidRDefault="00184268" w:rsidP="00376F24">
            <w:pPr>
              <w:pStyle w:val="Source"/>
              <w:jc w:val="center"/>
            </w:pPr>
            <w:r w:rsidRPr="00490474">
              <w:t>15,642</w:t>
            </w:r>
          </w:p>
        </w:tc>
      </w:tr>
      <w:tr w:rsidR="00184268" w:rsidRPr="009A1BE6" w:rsidTr="00097111">
        <w:trPr>
          <w:trHeight w:val="300"/>
        </w:trPr>
        <w:tc>
          <w:tcPr>
            <w:tcW w:w="682" w:type="pct"/>
            <w:noWrap/>
            <w:hideMark/>
          </w:tcPr>
          <w:p w:rsidR="00184268" w:rsidRPr="0097627F" w:rsidRDefault="00184268" w:rsidP="00345BE3">
            <w:pPr>
              <w:pStyle w:val="Source"/>
            </w:pPr>
            <w:proofErr w:type="spellStart"/>
            <w:r w:rsidRPr="0097627F">
              <w:t>AusNet</w:t>
            </w:r>
            <w:proofErr w:type="spellEnd"/>
            <w:r w:rsidRPr="0097627F">
              <w:t xml:space="preserve"> Services</w:t>
            </w:r>
          </w:p>
        </w:tc>
        <w:tc>
          <w:tcPr>
            <w:tcW w:w="1079" w:type="pct"/>
            <w:noWrap/>
            <w:vAlign w:val="center"/>
            <w:hideMark/>
          </w:tcPr>
          <w:p w:rsidR="00184268" w:rsidRPr="0097627F" w:rsidRDefault="00184268" w:rsidP="00376F24">
            <w:pPr>
              <w:pStyle w:val="Source"/>
              <w:jc w:val="center"/>
            </w:pPr>
            <w:r w:rsidRPr="00490474">
              <w:t>6,573</w:t>
            </w:r>
          </w:p>
        </w:tc>
        <w:tc>
          <w:tcPr>
            <w:tcW w:w="1080" w:type="pct"/>
            <w:noWrap/>
            <w:vAlign w:val="center"/>
            <w:hideMark/>
          </w:tcPr>
          <w:p w:rsidR="00184268" w:rsidRPr="0097627F" w:rsidRDefault="00184268" w:rsidP="00376F24">
            <w:pPr>
              <w:pStyle w:val="Source"/>
              <w:jc w:val="center"/>
            </w:pPr>
            <w:r w:rsidRPr="00490474">
              <w:t>48,334</w:t>
            </w:r>
          </w:p>
        </w:tc>
        <w:tc>
          <w:tcPr>
            <w:tcW w:w="1080" w:type="pct"/>
            <w:noWrap/>
            <w:vAlign w:val="center"/>
            <w:hideMark/>
          </w:tcPr>
          <w:p w:rsidR="00184268" w:rsidRPr="0097627F" w:rsidRDefault="00184268" w:rsidP="00376F24">
            <w:pPr>
              <w:pStyle w:val="Source"/>
              <w:jc w:val="center"/>
            </w:pPr>
            <w:r w:rsidRPr="00490474">
              <w:t>9,370</w:t>
            </w:r>
          </w:p>
        </w:tc>
        <w:tc>
          <w:tcPr>
            <w:tcW w:w="1080" w:type="pct"/>
            <w:noWrap/>
            <w:vAlign w:val="center"/>
            <w:hideMark/>
          </w:tcPr>
          <w:p w:rsidR="00184268" w:rsidRPr="0097627F" w:rsidRDefault="00184268" w:rsidP="00376F24">
            <w:pPr>
              <w:pStyle w:val="Source"/>
              <w:jc w:val="center"/>
            </w:pPr>
            <w:r w:rsidRPr="00490474">
              <w:t>10,380</w:t>
            </w:r>
          </w:p>
        </w:tc>
      </w:tr>
      <w:tr w:rsidR="00184268" w:rsidRPr="009A1BE6" w:rsidTr="00097111">
        <w:trPr>
          <w:cnfStyle w:val="000000010000" w:firstRow="0" w:lastRow="0" w:firstColumn="0" w:lastColumn="0" w:oddVBand="0" w:evenVBand="0" w:oddHBand="0" w:evenHBand="1" w:firstRowFirstColumn="0" w:firstRowLastColumn="0" w:lastRowFirstColumn="0" w:lastRowLastColumn="0"/>
          <w:trHeight w:val="300"/>
        </w:trPr>
        <w:tc>
          <w:tcPr>
            <w:tcW w:w="682" w:type="pct"/>
            <w:noWrap/>
            <w:hideMark/>
          </w:tcPr>
          <w:p w:rsidR="00184268" w:rsidRPr="0097627F" w:rsidRDefault="00184268" w:rsidP="00345BE3">
            <w:pPr>
              <w:pStyle w:val="Source"/>
            </w:pPr>
            <w:proofErr w:type="spellStart"/>
            <w:r w:rsidRPr="0097627F">
              <w:t>TasNetworks</w:t>
            </w:r>
            <w:proofErr w:type="spellEnd"/>
          </w:p>
        </w:tc>
        <w:tc>
          <w:tcPr>
            <w:tcW w:w="1079" w:type="pct"/>
            <w:noWrap/>
            <w:vAlign w:val="center"/>
            <w:hideMark/>
          </w:tcPr>
          <w:p w:rsidR="00184268" w:rsidRPr="0097627F" w:rsidRDefault="00184268" w:rsidP="00376F24">
            <w:pPr>
              <w:pStyle w:val="Source"/>
              <w:jc w:val="center"/>
            </w:pPr>
            <w:r w:rsidRPr="00490474">
              <w:t>3,495</w:t>
            </w:r>
          </w:p>
        </w:tc>
        <w:tc>
          <w:tcPr>
            <w:tcW w:w="1080" w:type="pct"/>
            <w:noWrap/>
            <w:vAlign w:val="center"/>
            <w:hideMark/>
          </w:tcPr>
          <w:p w:rsidR="00184268" w:rsidRPr="0097627F" w:rsidRDefault="00184268" w:rsidP="00376F24">
            <w:pPr>
              <w:pStyle w:val="Source"/>
              <w:jc w:val="center"/>
            </w:pPr>
            <w:r w:rsidRPr="00490474">
              <w:t>12,991</w:t>
            </w:r>
          </w:p>
        </w:tc>
        <w:tc>
          <w:tcPr>
            <w:tcW w:w="1080" w:type="pct"/>
            <w:noWrap/>
            <w:vAlign w:val="center"/>
            <w:hideMark/>
          </w:tcPr>
          <w:p w:rsidR="00184268" w:rsidRPr="0097627F" w:rsidRDefault="00184268" w:rsidP="00376F24">
            <w:pPr>
              <w:pStyle w:val="Source"/>
              <w:jc w:val="center"/>
            </w:pPr>
            <w:r w:rsidRPr="00490474">
              <w:t>2,504</w:t>
            </w:r>
          </w:p>
        </w:tc>
        <w:tc>
          <w:tcPr>
            <w:tcW w:w="1080" w:type="pct"/>
            <w:noWrap/>
            <w:vAlign w:val="center"/>
            <w:hideMark/>
          </w:tcPr>
          <w:p w:rsidR="00184268" w:rsidRPr="0097627F" w:rsidRDefault="00184268" w:rsidP="00376F24">
            <w:pPr>
              <w:pStyle w:val="Source"/>
              <w:jc w:val="center"/>
            </w:pPr>
            <w:r w:rsidRPr="00490474">
              <w:t>5,964</w:t>
            </w:r>
          </w:p>
        </w:tc>
      </w:tr>
      <w:tr w:rsidR="00184268" w:rsidRPr="009A1BE6" w:rsidTr="00097111">
        <w:trPr>
          <w:trHeight w:val="300"/>
        </w:trPr>
        <w:tc>
          <w:tcPr>
            <w:tcW w:w="682" w:type="pct"/>
            <w:noWrap/>
            <w:hideMark/>
          </w:tcPr>
          <w:p w:rsidR="00184268" w:rsidRPr="0097627F" w:rsidRDefault="00184268" w:rsidP="00345BE3">
            <w:pPr>
              <w:pStyle w:val="Source"/>
            </w:pPr>
            <w:proofErr w:type="spellStart"/>
            <w:r w:rsidRPr="0097627F">
              <w:t>TransGrid</w:t>
            </w:r>
            <w:proofErr w:type="spellEnd"/>
          </w:p>
        </w:tc>
        <w:tc>
          <w:tcPr>
            <w:tcW w:w="1079" w:type="pct"/>
            <w:noWrap/>
            <w:vAlign w:val="center"/>
            <w:hideMark/>
          </w:tcPr>
          <w:p w:rsidR="00184268" w:rsidRPr="0097627F" w:rsidRDefault="00184268" w:rsidP="00376F24">
            <w:pPr>
              <w:pStyle w:val="Source"/>
              <w:jc w:val="center"/>
            </w:pPr>
            <w:r w:rsidRPr="00490474">
              <w:t>12,777</w:t>
            </w:r>
          </w:p>
        </w:tc>
        <w:tc>
          <w:tcPr>
            <w:tcW w:w="1080" w:type="pct"/>
            <w:noWrap/>
            <w:vAlign w:val="center"/>
            <w:hideMark/>
          </w:tcPr>
          <w:p w:rsidR="00184268" w:rsidRPr="0097627F" w:rsidRDefault="00184268" w:rsidP="00376F24">
            <w:pPr>
              <w:pStyle w:val="Source"/>
              <w:jc w:val="center"/>
            </w:pPr>
            <w:r w:rsidRPr="00490474">
              <w:t>67,700</w:t>
            </w:r>
          </w:p>
        </w:tc>
        <w:tc>
          <w:tcPr>
            <w:tcW w:w="1080" w:type="pct"/>
            <w:noWrap/>
            <w:vAlign w:val="center"/>
            <w:hideMark/>
          </w:tcPr>
          <w:p w:rsidR="00184268" w:rsidRPr="0097627F" w:rsidRDefault="00184268" w:rsidP="00376F24">
            <w:pPr>
              <w:pStyle w:val="Source"/>
              <w:jc w:val="center"/>
            </w:pPr>
            <w:r w:rsidRPr="00490474">
              <w:t>17,700</w:t>
            </w:r>
          </w:p>
        </w:tc>
        <w:tc>
          <w:tcPr>
            <w:tcW w:w="1080" w:type="pct"/>
            <w:noWrap/>
            <w:vAlign w:val="center"/>
            <w:hideMark/>
          </w:tcPr>
          <w:p w:rsidR="00184268" w:rsidRPr="0097627F" w:rsidRDefault="00184268" w:rsidP="00376F24">
            <w:pPr>
              <w:pStyle w:val="Source"/>
              <w:jc w:val="center"/>
            </w:pPr>
            <w:r w:rsidRPr="00490474">
              <w:t>15,714</w:t>
            </w:r>
          </w:p>
        </w:tc>
      </w:tr>
    </w:tbl>
    <w:p w:rsidR="003367D3" w:rsidRPr="0069742C" w:rsidRDefault="003367D3" w:rsidP="003367D3">
      <w:pPr>
        <w:pStyle w:val="Heading8"/>
      </w:pPr>
      <w:bookmarkStart w:id="61" w:name="_Toc404010812"/>
      <w:r>
        <w:t>I</w:t>
      </w:r>
      <w:r w:rsidRPr="002F74A2">
        <w:t>nputs</w:t>
      </w:r>
      <w:bookmarkEnd w:id="61"/>
    </w:p>
    <w:p w:rsidR="003367D3" w:rsidRDefault="00DC3B53" w:rsidP="003367D3">
      <w:r>
        <w:t>The inputs used in th</w:t>
      </w:r>
      <w:r w:rsidR="00E044E6">
        <w:t xml:space="preserve">is report are assets and </w:t>
      </w:r>
      <w:proofErr w:type="spellStart"/>
      <w:r w:rsidR="00E044E6">
        <w:t>opex</w:t>
      </w:r>
      <w:proofErr w:type="spellEnd"/>
      <w:r w:rsidR="00E044E6">
        <w:t>. T</w:t>
      </w:r>
      <w:r>
        <w:t xml:space="preserve">NSPs </w:t>
      </w:r>
      <w:r w:rsidR="003367D3">
        <w:t xml:space="preserve">use a mix of assets and </w:t>
      </w:r>
      <w:proofErr w:type="spellStart"/>
      <w:r w:rsidR="003367D3">
        <w:t>opex</w:t>
      </w:r>
      <w:proofErr w:type="spellEnd"/>
      <w:r w:rsidR="003367D3">
        <w:t xml:space="preserve"> to deliver services.</w:t>
      </w:r>
      <w:r w:rsidR="000860C8" w:rsidRPr="000860C8">
        <w:t xml:space="preserve"> </w:t>
      </w:r>
      <w:r w:rsidR="000860C8">
        <w:t xml:space="preserve">Electricity transmission assets can </w:t>
      </w:r>
      <w:r w:rsidR="000860C8" w:rsidRPr="00062D57">
        <w:t xml:space="preserve">provide useful service over </w:t>
      </w:r>
      <w:r w:rsidR="000860C8">
        <w:t>several decades</w:t>
      </w:r>
      <w:r w:rsidR="000860C8" w:rsidRPr="00062D57">
        <w:t>. However</w:t>
      </w:r>
      <w:r w:rsidR="000860C8">
        <w:t>,</w:t>
      </w:r>
      <w:r w:rsidR="000860C8" w:rsidRPr="00062D57">
        <w:t xml:space="preserve"> benchmarking studies typically focus on a shorter </w:t>
      </w:r>
      <w:proofErr w:type="gramStart"/>
      <w:r w:rsidR="000860C8" w:rsidRPr="00062D57">
        <w:t>period of time</w:t>
      </w:r>
      <w:proofErr w:type="gramEnd"/>
      <w:r w:rsidR="000860C8" w:rsidRPr="00062D57">
        <w:t>.</w:t>
      </w:r>
    </w:p>
    <w:p w:rsidR="00CF4CAD" w:rsidRDefault="00CF4CAD" w:rsidP="00CF4CAD">
      <w:r>
        <w:t xml:space="preserve">For our MTFP </w:t>
      </w:r>
      <w:proofErr w:type="gramStart"/>
      <w:r>
        <w:t>analysis</w:t>
      </w:r>
      <w:proofErr w:type="gramEnd"/>
      <w:r>
        <w:t xml:space="preserve"> we use physical measures of capital inputs. Using physical values for inputs has the advantage </w:t>
      </w:r>
      <w:r w:rsidRPr="0051793E">
        <w:t>of best reflecting the physical depreciation profile of</w:t>
      </w:r>
      <w:r>
        <w:t xml:space="preserve"> T</w:t>
      </w:r>
      <w:r w:rsidRPr="0051793E">
        <w:t>NSP assets.</w:t>
      </w:r>
      <w:r>
        <w:rPr>
          <w:rStyle w:val="FootnoteReference"/>
        </w:rPr>
        <w:footnoteReference w:id="14"/>
      </w:r>
      <w:r w:rsidRPr="0051793E">
        <w:t xml:space="preserve"> </w:t>
      </w:r>
      <w:r>
        <w:t>Our MTFP analysis</w:t>
      </w:r>
      <w:r w:rsidRPr="0051793E">
        <w:t xml:space="preserve"> </w:t>
      </w:r>
      <w:r>
        <w:t xml:space="preserve">uses three physical measures being the capacity of overhead lines, underground cables and transformers. The MTFP analysis also uses constant dollar </w:t>
      </w:r>
      <w:proofErr w:type="spellStart"/>
      <w:r>
        <w:t>opex</w:t>
      </w:r>
      <w:proofErr w:type="spellEnd"/>
      <w:r>
        <w:t xml:space="preserve"> as an input.</w:t>
      </w:r>
      <w:r w:rsidR="00BF2D78">
        <w:t xml:space="preserve"> The November 2014 Economic Insights report referenced in appendix A discusses this in further detail.</w:t>
      </w:r>
    </w:p>
    <w:p w:rsidR="003367D3" w:rsidRPr="00062D57" w:rsidRDefault="003367D3" w:rsidP="003367D3">
      <w:r>
        <w:t>F</w:t>
      </w:r>
      <w:r w:rsidRPr="00F2218C">
        <w:t xml:space="preserve">or the </w:t>
      </w:r>
      <w:proofErr w:type="gramStart"/>
      <w:r w:rsidR="000860C8">
        <w:t>PPIs</w:t>
      </w:r>
      <w:proofErr w:type="gramEnd"/>
      <w:r w:rsidRPr="00F2218C">
        <w:t xml:space="preserve"> we </w:t>
      </w:r>
      <w:r>
        <w:t>use</w:t>
      </w:r>
      <w:r w:rsidRPr="00F2218C">
        <w:t xml:space="preserve"> the</w:t>
      </w:r>
      <w:r>
        <w:t xml:space="preserve"> constant price value of the </w:t>
      </w:r>
      <w:r w:rsidR="00DC3B53">
        <w:t>regulatory asset base (</w:t>
      </w:r>
      <w:r>
        <w:t>referred to as</w:t>
      </w:r>
      <w:r w:rsidRPr="00F2218C">
        <w:t xml:space="preserve"> </w:t>
      </w:r>
      <w:r w:rsidRPr="00062D57">
        <w:t>'asset cost'</w:t>
      </w:r>
      <w:r>
        <w:t>)</w:t>
      </w:r>
      <w:r w:rsidRPr="00062D57">
        <w:t xml:space="preserve"> </w:t>
      </w:r>
      <w:r>
        <w:t>as the proxy for assets</w:t>
      </w:r>
      <w:r w:rsidRPr="00062D57">
        <w:t xml:space="preserve">. </w:t>
      </w:r>
      <w:r>
        <w:t>A</w:t>
      </w:r>
      <w:r w:rsidRPr="00062D57">
        <w:t xml:space="preserve">sset cost is the sum of annual depreciation and return on investment. This measure has the advantage of reflecting the total cost of assets for which customers </w:t>
      </w:r>
      <w:proofErr w:type="gramStart"/>
      <w:r w:rsidRPr="00062D57">
        <w:t>are billed</w:t>
      </w:r>
      <w:proofErr w:type="gramEnd"/>
      <w:r w:rsidRPr="00242D2F">
        <w:t xml:space="preserve"> </w:t>
      </w:r>
      <w:r>
        <w:t xml:space="preserve">on an </w:t>
      </w:r>
      <w:r w:rsidRPr="00062D57">
        <w:t>annual</w:t>
      </w:r>
      <w:r>
        <w:t xml:space="preserve"> basis, using</w:t>
      </w:r>
      <w:r w:rsidRPr="008B5C2A">
        <w:t xml:space="preserve"> the average return on capital over the period</w:t>
      </w:r>
      <w:r>
        <w:t>. This</w:t>
      </w:r>
      <w:r w:rsidRPr="008B5C2A">
        <w:t xml:space="preserve"> accounts for variations in the return on capital across </w:t>
      </w:r>
      <w:r w:rsidR="00E044E6">
        <w:t>T</w:t>
      </w:r>
      <w:r w:rsidR="00DC3B53">
        <w:t>NSPs</w:t>
      </w:r>
      <w:r w:rsidRPr="008B5C2A">
        <w:t xml:space="preserve"> and over time</w:t>
      </w:r>
      <w:r w:rsidR="00DC3B53">
        <w:t>.</w:t>
      </w:r>
    </w:p>
    <w:p w:rsidR="003367D3" w:rsidRDefault="003367D3" w:rsidP="003367D3">
      <w:r w:rsidRPr="00062D57">
        <w:fldChar w:fldCharType="begin"/>
      </w:r>
      <w:r w:rsidRPr="00062D57">
        <w:instrText xml:space="preserve"> REF _Ref404353491 \h </w:instrText>
      </w:r>
      <w:r w:rsidRPr="00062D57">
        <w:fldChar w:fldCharType="separate"/>
      </w:r>
      <w:r w:rsidR="00400BE4" w:rsidRPr="002F74A2">
        <w:t xml:space="preserve">Table </w:t>
      </w:r>
      <w:r w:rsidR="00400BE4">
        <w:rPr>
          <w:noProof/>
        </w:rPr>
        <w:t>3</w:t>
      </w:r>
      <w:r w:rsidRPr="00062D57">
        <w:fldChar w:fldCharType="end"/>
      </w:r>
      <w:r w:rsidRPr="00062D57">
        <w:t xml:space="preserve"> presents measures of the cost of network inputs </w:t>
      </w:r>
      <w:r>
        <w:t xml:space="preserve">relevant to </w:t>
      </w:r>
      <w:proofErr w:type="spellStart"/>
      <w:r>
        <w:t>opex</w:t>
      </w:r>
      <w:proofErr w:type="spellEnd"/>
      <w:r>
        <w:t xml:space="preserve"> and assets </w:t>
      </w:r>
      <w:r w:rsidRPr="00062D57">
        <w:t xml:space="preserve">for all </w:t>
      </w:r>
      <w:r w:rsidR="00E044E6">
        <w:t>T</w:t>
      </w:r>
      <w:r w:rsidR="00EF246D">
        <w:t>NSPs</w:t>
      </w:r>
      <w:r w:rsidRPr="00062D57">
        <w:t xml:space="preserve">. We have presented the average annual network costs over five years in this table to moderate the effect of any one-off fluctuations in </w:t>
      </w:r>
      <w:r w:rsidR="00EF246D">
        <w:t>cost</w:t>
      </w:r>
      <w:r w:rsidRPr="00062D57">
        <w:t>.</w:t>
      </w:r>
      <w:bookmarkStart w:id="62" w:name="_Ref389743239"/>
      <w:r>
        <w:t xml:space="preserve"> </w:t>
      </w:r>
    </w:p>
    <w:p w:rsidR="00400BE4" w:rsidRDefault="00400BE4">
      <w:pPr>
        <w:spacing w:line="240" w:lineRule="auto"/>
      </w:pPr>
      <w:r>
        <w:br w:type="page"/>
      </w:r>
    </w:p>
    <w:p w:rsidR="003367D3" w:rsidRDefault="003367D3" w:rsidP="00A75AB2">
      <w:pPr>
        <w:pStyle w:val="Caption"/>
      </w:pPr>
      <w:bookmarkStart w:id="63" w:name="_Ref404353491"/>
      <w:r w:rsidRPr="002F74A2">
        <w:lastRenderedPageBreak/>
        <w:t xml:space="preserve">Table </w:t>
      </w:r>
      <w:r w:rsidRPr="00062D57">
        <w:fldChar w:fldCharType="begin"/>
      </w:r>
      <w:r>
        <w:instrText xml:space="preserve"> SEQ Table \* ARABIC </w:instrText>
      </w:r>
      <w:r w:rsidRPr="00062D57">
        <w:fldChar w:fldCharType="separate"/>
      </w:r>
      <w:r w:rsidR="000C4199">
        <w:rPr>
          <w:noProof/>
        </w:rPr>
        <w:t>3</w:t>
      </w:r>
      <w:r w:rsidRPr="00062D57">
        <w:fldChar w:fldCharType="end"/>
      </w:r>
      <w:bookmarkEnd w:id="62"/>
      <w:bookmarkEnd w:id="63"/>
      <w:r w:rsidRPr="002F74A2">
        <w:tab/>
        <w:t xml:space="preserve">Average </w:t>
      </w:r>
      <w:r>
        <w:t>annual costs for network inputs for 2010</w:t>
      </w:r>
      <w:r w:rsidRPr="002F74A2">
        <w:t>–1</w:t>
      </w:r>
      <w:r>
        <w:t>4</w:t>
      </w:r>
      <w:r w:rsidR="00DC3B53">
        <w:t xml:space="preserve"> ($m, 2014)</w:t>
      </w:r>
    </w:p>
    <w:tbl>
      <w:tblPr>
        <w:tblStyle w:val="AERTable-Text"/>
        <w:tblW w:w="5000" w:type="pct"/>
        <w:tblLook w:val="04A0" w:firstRow="1" w:lastRow="0" w:firstColumn="1" w:lastColumn="0" w:noHBand="0" w:noVBand="1"/>
      </w:tblPr>
      <w:tblGrid>
        <w:gridCol w:w="1527"/>
        <w:gridCol w:w="1433"/>
        <w:gridCol w:w="1433"/>
        <w:gridCol w:w="1433"/>
        <w:gridCol w:w="1433"/>
        <w:gridCol w:w="1434"/>
      </w:tblGrid>
      <w:tr w:rsidR="00E044E6" w:rsidRPr="00F2218C" w:rsidTr="00376F24">
        <w:trPr>
          <w:cnfStyle w:val="100000000000" w:firstRow="1" w:lastRow="0" w:firstColumn="0" w:lastColumn="0" w:oddVBand="0" w:evenVBand="0" w:oddHBand="0" w:evenHBand="0" w:firstRowFirstColumn="0" w:firstRowLastColumn="0" w:lastRowFirstColumn="0" w:lastRowLastColumn="0"/>
          <w:trHeight w:val="300"/>
        </w:trPr>
        <w:tc>
          <w:tcPr>
            <w:tcW w:w="878" w:type="pct"/>
            <w:noWrap/>
            <w:hideMark/>
          </w:tcPr>
          <w:p w:rsidR="00E044E6" w:rsidRPr="0097627F" w:rsidRDefault="00E044E6" w:rsidP="00345BE3">
            <w:pPr>
              <w:pStyle w:val="Source"/>
            </w:pPr>
            <w:r>
              <w:t>$2014 (‘000)</w:t>
            </w:r>
          </w:p>
        </w:tc>
        <w:tc>
          <w:tcPr>
            <w:tcW w:w="824" w:type="pct"/>
            <w:noWrap/>
            <w:vAlign w:val="center"/>
            <w:hideMark/>
          </w:tcPr>
          <w:p w:rsidR="00E044E6" w:rsidRPr="0097627F" w:rsidRDefault="00E044E6" w:rsidP="00376F24">
            <w:pPr>
              <w:pStyle w:val="Source"/>
              <w:jc w:val="center"/>
            </w:pPr>
            <w:proofErr w:type="spellStart"/>
            <w:r w:rsidRPr="0097627F">
              <w:t>Opex</w:t>
            </w:r>
            <w:proofErr w:type="spellEnd"/>
          </w:p>
        </w:tc>
        <w:tc>
          <w:tcPr>
            <w:tcW w:w="824" w:type="pct"/>
            <w:noWrap/>
            <w:vAlign w:val="center"/>
            <w:hideMark/>
          </w:tcPr>
          <w:p w:rsidR="00E044E6" w:rsidRPr="0097627F" w:rsidRDefault="00E044E6" w:rsidP="00376F24">
            <w:pPr>
              <w:pStyle w:val="Source"/>
              <w:jc w:val="center"/>
            </w:pPr>
            <w:r w:rsidRPr="0097627F">
              <w:t>Capex</w:t>
            </w:r>
          </w:p>
        </w:tc>
        <w:tc>
          <w:tcPr>
            <w:tcW w:w="824" w:type="pct"/>
            <w:noWrap/>
            <w:vAlign w:val="center"/>
            <w:hideMark/>
          </w:tcPr>
          <w:p w:rsidR="00E044E6" w:rsidRPr="0097627F" w:rsidRDefault="00E044E6" w:rsidP="00376F24">
            <w:pPr>
              <w:pStyle w:val="Source"/>
              <w:jc w:val="center"/>
            </w:pPr>
            <w:r w:rsidRPr="0097627F">
              <w:t>RAB</w:t>
            </w:r>
          </w:p>
        </w:tc>
        <w:tc>
          <w:tcPr>
            <w:tcW w:w="824" w:type="pct"/>
            <w:vAlign w:val="center"/>
          </w:tcPr>
          <w:p w:rsidR="00E044E6" w:rsidRPr="0097627F" w:rsidRDefault="00E044E6" w:rsidP="00376F24">
            <w:pPr>
              <w:pStyle w:val="Source"/>
              <w:jc w:val="center"/>
            </w:pPr>
            <w:r>
              <w:t>Depreciation</w:t>
            </w:r>
          </w:p>
        </w:tc>
        <w:tc>
          <w:tcPr>
            <w:tcW w:w="825" w:type="pct"/>
            <w:noWrap/>
            <w:vAlign w:val="center"/>
            <w:hideMark/>
          </w:tcPr>
          <w:p w:rsidR="00E044E6" w:rsidRPr="0097627F" w:rsidRDefault="00E044E6" w:rsidP="00376F24">
            <w:pPr>
              <w:pStyle w:val="Source"/>
              <w:jc w:val="center"/>
            </w:pPr>
            <w:r w:rsidRPr="0097627F">
              <w:t>Asset cost</w:t>
            </w:r>
          </w:p>
        </w:tc>
      </w:tr>
      <w:tr w:rsidR="00E044E6" w:rsidRPr="00F2218C" w:rsidTr="00376F24">
        <w:trPr>
          <w:trHeight w:val="300"/>
        </w:trPr>
        <w:tc>
          <w:tcPr>
            <w:tcW w:w="878" w:type="pct"/>
            <w:noWrap/>
            <w:hideMark/>
          </w:tcPr>
          <w:p w:rsidR="00E044E6" w:rsidRPr="000E556D" w:rsidRDefault="00E044E6" w:rsidP="00345BE3">
            <w:pPr>
              <w:pStyle w:val="Source"/>
            </w:pPr>
            <w:proofErr w:type="spellStart"/>
            <w:r w:rsidRPr="000E556D">
              <w:t>ElectraNet</w:t>
            </w:r>
            <w:proofErr w:type="spellEnd"/>
          </w:p>
        </w:tc>
        <w:tc>
          <w:tcPr>
            <w:tcW w:w="824" w:type="pct"/>
            <w:noWrap/>
            <w:vAlign w:val="center"/>
            <w:hideMark/>
          </w:tcPr>
          <w:p w:rsidR="00E044E6" w:rsidRPr="000E556D" w:rsidRDefault="00E044E6" w:rsidP="00376F24">
            <w:pPr>
              <w:pStyle w:val="Source"/>
              <w:jc w:val="center"/>
            </w:pPr>
            <w:r w:rsidRPr="000E556D">
              <w:t>72,926</w:t>
            </w:r>
          </w:p>
        </w:tc>
        <w:tc>
          <w:tcPr>
            <w:tcW w:w="824" w:type="pct"/>
            <w:noWrap/>
            <w:vAlign w:val="center"/>
            <w:hideMark/>
          </w:tcPr>
          <w:p w:rsidR="00E044E6" w:rsidRPr="000E556D" w:rsidRDefault="00E044E6" w:rsidP="00376F24">
            <w:pPr>
              <w:pStyle w:val="Source"/>
              <w:jc w:val="center"/>
            </w:pPr>
            <w:r w:rsidRPr="000E556D">
              <w:t>179,199</w:t>
            </w:r>
          </w:p>
        </w:tc>
        <w:tc>
          <w:tcPr>
            <w:tcW w:w="824" w:type="pct"/>
            <w:noWrap/>
            <w:vAlign w:val="center"/>
            <w:hideMark/>
          </w:tcPr>
          <w:p w:rsidR="00E044E6" w:rsidRPr="000E556D" w:rsidRDefault="00E044E6" w:rsidP="00376F24">
            <w:pPr>
              <w:pStyle w:val="Source"/>
              <w:jc w:val="center"/>
            </w:pPr>
            <w:r w:rsidRPr="000E556D">
              <w:t>1,660,216</w:t>
            </w:r>
          </w:p>
        </w:tc>
        <w:tc>
          <w:tcPr>
            <w:tcW w:w="824" w:type="pct"/>
            <w:vAlign w:val="center"/>
          </w:tcPr>
          <w:p w:rsidR="00E044E6" w:rsidRPr="000E556D" w:rsidRDefault="00E044E6" w:rsidP="00376F24">
            <w:pPr>
              <w:pStyle w:val="Source"/>
              <w:jc w:val="center"/>
            </w:pPr>
            <w:r w:rsidRPr="000E556D">
              <w:t>72,991</w:t>
            </w:r>
          </w:p>
        </w:tc>
        <w:tc>
          <w:tcPr>
            <w:tcW w:w="825" w:type="pct"/>
            <w:noWrap/>
            <w:vAlign w:val="center"/>
            <w:hideMark/>
          </w:tcPr>
          <w:p w:rsidR="00E044E6" w:rsidRPr="000E556D" w:rsidRDefault="00E044E6" w:rsidP="00376F24">
            <w:pPr>
              <w:pStyle w:val="Source"/>
              <w:jc w:val="center"/>
            </w:pPr>
            <w:r w:rsidRPr="000E556D">
              <w:t>174,148</w:t>
            </w:r>
          </w:p>
        </w:tc>
      </w:tr>
      <w:tr w:rsidR="00E044E6" w:rsidRPr="00F2218C" w:rsidTr="00376F24">
        <w:trPr>
          <w:cnfStyle w:val="000000010000" w:firstRow="0" w:lastRow="0" w:firstColumn="0" w:lastColumn="0" w:oddVBand="0" w:evenVBand="0" w:oddHBand="0" w:evenHBand="1" w:firstRowFirstColumn="0" w:firstRowLastColumn="0" w:lastRowFirstColumn="0" w:lastRowLastColumn="0"/>
          <w:trHeight w:val="300"/>
        </w:trPr>
        <w:tc>
          <w:tcPr>
            <w:tcW w:w="878" w:type="pct"/>
            <w:noWrap/>
            <w:hideMark/>
          </w:tcPr>
          <w:p w:rsidR="00E044E6" w:rsidRPr="000E556D" w:rsidRDefault="00E044E6" w:rsidP="00345BE3">
            <w:pPr>
              <w:pStyle w:val="Source"/>
            </w:pPr>
            <w:r w:rsidRPr="000E556D">
              <w:t>Powerlink</w:t>
            </w:r>
          </w:p>
        </w:tc>
        <w:tc>
          <w:tcPr>
            <w:tcW w:w="824" w:type="pct"/>
            <w:noWrap/>
            <w:vAlign w:val="center"/>
            <w:hideMark/>
          </w:tcPr>
          <w:p w:rsidR="00E044E6" w:rsidRPr="000E556D" w:rsidRDefault="00E044E6" w:rsidP="00376F24">
            <w:pPr>
              <w:pStyle w:val="Source"/>
              <w:jc w:val="center"/>
            </w:pPr>
            <w:r w:rsidRPr="000E556D">
              <w:t>174,657</w:t>
            </w:r>
          </w:p>
        </w:tc>
        <w:tc>
          <w:tcPr>
            <w:tcW w:w="824" w:type="pct"/>
            <w:noWrap/>
            <w:vAlign w:val="center"/>
            <w:hideMark/>
          </w:tcPr>
          <w:p w:rsidR="00E044E6" w:rsidRPr="000E556D" w:rsidRDefault="00E044E6" w:rsidP="00376F24">
            <w:pPr>
              <w:pStyle w:val="Source"/>
              <w:jc w:val="center"/>
            </w:pPr>
            <w:r w:rsidRPr="000E556D">
              <w:t>546,104</w:t>
            </w:r>
          </w:p>
        </w:tc>
        <w:tc>
          <w:tcPr>
            <w:tcW w:w="824" w:type="pct"/>
            <w:noWrap/>
            <w:vAlign w:val="center"/>
            <w:hideMark/>
          </w:tcPr>
          <w:p w:rsidR="00E044E6" w:rsidRPr="000E556D" w:rsidRDefault="00E044E6" w:rsidP="00376F24">
            <w:pPr>
              <w:pStyle w:val="Source"/>
              <w:jc w:val="center"/>
            </w:pPr>
            <w:r w:rsidRPr="000E556D">
              <w:t>5,882,794</w:t>
            </w:r>
          </w:p>
        </w:tc>
        <w:tc>
          <w:tcPr>
            <w:tcW w:w="824" w:type="pct"/>
            <w:vAlign w:val="center"/>
          </w:tcPr>
          <w:p w:rsidR="00E044E6" w:rsidRPr="000E556D" w:rsidRDefault="00E044E6" w:rsidP="00376F24">
            <w:pPr>
              <w:pStyle w:val="Source"/>
              <w:jc w:val="center"/>
            </w:pPr>
            <w:r w:rsidRPr="000E556D">
              <w:t>231,076</w:t>
            </w:r>
          </w:p>
        </w:tc>
        <w:tc>
          <w:tcPr>
            <w:tcW w:w="825" w:type="pct"/>
            <w:noWrap/>
            <w:vAlign w:val="center"/>
            <w:hideMark/>
          </w:tcPr>
          <w:p w:rsidR="00E044E6" w:rsidRPr="000E556D" w:rsidRDefault="00E044E6" w:rsidP="00376F24">
            <w:pPr>
              <w:pStyle w:val="Source"/>
              <w:jc w:val="center"/>
            </w:pPr>
            <w:r w:rsidRPr="000E556D">
              <w:t>589,517</w:t>
            </w:r>
          </w:p>
        </w:tc>
      </w:tr>
      <w:tr w:rsidR="00E044E6" w:rsidRPr="00F2218C" w:rsidTr="00376F24">
        <w:trPr>
          <w:trHeight w:val="300"/>
        </w:trPr>
        <w:tc>
          <w:tcPr>
            <w:tcW w:w="878" w:type="pct"/>
            <w:noWrap/>
            <w:hideMark/>
          </w:tcPr>
          <w:p w:rsidR="00E044E6" w:rsidRPr="000E556D" w:rsidRDefault="00E044E6" w:rsidP="00345BE3">
            <w:pPr>
              <w:pStyle w:val="Source"/>
            </w:pPr>
            <w:proofErr w:type="spellStart"/>
            <w:r w:rsidRPr="000E556D">
              <w:t>AusNet</w:t>
            </w:r>
            <w:proofErr w:type="spellEnd"/>
            <w:r w:rsidRPr="000E556D">
              <w:t xml:space="preserve"> Services</w:t>
            </w:r>
          </w:p>
        </w:tc>
        <w:tc>
          <w:tcPr>
            <w:tcW w:w="824" w:type="pct"/>
            <w:noWrap/>
            <w:vAlign w:val="center"/>
            <w:hideMark/>
          </w:tcPr>
          <w:p w:rsidR="00E044E6" w:rsidRPr="000E556D" w:rsidRDefault="00E044E6" w:rsidP="00376F24">
            <w:pPr>
              <w:pStyle w:val="Source"/>
              <w:jc w:val="center"/>
            </w:pPr>
            <w:r w:rsidRPr="000E556D">
              <w:t>81,850</w:t>
            </w:r>
          </w:p>
        </w:tc>
        <w:tc>
          <w:tcPr>
            <w:tcW w:w="824" w:type="pct"/>
            <w:noWrap/>
            <w:vAlign w:val="center"/>
            <w:hideMark/>
          </w:tcPr>
          <w:p w:rsidR="00E044E6" w:rsidRPr="000E556D" w:rsidRDefault="00E044E6" w:rsidP="00376F24">
            <w:pPr>
              <w:pStyle w:val="Source"/>
              <w:jc w:val="center"/>
            </w:pPr>
            <w:r w:rsidRPr="000E556D">
              <w:t>140,882</w:t>
            </w:r>
          </w:p>
        </w:tc>
        <w:tc>
          <w:tcPr>
            <w:tcW w:w="824" w:type="pct"/>
            <w:noWrap/>
            <w:vAlign w:val="center"/>
            <w:hideMark/>
          </w:tcPr>
          <w:p w:rsidR="00E044E6" w:rsidRPr="000E556D" w:rsidRDefault="00E044E6" w:rsidP="00376F24">
            <w:pPr>
              <w:pStyle w:val="Source"/>
              <w:jc w:val="center"/>
            </w:pPr>
            <w:r w:rsidRPr="000E556D">
              <w:t>2,446,212</w:t>
            </w:r>
          </w:p>
        </w:tc>
        <w:tc>
          <w:tcPr>
            <w:tcW w:w="824" w:type="pct"/>
            <w:vAlign w:val="center"/>
          </w:tcPr>
          <w:p w:rsidR="00E044E6" w:rsidRPr="000E556D" w:rsidRDefault="00E044E6" w:rsidP="00376F24">
            <w:pPr>
              <w:pStyle w:val="Source"/>
              <w:jc w:val="center"/>
            </w:pPr>
            <w:r w:rsidRPr="000E556D">
              <w:t>130,469</w:t>
            </w:r>
          </w:p>
        </w:tc>
        <w:tc>
          <w:tcPr>
            <w:tcW w:w="825" w:type="pct"/>
            <w:noWrap/>
            <w:vAlign w:val="center"/>
            <w:hideMark/>
          </w:tcPr>
          <w:p w:rsidR="00E044E6" w:rsidRPr="000E556D" w:rsidRDefault="00E044E6" w:rsidP="00376F24">
            <w:pPr>
              <w:pStyle w:val="Source"/>
              <w:jc w:val="center"/>
            </w:pPr>
            <w:r w:rsidRPr="000E556D">
              <w:t>279,518</w:t>
            </w:r>
          </w:p>
        </w:tc>
      </w:tr>
      <w:tr w:rsidR="00E044E6" w:rsidRPr="00F2218C" w:rsidTr="00376F24">
        <w:trPr>
          <w:cnfStyle w:val="000000010000" w:firstRow="0" w:lastRow="0" w:firstColumn="0" w:lastColumn="0" w:oddVBand="0" w:evenVBand="0" w:oddHBand="0" w:evenHBand="1" w:firstRowFirstColumn="0" w:firstRowLastColumn="0" w:lastRowFirstColumn="0" w:lastRowLastColumn="0"/>
          <w:trHeight w:val="300"/>
        </w:trPr>
        <w:tc>
          <w:tcPr>
            <w:tcW w:w="878" w:type="pct"/>
            <w:noWrap/>
            <w:hideMark/>
          </w:tcPr>
          <w:p w:rsidR="00E044E6" w:rsidRPr="000E556D" w:rsidRDefault="00E044E6" w:rsidP="00345BE3">
            <w:pPr>
              <w:pStyle w:val="Source"/>
            </w:pPr>
            <w:proofErr w:type="spellStart"/>
            <w:r w:rsidRPr="000E556D">
              <w:t>TasNetworks</w:t>
            </w:r>
            <w:proofErr w:type="spellEnd"/>
          </w:p>
        </w:tc>
        <w:tc>
          <w:tcPr>
            <w:tcW w:w="824" w:type="pct"/>
            <w:noWrap/>
            <w:vAlign w:val="center"/>
            <w:hideMark/>
          </w:tcPr>
          <w:p w:rsidR="00E044E6" w:rsidRPr="000E556D" w:rsidRDefault="00E044E6" w:rsidP="00376F24">
            <w:pPr>
              <w:pStyle w:val="Source"/>
              <w:jc w:val="center"/>
            </w:pPr>
            <w:r w:rsidRPr="000E556D">
              <w:t>50,002</w:t>
            </w:r>
          </w:p>
        </w:tc>
        <w:tc>
          <w:tcPr>
            <w:tcW w:w="824" w:type="pct"/>
            <w:noWrap/>
            <w:vAlign w:val="center"/>
            <w:hideMark/>
          </w:tcPr>
          <w:p w:rsidR="00E044E6" w:rsidRPr="000E556D" w:rsidRDefault="00E044E6" w:rsidP="00376F24">
            <w:pPr>
              <w:pStyle w:val="Source"/>
              <w:jc w:val="center"/>
            </w:pPr>
            <w:r w:rsidRPr="000E556D">
              <w:t>137,447</w:t>
            </w:r>
          </w:p>
        </w:tc>
        <w:tc>
          <w:tcPr>
            <w:tcW w:w="824" w:type="pct"/>
            <w:noWrap/>
            <w:vAlign w:val="center"/>
            <w:hideMark/>
          </w:tcPr>
          <w:p w:rsidR="00E044E6" w:rsidRPr="000E556D" w:rsidRDefault="00E044E6" w:rsidP="00376F24">
            <w:pPr>
              <w:pStyle w:val="Source"/>
              <w:jc w:val="center"/>
            </w:pPr>
            <w:r w:rsidRPr="000E556D">
              <w:t>1,193,223</w:t>
            </w:r>
          </w:p>
        </w:tc>
        <w:tc>
          <w:tcPr>
            <w:tcW w:w="824" w:type="pct"/>
            <w:vAlign w:val="center"/>
          </w:tcPr>
          <w:p w:rsidR="00E044E6" w:rsidRPr="000E556D" w:rsidRDefault="00E044E6" w:rsidP="00376F24">
            <w:pPr>
              <w:pStyle w:val="Source"/>
              <w:jc w:val="center"/>
            </w:pPr>
            <w:r w:rsidRPr="000E556D">
              <w:t>59,173</w:t>
            </w:r>
          </w:p>
        </w:tc>
        <w:tc>
          <w:tcPr>
            <w:tcW w:w="825" w:type="pct"/>
            <w:noWrap/>
            <w:vAlign w:val="center"/>
            <w:hideMark/>
          </w:tcPr>
          <w:p w:rsidR="00E044E6" w:rsidRPr="000E556D" w:rsidRDefault="00E044E6" w:rsidP="00376F24">
            <w:pPr>
              <w:pStyle w:val="Source"/>
              <w:jc w:val="center"/>
            </w:pPr>
            <w:r w:rsidRPr="000E556D">
              <w:t>131,877</w:t>
            </w:r>
          </w:p>
        </w:tc>
      </w:tr>
      <w:tr w:rsidR="00E044E6" w:rsidRPr="00F2218C" w:rsidTr="00376F24">
        <w:trPr>
          <w:trHeight w:val="300"/>
        </w:trPr>
        <w:tc>
          <w:tcPr>
            <w:tcW w:w="878" w:type="pct"/>
            <w:noWrap/>
            <w:hideMark/>
          </w:tcPr>
          <w:p w:rsidR="00E044E6" w:rsidRPr="000E556D" w:rsidRDefault="00E044E6" w:rsidP="00345BE3">
            <w:pPr>
              <w:pStyle w:val="Source"/>
            </w:pPr>
            <w:proofErr w:type="spellStart"/>
            <w:r w:rsidRPr="000E556D">
              <w:t>TransGrid</w:t>
            </w:r>
            <w:proofErr w:type="spellEnd"/>
          </w:p>
        </w:tc>
        <w:tc>
          <w:tcPr>
            <w:tcW w:w="824" w:type="pct"/>
            <w:noWrap/>
            <w:vAlign w:val="center"/>
            <w:hideMark/>
          </w:tcPr>
          <w:p w:rsidR="00E044E6" w:rsidRPr="000E556D" w:rsidRDefault="00E044E6" w:rsidP="00376F24">
            <w:pPr>
              <w:pStyle w:val="Source"/>
              <w:jc w:val="center"/>
            </w:pPr>
            <w:r w:rsidRPr="000E556D">
              <w:t>161,804</w:t>
            </w:r>
          </w:p>
        </w:tc>
        <w:tc>
          <w:tcPr>
            <w:tcW w:w="824" w:type="pct"/>
            <w:noWrap/>
            <w:vAlign w:val="center"/>
            <w:hideMark/>
          </w:tcPr>
          <w:p w:rsidR="00E044E6" w:rsidRPr="000E556D" w:rsidRDefault="00E044E6" w:rsidP="00376F24">
            <w:pPr>
              <w:pStyle w:val="Source"/>
              <w:jc w:val="center"/>
            </w:pPr>
            <w:r w:rsidRPr="000E556D">
              <w:t>422,562</w:t>
            </w:r>
          </w:p>
        </w:tc>
        <w:tc>
          <w:tcPr>
            <w:tcW w:w="824" w:type="pct"/>
            <w:noWrap/>
            <w:vAlign w:val="center"/>
            <w:hideMark/>
          </w:tcPr>
          <w:p w:rsidR="00E044E6" w:rsidRPr="000E556D" w:rsidRDefault="00E044E6" w:rsidP="00376F24">
            <w:pPr>
              <w:pStyle w:val="Source"/>
              <w:jc w:val="center"/>
            </w:pPr>
            <w:r w:rsidRPr="000E556D">
              <w:t>5,252,530</w:t>
            </w:r>
          </w:p>
        </w:tc>
        <w:tc>
          <w:tcPr>
            <w:tcW w:w="824" w:type="pct"/>
            <w:vAlign w:val="center"/>
          </w:tcPr>
          <w:p w:rsidR="00E044E6" w:rsidRPr="000E556D" w:rsidRDefault="00E044E6" w:rsidP="00376F24">
            <w:pPr>
              <w:pStyle w:val="Source"/>
              <w:jc w:val="center"/>
            </w:pPr>
            <w:r w:rsidRPr="000E556D">
              <w:t>207,969</w:t>
            </w:r>
          </w:p>
        </w:tc>
        <w:tc>
          <w:tcPr>
            <w:tcW w:w="825" w:type="pct"/>
            <w:noWrap/>
            <w:vAlign w:val="center"/>
            <w:hideMark/>
          </w:tcPr>
          <w:p w:rsidR="00E044E6" w:rsidRPr="000E556D" w:rsidRDefault="00E044E6" w:rsidP="00376F24">
            <w:pPr>
              <w:pStyle w:val="Source"/>
              <w:jc w:val="center"/>
            </w:pPr>
            <w:r w:rsidRPr="000E556D">
              <w:t>528,008</w:t>
            </w:r>
          </w:p>
        </w:tc>
      </w:tr>
    </w:tbl>
    <w:p w:rsidR="008A7BEA" w:rsidRPr="00DC3B53" w:rsidRDefault="008A7BEA" w:rsidP="00DC3B53">
      <w:pPr>
        <w:pStyle w:val="Heading7"/>
      </w:pPr>
      <w:bookmarkStart w:id="64" w:name="_Toc435705715"/>
      <w:bookmarkStart w:id="65" w:name="_Toc435709426"/>
      <w:bookmarkStart w:id="66" w:name="_Ref432584540"/>
      <w:bookmarkStart w:id="67" w:name="_Toc435709427"/>
      <w:bookmarkEnd w:id="64"/>
      <w:bookmarkEnd w:id="65"/>
      <w:r w:rsidRPr="00DC3B53">
        <w:lastRenderedPageBreak/>
        <w:t>Map of the National Electricity Market</w:t>
      </w:r>
      <w:bookmarkEnd w:id="66"/>
      <w:bookmarkEnd w:id="67"/>
    </w:p>
    <w:p w:rsidR="00397790" w:rsidRDefault="0069742C" w:rsidP="00397790">
      <w:r w:rsidRPr="0040084D">
        <w:t xml:space="preserve">This benchmarking report </w:t>
      </w:r>
      <w:r>
        <w:t>examines</w:t>
      </w:r>
      <w:r w:rsidRPr="0040084D">
        <w:t xml:space="preserve"> the efficiency of the </w:t>
      </w:r>
      <w:r w:rsidR="00F666C0">
        <w:t>five T</w:t>
      </w:r>
      <w:r w:rsidR="00397790">
        <w:t>NSPs</w:t>
      </w:r>
      <w:r w:rsidRPr="0040084D">
        <w:t xml:space="preserve"> in the NEM. The NEM connects electricity generators and customers from Queensland through to New South Wales, the Australian Capital Territory, Victoria, South Australia and Tasmania.</w:t>
      </w:r>
      <w:r w:rsidR="00397790">
        <w:t xml:space="preserve"> </w:t>
      </w:r>
      <w:r w:rsidR="00397790" w:rsidRPr="0040084D">
        <w:fldChar w:fldCharType="begin"/>
      </w:r>
      <w:r w:rsidR="00397790" w:rsidRPr="0040084D">
        <w:instrText xml:space="preserve"> REF _Ref389494912 \h </w:instrText>
      </w:r>
      <w:r w:rsidR="00397790" w:rsidRPr="0040084D">
        <w:fldChar w:fldCharType="separate"/>
      </w:r>
      <w:r w:rsidR="000C4199" w:rsidRPr="0040084D">
        <w:t xml:space="preserve">Figure </w:t>
      </w:r>
      <w:r w:rsidR="000C4199">
        <w:rPr>
          <w:noProof/>
        </w:rPr>
        <w:t>17</w:t>
      </w:r>
      <w:r w:rsidR="00397790" w:rsidRPr="0040084D">
        <w:fldChar w:fldCharType="end"/>
      </w:r>
      <w:r w:rsidR="00397790" w:rsidRPr="0040084D">
        <w:t xml:space="preserve"> illustrates the network areas for which the </w:t>
      </w:r>
      <w:r w:rsidR="00F666C0">
        <w:t>T</w:t>
      </w:r>
      <w:r w:rsidR="00397790">
        <w:t>NSP</w:t>
      </w:r>
      <w:r w:rsidR="003A4C69">
        <w:t>s</w:t>
      </w:r>
      <w:r w:rsidR="00397790" w:rsidRPr="0040084D">
        <w:t xml:space="preserve"> are responsible. </w:t>
      </w:r>
    </w:p>
    <w:p w:rsidR="0069742C" w:rsidRPr="0040084D" w:rsidRDefault="0069742C" w:rsidP="00A75AB2">
      <w:pPr>
        <w:pStyle w:val="Caption"/>
      </w:pPr>
      <w:bookmarkStart w:id="68" w:name="_Ref389494912"/>
      <w:r w:rsidRPr="0040084D">
        <w:t xml:space="preserve">Figure </w:t>
      </w:r>
      <w:r w:rsidR="00DD0FA1">
        <w:fldChar w:fldCharType="begin"/>
      </w:r>
      <w:r w:rsidR="00DD0FA1">
        <w:instrText xml:space="preserve"> SEQ Figure \* ARABIC </w:instrText>
      </w:r>
      <w:r w:rsidR="00DD0FA1">
        <w:fldChar w:fldCharType="separate"/>
      </w:r>
      <w:r w:rsidR="000C4199">
        <w:rPr>
          <w:noProof/>
        </w:rPr>
        <w:t>17</w:t>
      </w:r>
      <w:r w:rsidR="00DD0FA1">
        <w:rPr>
          <w:noProof/>
        </w:rPr>
        <w:fldChar w:fldCharType="end"/>
      </w:r>
      <w:bookmarkEnd w:id="68"/>
      <w:r w:rsidRPr="0040084D">
        <w:tab/>
        <w:t xml:space="preserve">Electricity </w:t>
      </w:r>
      <w:r w:rsidR="00345BE3">
        <w:t>transmission</w:t>
      </w:r>
      <w:r w:rsidRPr="0040084D">
        <w:t xml:space="preserve"> networks within the </w:t>
      </w:r>
      <w:r w:rsidR="00B610B3">
        <w:t>NEM</w:t>
      </w:r>
    </w:p>
    <w:p w:rsidR="0069742C" w:rsidRDefault="00F25CCB" w:rsidP="0069742C">
      <w:r>
        <w:rPr>
          <w:noProof/>
          <w:lang w:eastAsia="en-AU"/>
        </w:rPr>
        <w:drawing>
          <wp:inline distT="0" distB="0" distL="0" distR="0" wp14:anchorId="7B33BC60" wp14:editId="0ACE9C59">
            <wp:extent cx="5382895" cy="6858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mission benchmarking report map.jpg"/>
                    <pic:cNvPicPr/>
                  </pic:nvPicPr>
                  <pic:blipFill>
                    <a:blip r:embed="rId33" cstate="print">
                      <a:clrChange>
                        <a:clrFrom>
                          <a:srgbClr val="FFFEFC"/>
                        </a:clrFrom>
                        <a:clrTo>
                          <a:srgbClr val="FFFEFC">
                            <a:alpha val="0"/>
                          </a:srgbClr>
                        </a:clrTo>
                      </a:clrChange>
                      <a:extLst>
                        <a:ext uri="{28A0092B-C50C-407E-A947-70E740481C1C}">
                          <a14:useLocalDpi xmlns:a14="http://schemas.microsoft.com/office/drawing/2010/main" val="0"/>
                        </a:ext>
                      </a:extLst>
                    </a:blip>
                    <a:stretch>
                      <a:fillRect/>
                    </a:stretch>
                  </pic:blipFill>
                  <pic:spPr>
                    <a:xfrm>
                      <a:off x="0" y="0"/>
                      <a:ext cx="5382895" cy="6858635"/>
                    </a:xfrm>
                    <a:prstGeom prst="rect">
                      <a:avLst/>
                    </a:prstGeom>
                  </pic:spPr>
                </pic:pic>
              </a:graphicData>
            </a:graphic>
          </wp:inline>
        </w:drawing>
      </w:r>
    </w:p>
    <w:p w:rsidR="008A7BEA" w:rsidRDefault="008A7BEA" w:rsidP="008A7BEA">
      <w:pPr>
        <w:pStyle w:val="Heading7"/>
      </w:pPr>
      <w:bookmarkStart w:id="69" w:name="_Toc435709428"/>
      <w:r>
        <w:lastRenderedPageBreak/>
        <w:t>List of submissions</w:t>
      </w:r>
      <w:bookmarkEnd w:id="69"/>
    </w:p>
    <w:p w:rsidR="0031739E" w:rsidRDefault="004930DF" w:rsidP="0069742C">
      <w:r>
        <w:t xml:space="preserve">We sought comment from </w:t>
      </w:r>
      <w:r w:rsidR="006F02A4">
        <w:t>T</w:t>
      </w:r>
      <w:r>
        <w:t xml:space="preserve">NSPs on a draft version of this report. We received submissions </w:t>
      </w:r>
      <w:proofErr w:type="gramStart"/>
      <w:r>
        <w:t>from</w:t>
      </w:r>
      <w:proofErr w:type="gramEnd"/>
      <w:r>
        <w:t>:</w:t>
      </w:r>
    </w:p>
    <w:p w:rsidR="004930DF" w:rsidRDefault="00345BE3" w:rsidP="004930DF">
      <w:pPr>
        <w:pStyle w:val="AERbulletlistfirststyle"/>
      </w:pPr>
      <w:proofErr w:type="spellStart"/>
      <w:r>
        <w:t>ElectraNet</w:t>
      </w:r>
      <w:proofErr w:type="spellEnd"/>
    </w:p>
    <w:p w:rsidR="007846C0" w:rsidRDefault="007846C0" w:rsidP="004930DF">
      <w:pPr>
        <w:pStyle w:val="AERbulletlistfirststyle"/>
      </w:pPr>
      <w:r>
        <w:t>Grid Australia</w:t>
      </w:r>
    </w:p>
    <w:p w:rsidR="00345BE3" w:rsidRDefault="00345BE3" w:rsidP="004930DF">
      <w:pPr>
        <w:pStyle w:val="AERbulletlistfirststyle"/>
      </w:pPr>
      <w:r>
        <w:t>Powerlink</w:t>
      </w:r>
    </w:p>
    <w:p w:rsidR="00345BE3" w:rsidRDefault="00345BE3" w:rsidP="004930DF">
      <w:pPr>
        <w:pStyle w:val="AERbulletlistfirststyle"/>
      </w:pPr>
      <w:proofErr w:type="spellStart"/>
      <w:r>
        <w:t>TasNetworks</w:t>
      </w:r>
      <w:proofErr w:type="spellEnd"/>
    </w:p>
    <w:p w:rsidR="004930DF" w:rsidRDefault="00345BE3" w:rsidP="00345BE3">
      <w:pPr>
        <w:pStyle w:val="AERbulletlistfirststyle"/>
      </w:pPr>
      <w:proofErr w:type="spellStart"/>
      <w:proofErr w:type="gramStart"/>
      <w:r>
        <w:t>TransGrid</w:t>
      </w:r>
      <w:proofErr w:type="spellEnd"/>
      <w:r w:rsidR="004930DF">
        <w:t>.</w:t>
      </w:r>
      <w:proofErr w:type="gramEnd"/>
    </w:p>
    <w:p w:rsidR="004930DF" w:rsidRPr="00036AF4" w:rsidRDefault="004930DF" w:rsidP="004930DF">
      <w:r>
        <w:t>All submissions are available on our website.</w:t>
      </w:r>
    </w:p>
    <w:bookmarkEnd w:id="5"/>
    <w:p w:rsidR="00B610B3" w:rsidRDefault="00B610B3" w:rsidP="00B610B3"/>
    <w:sectPr w:rsidR="00B610B3" w:rsidSect="00E056BF">
      <w:footerReference w:type="even" r:id="rId34"/>
      <w:footerReference w:type="default" r:id="rId35"/>
      <w:footerReference w:type="first" r:id="rId36"/>
      <w:pgSz w:w="11906" w:h="16838" w:code="9"/>
      <w:pgMar w:top="1440" w:right="1700" w:bottom="1582" w:left="1729" w:header="720" w:footer="0" w:gutter="0"/>
      <w:pgNumType w:start="1"/>
      <w:cols w:space="720"/>
      <w:docGrid w:linePitch="326"/>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8B2C8B" w15:done="0"/>
  <w15:commentEx w15:paraId="0B38A0BF" w15:done="0"/>
  <w15:commentEx w15:paraId="167B8778" w15:done="0"/>
  <w15:commentEx w15:paraId="1C08D665" w15:done="0"/>
  <w15:commentEx w15:paraId="1A15A554" w15:done="0"/>
  <w15:commentEx w15:paraId="4B7449AD" w15:done="0"/>
  <w15:commentEx w15:paraId="0DADCB2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045" w:rsidRPr="00290C63" w:rsidRDefault="00CB6045" w:rsidP="00290C63">
      <w:r>
        <w:separator/>
      </w:r>
    </w:p>
    <w:p w:rsidR="00CB6045" w:rsidRDefault="00CB6045"/>
  </w:endnote>
  <w:endnote w:type="continuationSeparator" w:id="0">
    <w:p w:rsidR="00CB6045" w:rsidRPr="00290C63" w:rsidRDefault="00CB6045" w:rsidP="00290C63">
      <w:r>
        <w:continuationSeparator/>
      </w:r>
    </w:p>
    <w:p w:rsidR="00CB6045" w:rsidRDefault="00CB60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045" w:rsidRPr="00290C63" w:rsidRDefault="00CB6045" w:rsidP="00290C63">
    <w:pPr>
      <w:rPr>
        <w:rStyle w:val="PageNumber"/>
      </w:rPr>
    </w:pPr>
    <w:r>
      <w:fldChar w:fldCharType="begin"/>
    </w:r>
    <w:r>
      <w:instrText xml:space="preserve"> PAGE   \* MERGEFORMAT </w:instrText>
    </w:r>
    <w:r>
      <w:fldChar w:fldCharType="separate"/>
    </w:r>
    <w:r w:rsidRPr="00290C63">
      <w:rPr>
        <w:rStyle w:val="PageNumber"/>
      </w:rPr>
      <w:t>2</w:t>
    </w:r>
    <w:r>
      <w:rPr>
        <w:rStyle w:val="PageNumber"/>
      </w:rPr>
      <w:fldChar w:fldCharType="end"/>
    </w:r>
    <w:r w:rsidRPr="00290C63">
      <w:rPr>
        <w:rStyle w:val="PageNumber"/>
      </w:rPr>
      <w:tab/>
      <w:t>Xxx report—month/year</w:t>
    </w:r>
  </w:p>
  <w:p w:rsidR="00CB6045" w:rsidRDefault="00CB6045"/>
  <w:p w:rsidR="00CB6045" w:rsidRDefault="00CB6045"/>
  <w:p w:rsidR="00CB6045" w:rsidRDefault="00CB6045"/>
  <w:p w:rsidR="00CB6045" w:rsidRDefault="00CB6045"/>
  <w:p w:rsidR="00CB6045" w:rsidRDefault="00CB6045"/>
  <w:p w:rsidR="00CB6045" w:rsidRDefault="00CB6045"/>
  <w:p w:rsidR="00CB6045" w:rsidRDefault="00CB604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045" w:rsidRDefault="00CB6045" w:rsidP="002A0CD3">
    <w:pPr>
      <w:pStyle w:val="Footer"/>
      <w:tabs>
        <w:tab w:val="clear" w:pos="9026"/>
        <w:tab w:val="right" w:pos="8505"/>
      </w:tabs>
    </w:pPr>
    <w:r>
      <w:t>2015 Annual benchmarking report (transmission)</w:t>
    </w:r>
    <w:r>
      <w:tab/>
    </w:r>
    <w:r>
      <w:tab/>
    </w:r>
    <w:sdt>
      <w:sdtPr>
        <w:id w:val="31084332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D0FA1">
          <w:rPr>
            <w:noProof/>
          </w:rPr>
          <w:t>8</w:t>
        </w:r>
        <w:r>
          <w:rPr>
            <w:noProof/>
          </w:rPr>
          <w:fldChar w:fldCharType="end"/>
        </w:r>
      </w:sdtContent>
    </w:sdt>
  </w:p>
  <w:p w:rsidR="00CB6045" w:rsidRDefault="00CB60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045" w:rsidRPr="00290C63" w:rsidRDefault="00CB6045" w:rsidP="00290C63">
    <w:pPr>
      <w:pStyle w:val="Footer"/>
    </w:pPr>
    <w:r>
      <w:t>Name of Report</w:t>
    </w:r>
    <w:r>
      <w:tab/>
    </w:r>
    <w:r>
      <w:tab/>
    </w:r>
    <w:r>
      <w:fldChar w:fldCharType="begin"/>
    </w:r>
    <w:r>
      <w:instrText xml:space="preserve"> PAGE   \* MERGEFORMAT </w:instrText>
    </w:r>
    <w:r>
      <w:fldChar w:fldCharType="separate"/>
    </w:r>
    <w:r w:rsidRPr="00290C63">
      <w:t>1</w:t>
    </w:r>
    <w:r>
      <w:fldChar w:fldCharType="end"/>
    </w:r>
  </w:p>
  <w:p w:rsidR="00CB6045" w:rsidRDefault="00CB6045">
    <w:pPr>
      <w:pStyle w:val="Footer"/>
    </w:pPr>
  </w:p>
  <w:p w:rsidR="00CB6045" w:rsidRDefault="00CB6045"/>
  <w:p w:rsidR="00CB6045" w:rsidRDefault="00CB6045"/>
  <w:p w:rsidR="00CB6045" w:rsidRDefault="00CB6045"/>
  <w:p w:rsidR="00CB6045" w:rsidRDefault="00CB6045"/>
  <w:p w:rsidR="00CB6045" w:rsidRDefault="00CB6045"/>
  <w:p w:rsidR="00CB6045" w:rsidRDefault="00CB6045"/>
  <w:p w:rsidR="00CB6045" w:rsidRDefault="00CB60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045" w:rsidRDefault="00CB6045">
      <w:r>
        <w:separator/>
      </w:r>
    </w:p>
  </w:footnote>
  <w:footnote w:type="continuationSeparator" w:id="0">
    <w:p w:rsidR="00CB6045" w:rsidRDefault="00CB6045">
      <w:r>
        <w:continuationSeparator/>
      </w:r>
    </w:p>
  </w:footnote>
  <w:footnote w:type="continuationNotice" w:id="1">
    <w:p w:rsidR="00CB6045" w:rsidRDefault="00CB6045">
      <w:pPr>
        <w:spacing w:before="0" w:line="240" w:lineRule="auto"/>
      </w:pPr>
    </w:p>
  </w:footnote>
  <w:footnote w:id="2">
    <w:p w:rsidR="00CB6045" w:rsidRDefault="00CB6045" w:rsidP="00542A0D">
      <w:pPr>
        <w:pStyle w:val="FootnoteText"/>
      </w:pPr>
      <w:r>
        <w:rPr>
          <w:rStyle w:val="FootnoteReference"/>
        </w:rPr>
        <w:footnoteRef/>
      </w:r>
      <w:r>
        <w:t xml:space="preserve"> </w:t>
      </w:r>
      <w:r>
        <w:tab/>
        <w:t xml:space="preserve">This does not include interconnector networks and the </w:t>
      </w:r>
      <w:proofErr w:type="gramStart"/>
      <w:r>
        <w:t>distribution network service providers</w:t>
      </w:r>
      <w:proofErr w:type="gramEnd"/>
      <w:r>
        <w:t xml:space="preserve"> that operate </w:t>
      </w:r>
      <w:proofErr w:type="spellStart"/>
      <w:r>
        <w:t>subtransmission</w:t>
      </w:r>
      <w:proofErr w:type="spellEnd"/>
      <w:r>
        <w:t xml:space="preserve"> assets.</w:t>
      </w:r>
    </w:p>
  </w:footnote>
  <w:footnote w:id="3">
    <w:p w:rsidR="00311EC4" w:rsidRDefault="00311EC4" w:rsidP="00311EC4">
      <w:pPr>
        <w:pStyle w:val="FootnoteText"/>
      </w:pPr>
      <w:r>
        <w:rPr>
          <w:rStyle w:val="FootnoteReference"/>
        </w:rPr>
        <w:footnoteRef/>
      </w:r>
      <w:r>
        <w:t xml:space="preserve"> </w:t>
      </w:r>
      <w:r>
        <w:tab/>
        <w:t xml:space="preserve">This is particularly the case with </w:t>
      </w:r>
      <w:proofErr w:type="spellStart"/>
      <w:r>
        <w:t>opex</w:t>
      </w:r>
      <w:proofErr w:type="spellEnd"/>
      <w:r>
        <w:t>. However, it is should be recognised that for capex, in some cases, a bottom up assessment is useful in circumstances where a discrete number of projects to be undertaken can be clearly identified.</w:t>
      </w:r>
    </w:p>
  </w:footnote>
  <w:footnote w:id="4">
    <w:p w:rsidR="00CB6045" w:rsidRDefault="00CB6045" w:rsidP="00583F8B">
      <w:pPr>
        <w:pStyle w:val="FootnoteText"/>
      </w:pPr>
      <w:r>
        <w:rPr>
          <w:rStyle w:val="FootnoteReference"/>
        </w:rPr>
        <w:footnoteRef/>
      </w:r>
      <w:r>
        <w:t xml:space="preserve"> </w:t>
      </w:r>
      <w:r>
        <w:tab/>
        <w:t xml:space="preserve">Bottom up techniques are not commonly used. One example, however, is in Spain where the regulator constructs a network reference model. This model designs </w:t>
      </w:r>
      <w:proofErr w:type="gramStart"/>
      <w:r>
        <w:t>large scale</w:t>
      </w:r>
      <w:proofErr w:type="gramEnd"/>
      <w:r>
        <w:t xml:space="preserve"> electricity distribution networks optimally, considering all technical features imposed on the actual distribution networks. The WIK Consult report referenced in Appendix A provides more detail on the Spanish bottom up model.</w:t>
      </w:r>
    </w:p>
  </w:footnote>
  <w:footnote w:id="5">
    <w:p w:rsidR="00CB6045" w:rsidRDefault="00CB6045">
      <w:pPr>
        <w:pStyle w:val="FootnoteText"/>
      </w:pPr>
      <w:r>
        <w:rPr>
          <w:rStyle w:val="FootnoteReference"/>
        </w:rPr>
        <w:footnoteRef/>
      </w:r>
      <w:r>
        <w:t xml:space="preserve"> </w:t>
      </w:r>
      <w:r>
        <w:tab/>
        <w:t>Refer to glossary for definitions.</w:t>
      </w:r>
    </w:p>
  </w:footnote>
  <w:footnote w:id="6">
    <w:p w:rsidR="00CB6045" w:rsidRDefault="00CB6045">
      <w:pPr>
        <w:pStyle w:val="FootnoteText"/>
      </w:pPr>
      <w:r>
        <w:rPr>
          <w:rStyle w:val="FootnoteReference"/>
        </w:rPr>
        <w:footnoteRef/>
      </w:r>
      <w:r>
        <w:t xml:space="preserve"> </w:t>
      </w:r>
      <w:r>
        <w:tab/>
        <w:t xml:space="preserve">‘Ratcheted’ maximum demand is </w:t>
      </w:r>
      <w:r w:rsidRPr="004E1F45">
        <w:t xml:space="preserve">the highest value of </w:t>
      </w:r>
      <w:r>
        <w:t>maximum</w:t>
      </w:r>
      <w:r w:rsidRPr="004E1F45">
        <w:t xml:space="preserve"> demand </w:t>
      </w:r>
      <w:r>
        <w:t xml:space="preserve">for each TNSP, </w:t>
      </w:r>
      <w:r w:rsidRPr="004E1F45">
        <w:t xml:space="preserve">observed in the </w:t>
      </w:r>
      <w:proofErr w:type="gramStart"/>
      <w:r w:rsidRPr="004E1F45">
        <w:t>time period</w:t>
      </w:r>
      <w:proofErr w:type="gramEnd"/>
      <w:r w:rsidRPr="004E1F45">
        <w:t xml:space="preserve"> up to the year in question. It recognises capacity that </w:t>
      </w:r>
      <w:proofErr w:type="gramStart"/>
      <w:r w:rsidRPr="004E1F45">
        <w:t>has been used</w:t>
      </w:r>
      <w:proofErr w:type="gramEnd"/>
      <w:r w:rsidRPr="004E1F45">
        <w:t xml:space="preserve"> to satisfy demand and gives the </w:t>
      </w:r>
      <w:r>
        <w:t>TNSP</w:t>
      </w:r>
      <w:r w:rsidRPr="004E1F45">
        <w:t xml:space="preserve"> credit for this capacity in subsequent years, even though annual </w:t>
      </w:r>
      <w:r>
        <w:t xml:space="preserve">maximum </w:t>
      </w:r>
      <w:r w:rsidRPr="004E1F45">
        <w:t>demand may be lower in subsequent years.</w:t>
      </w:r>
    </w:p>
  </w:footnote>
  <w:footnote w:id="7">
    <w:p w:rsidR="00CB6045" w:rsidRDefault="00CB6045">
      <w:pPr>
        <w:pStyle w:val="FootnoteText"/>
      </w:pPr>
      <w:r>
        <w:rPr>
          <w:rStyle w:val="FootnoteReference"/>
        </w:rPr>
        <w:footnoteRef/>
      </w:r>
      <w:r>
        <w:t xml:space="preserve"> </w:t>
      </w:r>
      <w:r>
        <w:tab/>
        <w:t xml:space="preserve">Specifically </w:t>
      </w:r>
      <w:proofErr w:type="spellStart"/>
      <w:r>
        <w:t>ElectraNet’s</w:t>
      </w:r>
      <w:proofErr w:type="spellEnd"/>
      <w:r>
        <w:t xml:space="preserve"> connection point voltage decreased due to measuring the connection point voltage on the distribution side rather than the transmission side.</w:t>
      </w:r>
    </w:p>
  </w:footnote>
  <w:footnote w:id="8">
    <w:p w:rsidR="00CB6045" w:rsidRDefault="00CB6045">
      <w:pPr>
        <w:pStyle w:val="FootnoteText"/>
      </w:pPr>
      <w:r>
        <w:rPr>
          <w:rStyle w:val="FootnoteReference"/>
        </w:rPr>
        <w:footnoteRef/>
      </w:r>
      <w:r>
        <w:t xml:space="preserve"> </w:t>
      </w:r>
      <w:r>
        <w:tab/>
        <w:t xml:space="preserve">In this </w:t>
      </w:r>
      <w:proofErr w:type="gramStart"/>
      <w:r>
        <w:t>chart</w:t>
      </w:r>
      <w:proofErr w:type="gramEnd"/>
      <w:r>
        <w:t xml:space="preserve"> we have set </w:t>
      </w:r>
      <w:proofErr w:type="spellStart"/>
      <w:r>
        <w:t>TasNetworks</w:t>
      </w:r>
      <w:proofErr w:type="spellEnd"/>
      <w:r>
        <w:t xml:space="preserve">’ performance at 1 under both the new and old data. This is because we have not altered </w:t>
      </w:r>
      <w:proofErr w:type="spellStart"/>
      <w:r>
        <w:t>TasNetworks</w:t>
      </w:r>
      <w:proofErr w:type="spellEnd"/>
      <w:r>
        <w:t xml:space="preserve">’ data. This is </w:t>
      </w:r>
      <w:proofErr w:type="gramStart"/>
      <w:r>
        <w:t>necessary</w:t>
      </w:r>
      <w:proofErr w:type="gramEnd"/>
      <w:r>
        <w:t xml:space="preserve"> as </w:t>
      </w:r>
      <w:proofErr w:type="spellStart"/>
      <w:r>
        <w:t>ElectraNet</w:t>
      </w:r>
      <w:proofErr w:type="spellEnd"/>
      <w:r>
        <w:t xml:space="preserve"> is the base for the index. Graphing the raw scores would have shown all the networks improving rather than </w:t>
      </w:r>
      <w:proofErr w:type="spellStart"/>
      <w:r>
        <w:t>ElectraNet’s</w:t>
      </w:r>
      <w:proofErr w:type="spellEnd"/>
      <w:r>
        <w:t xml:space="preserve"> performance falling (which is actually the case).</w:t>
      </w:r>
    </w:p>
  </w:footnote>
  <w:footnote w:id="9">
    <w:p w:rsidR="00CB6045" w:rsidRDefault="00CB6045" w:rsidP="006818B2">
      <w:pPr>
        <w:pStyle w:val="FootnoteText"/>
      </w:pPr>
      <w:r>
        <w:rPr>
          <w:rStyle w:val="FootnoteReference"/>
        </w:rPr>
        <w:footnoteRef/>
      </w:r>
      <w:r>
        <w:t xml:space="preserve"> </w:t>
      </w:r>
      <w:r>
        <w:tab/>
      </w:r>
      <w:r w:rsidRPr="004D1755">
        <w:t xml:space="preserve">This approach differs from the approach taken in our benchmarking report for electricity distributors. In our benchmarking report for the electricity </w:t>
      </w:r>
      <w:proofErr w:type="gramStart"/>
      <w:r w:rsidRPr="004D1755">
        <w:t>distributors</w:t>
      </w:r>
      <w:proofErr w:type="gramEnd"/>
      <w:r w:rsidRPr="004D1755">
        <w:t xml:space="preserve"> we chose to focus</w:t>
      </w:r>
      <w:r>
        <w:t xml:space="preserve"> on</w:t>
      </w:r>
      <w:r w:rsidRPr="004D1755">
        <w:t xml:space="preserve"> input costs per customer. </w:t>
      </w:r>
    </w:p>
  </w:footnote>
  <w:footnote w:id="10">
    <w:p w:rsidR="00CB6045" w:rsidRDefault="00CB6045" w:rsidP="008973D4">
      <w:pPr>
        <w:pStyle w:val="FootnoteText"/>
      </w:pPr>
      <w:r>
        <w:rPr>
          <w:rStyle w:val="FootnoteReference"/>
        </w:rPr>
        <w:footnoteRef/>
      </w:r>
      <w:r>
        <w:t xml:space="preserve"> </w:t>
      </w:r>
      <w:r>
        <w:tab/>
        <w:t xml:space="preserve">As a result of changes to connection point data and removal of double counted TNIs (see section </w:t>
      </w:r>
      <w:r>
        <w:fldChar w:fldCharType="begin"/>
      </w:r>
      <w:r>
        <w:instrText xml:space="preserve"> REF _Ref429738654 \r \h </w:instrText>
      </w:r>
      <w:r>
        <w:fldChar w:fldCharType="separate"/>
      </w:r>
      <w:r>
        <w:t>B.1.4</w:t>
      </w:r>
      <w:r>
        <w:fldChar w:fldCharType="end"/>
      </w:r>
      <w:r>
        <w:t xml:space="preserve">), the results have changed somewhat since last year's report. The main change is that </w:t>
      </w:r>
      <w:proofErr w:type="spellStart"/>
      <w:r>
        <w:t>AusNet</w:t>
      </w:r>
      <w:proofErr w:type="spellEnd"/>
      <w:r>
        <w:t xml:space="preserve"> Services’ cost per connection point has increased.</w:t>
      </w:r>
    </w:p>
  </w:footnote>
  <w:footnote w:id="11">
    <w:p w:rsidR="00CB6045" w:rsidRDefault="00CB6045" w:rsidP="0014002E">
      <w:pPr>
        <w:pStyle w:val="FootnoteText"/>
      </w:pPr>
      <w:r>
        <w:rPr>
          <w:rStyle w:val="FootnoteReference"/>
        </w:rPr>
        <w:footnoteRef/>
      </w:r>
      <w:r>
        <w:t xml:space="preserve"> </w:t>
      </w:r>
      <w:r>
        <w:tab/>
        <w:t xml:space="preserve">AEMO uses transmission node identifiers to calculate transmission losses. See: AEMO, </w:t>
      </w:r>
      <w:r w:rsidRPr="00467179">
        <w:t xml:space="preserve">List of NEM regions and marginal loss factors for the 2014-15 financial </w:t>
      </w:r>
      <w:proofErr w:type="gramStart"/>
      <w:r w:rsidRPr="00467179">
        <w:t>year</w:t>
      </w:r>
      <w:proofErr w:type="gramEnd"/>
      <w:r>
        <w:t>,</w:t>
      </w:r>
      <w:r w:rsidRPr="003B1451">
        <w:t xml:space="preserve"> 5 J</w:t>
      </w:r>
      <w:r>
        <w:t>une</w:t>
      </w:r>
      <w:r w:rsidRPr="003B1451">
        <w:t xml:space="preserve"> 2014</w:t>
      </w:r>
      <w:r>
        <w:t>, p. 7.</w:t>
      </w:r>
    </w:p>
  </w:footnote>
  <w:footnote w:id="12">
    <w:p w:rsidR="00CB6045" w:rsidRDefault="00CB6045" w:rsidP="0014002E">
      <w:pPr>
        <w:pStyle w:val="FootnoteText"/>
      </w:pPr>
      <w:r>
        <w:rPr>
          <w:rStyle w:val="FootnoteReference"/>
        </w:rPr>
        <w:footnoteRef/>
      </w:r>
      <w:r>
        <w:t xml:space="preserve"> </w:t>
      </w:r>
      <w:r>
        <w:tab/>
      </w:r>
      <w:r w:rsidRPr="0036630A">
        <w:t xml:space="preserve">AEMO </w:t>
      </w:r>
      <w:r w:rsidRPr="003C685F">
        <w:t>released its final report of its VCR review in September 2014, which provides updated state-level VCRs. Residential VCR values have not substantially changed since the 2007–08 values, although the values for the commercial sector are notably lower.</w:t>
      </w:r>
      <w:r>
        <w:t xml:space="preserve"> AEMO, </w:t>
      </w:r>
      <w:r w:rsidRPr="005A50CE">
        <w:t>Value of customer reliability review: Final report</w:t>
      </w:r>
      <w:r>
        <w:t>, September 2014.</w:t>
      </w:r>
    </w:p>
  </w:footnote>
  <w:footnote w:id="13">
    <w:p w:rsidR="00CB6045" w:rsidRDefault="00CB6045" w:rsidP="0014002E">
      <w:pPr>
        <w:pStyle w:val="FootnoteText"/>
      </w:pPr>
      <w:r>
        <w:rPr>
          <w:rStyle w:val="FootnoteReference"/>
        </w:rPr>
        <w:footnoteRef/>
      </w:r>
      <w:r>
        <w:t xml:space="preserve"> </w:t>
      </w:r>
      <w:r>
        <w:tab/>
        <w:t>This is the sum of the voltage at each connection point.</w:t>
      </w:r>
    </w:p>
  </w:footnote>
  <w:footnote w:id="14">
    <w:p w:rsidR="00CB6045" w:rsidRDefault="00CB6045" w:rsidP="00CF4CAD">
      <w:pPr>
        <w:pStyle w:val="FootnoteText"/>
      </w:pPr>
      <w:r>
        <w:rPr>
          <w:rStyle w:val="FootnoteReference"/>
        </w:rPr>
        <w:footnoteRef/>
      </w:r>
      <w:r>
        <w:t xml:space="preserve"> </w:t>
      </w:r>
      <w:r>
        <w:tab/>
        <w:t xml:space="preserve">Economic Insights, </w:t>
      </w:r>
      <w:r>
        <w:rPr>
          <w:i/>
        </w:rPr>
        <w:t>Memorandum T</w:t>
      </w:r>
      <w:r w:rsidRPr="006F447F">
        <w:rPr>
          <w:i/>
        </w:rPr>
        <w:t>NSP MTFP Results</w:t>
      </w:r>
      <w:r>
        <w:t>, July 2014, p. 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7FE90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4">
    <w:nsid w:val="FFFFFF7F"/>
    <w:multiLevelType w:val="singleLevel"/>
    <w:tmpl w:val="C9043968"/>
    <w:lvl w:ilvl="0">
      <w:start w:val="1"/>
      <w:numFmt w:val="decimal"/>
      <w:pStyle w:val="ListNumber2"/>
      <w:lvlText w:val="%1."/>
      <w:lvlJc w:val="left"/>
      <w:pPr>
        <w:ind w:left="700" w:hanging="360"/>
      </w:pPr>
    </w:lvl>
  </w:abstractNum>
  <w:abstractNum w:abstractNumId="5">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8">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9">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1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041F530A"/>
    <w:multiLevelType w:val="multilevel"/>
    <w:tmpl w:val="4E603E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Gautami"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Gautami"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Gautami" w:hint="default"/>
      </w:rPr>
    </w:lvl>
    <w:lvl w:ilvl="8" w:tplc="2DD24F62" w:tentative="1">
      <w:start w:val="1"/>
      <w:numFmt w:val="bullet"/>
      <w:lvlText w:val=""/>
      <w:lvlJc w:val="left"/>
      <w:pPr>
        <w:ind w:left="7560" w:hanging="360"/>
      </w:pPr>
      <w:rPr>
        <w:rFonts w:ascii="Wingdings" w:hAnsi="Wingdings" w:hint="default"/>
      </w:rPr>
    </w:lvl>
  </w:abstractNum>
  <w:abstractNum w:abstractNumId="17">
    <w:nsid w:val="16503FF3"/>
    <w:multiLevelType w:val="hybridMultilevel"/>
    <w:tmpl w:val="2C901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9">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1073EF4"/>
    <w:multiLevelType w:val="hybridMultilevel"/>
    <w:tmpl w:val="9042A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1004"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281977C0"/>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3">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4">
    <w:nsid w:val="2C3F2E77"/>
    <w:multiLevelType w:val="hybridMultilevel"/>
    <w:tmpl w:val="9CD8B8A0"/>
    <w:lvl w:ilvl="0" w:tplc="0C090003">
      <w:start w:val="1"/>
      <w:numFmt w:val="bullet"/>
      <w:lvlText w:val="o"/>
      <w:lvlJc w:val="left"/>
      <w:pPr>
        <w:ind w:left="720" w:hanging="360"/>
      </w:pPr>
      <w:rPr>
        <w:rFonts w:ascii="Courier New" w:hAnsi="Courier New" w:cs="Aria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2D000636"/>
    <w:multiLevelType w:val="hybridMultilevel"/>
    <w:tmpl w:val="22427E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7"/>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7">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36D84DD4"/>
    <w:multiLevelType w:val="hybridMultilevel"/>
    <w:tmpl w:val="C6787DDA"/>
    <w:lvl w:ilvl="0" w:tplc="96C6B4C6">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Gautam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Gautam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Gautami"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3BE638BA"/>
    <w:multiLevelType w:val="hybridMultilevel"/>
    <w:tmpl w:val="22B877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27365F5"/>
    <w:multiLevelType w:val="hybridMultilevel"/>
    <w:tmpl w:val="5C28C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33">
    <w:nsid w:val="44C451BD"/>
    <w:multiLevelType w:val="multilevel"/>
    <w:tmpl w:val="39D4CB02"/>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Gautami"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Gautami"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Gautami" w:hint="default"/>
      </w:rPr>
    </w:lvl>
    <w:lvl w:ilvl="8" w:tplc="0C090005" w:tentative="1">
      <w:start w:val="1"/>
      <w:numFmt w:val="bullet"/>
      <w:lvlText w:val=""/>
      <w:lvlJc w:val="left"/>
      <w:pPr>
        <w:ind w:left="6800" w:hanging="360"/>
      </w:pPr>
      <w:rPr>
        <w:rFonts w:ascii="Wingdings" w:hAnsi="Wingdings" w:hint="default"/>
      </w:rPr>
    </w:lvl>
  </w:abstractNum>
  <w:abstractNum w:abstractNumId="38">
    <w:nsid w:val="50CA0C2C"/>
    <w:multiLevelType w:val="hybridMultilevel"/>
    <w:tmpl w:val="6806502C"/>
    <w:lvl w:ilvl="0" w:tplc="5518F1B8">
      <w:start w:val="1"/>
      <w:numFmt w:val="bullet"/>
      <w:lvlText w:val=""/>
      <w:lvlJc w:val="left"/>
      <w:pPr>
        <w:tabs>
          <w:tab w:val="num" w:pos="1701"/>
        </w:tabs>
        <w:ind w:left="1701" w:hanging="567"/>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52486784"/>
    <w:multiLevelType w:val="hybridMultilevel"/>
    <w:tmpl w:val="F278A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nsid w:val="589C12B5"/>
    <w:multiLevelType w:val="hybridMultilevel"/>
    <w:tmpl w:val="DDDAA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44">
    <w:nsid w:val="5ECE4384"/>
    <w:multiLevelType w:val="multilevel"/>
    <w:tmpl w:val="EC5E840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nsid w:val="5F8E0DDE"/>
    <w:multiLevelType w:val="hybridMultilevel"/>
    <w:tmpl w:val="5CDCE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662F6FB8"/>
    <w:multiLevelType w:val="hybridMultilevel"/>
    <w:tmpl w:val="576E7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Gautami" w:hint="default"/>
      </w:rPr>
    </w:lvl>
    <w:lvl w:ilvl="1" w:tplc="0C090019" w:tentative="1">
      <w:start w:val="1"/>
      <w:numFmt w:val="bullet"/>
      <w:lvlText w:val="o"/>
      <w:lvlJc w:val="left"/>
      <w:pPr>
        <w:ind w:left="1801" w:hanging="360"/>
      </w:pPr>
      <w:rPr>
        <w:rFonts w:ascii="Courier New" w:hAnsi="Courier New" w:cs="Gautami"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Gautami"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Gautami" w:hint="default"/>
      </w:rPr>
    </w:lvl>
    <w:lvl w:ilvl="8" w:tplc="0C09001B" w:tentative="1">
      <w:start w:val="1"/>
      <w:numFmt w:val="bullet"/>
      <w:lvlText w:val=""/>
      <w:lvlJc w:val="left"/>
      <w:pPr>
        <w:ind w:left="6841" w:hanging="360"/>
      </w:pPr>
      <w:rPr>
        <w:rFonts w:ascii="Wingdings" w:hAnsi="Wingdings" w:hint="default"/>
      </w:rPr>
    </w:lvl>
  </w:abstractNum>
  <w:abstractNum w:abstractNumId="48">
    <w:nsid w:val="68CD472C"/>
    <w:multiLevelType w:val="hybridMultilevel"/>
    <w:tmpl w:val="44F26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nsid w:val="71551D99"/>
    <w:multiLevelType w:val="hybridMultilevel"/>
    <w:tmpl w:val="6AA84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71924FDD"/>
    <w:multiLevelType w:val="hybridMultilevel"/>
    <w:tmpl w:val="592EB350"/>
    <w:lvl w:ilvl="0" w:tplc="B14C683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52"/>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47"/>
  </w:num>
  <w:num w:numId="13">
    <w:abstractNumId w:val="29"/>
  </w:num>
  <w:num w:numId="14">
    <w:abstractNumId w:val="15"/>
  </w:num>
  <w:num w:numId="15">
    <w:abstractNumId w:val="18"/>
  </w:num>
  <w:num w:numId="16">
    <w:abstractNumId w:val="35"/>
  </w:num>
  <w:num w:numId="17">
    <w:abstractNumId w:val="14"/>
  </w:num>
  <w:num w:numId="18">
    <w:abstractNumId w:val="23"/>
  </w:num>
  <w:num w:numId="19">
    <w:abstractNumId w:val="36"/>
  </w:num>
  <w:num w:numId="20">
    <w:abstractNumId w:val="49"/>
  </w:num>
  <w:num w:numId="21">
    <w:abstractNumId w:val="43"/>
  </w:num>
  <w:num w:numId="22">
    <w:abstractNumId w:val="37"/>
  </w:num>
  <w:num w:numId="23">
    <w:abstractNumId w:val="26"/>
  </w:num>
  <w:num w:numId="24">
    <w:abstractNumId w:val="39"/>
  </w:num>
  <w:num w:numId="25">
    <w:abstractNumId w:val="44"/>
  </w:num>
  <w:num w:numId="26">
    <w:abstractNumId w:val="27"/>
  </w:num>
  <w:num w:numId="27">
    <w:abstractNumId w:val="21"/>
  </w:num>
  <w:num w:numId="28">
    <w:abstractNumId w:val="9"/>
    <w:lvlOverride w:ilvl="0">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num>
  <w:num w:numId="32">
    <w:abstractNumId w:val="9"/>
    <w:lvlOverride w:ilvl="0">
      <w:startOverride w:val="1"/>
    </w:lvlOverride>
  </w:num>
  <w:num w:numId="33">
    <w:abstractNumId w:val="9"/>
    <w:lvlOverride w:ilvl="0">
      <w:startOverride w:val="1"/>
    </w:lvlOverride>
  </w:num>
  <w:num w:numId="34">
    <w:abstractNumId w:val="9"/>
    <w:lvlOverride w:ilvl="0">
      <w:startOverride w:val="1"/>
    </w:lvlOverride>
  </w:num>
  <w:num w:numId="35">
    <w:abstractNumId w:val="9"/>
    <w:lvlOverride w:ilvl="0">
      <w:startOverride w:val="1"/>
    </w:lvlOverride>
  </w:num>
  <w:num w:numId="36">
    <w:abstractNumId w:val="9"/>
    <w:lvlOverride w:ilvl="0">
      <w:startOverride w:val="1"/>
    </w:lvlOverride>
  </w:num>
  <w:num w:numId="37">
    <w:abstractNumId w:val="9"/>
    <w:lvlOverride w:ilvl="0">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num>
  <w:num w:numId="40">
    <w:abstractNumId w:val="38"/>
  </w:num>
  <w:num w:numId="41">
    <w:abstractNumId w:val="30"/>
  </w:num>
  <w:num w:numId="42">
    <w:abstractNumId w:val="24"/>
  </w:num>
  <w:num w:numId="43">
    <w:abstractNumId w:val="33"/>
  </w:num>
  <w:num w:numId="44">
    <w:abstractNumId w:val="42"/>
  </w:num>
  <w:num w:numId="45">
    <w:abstractNumId w:val="31"/>
  </w:num>
  <w:num w:numId="46">
    <w:abstractNumId w:val="28"/>
  </w:num>
  <w:num w:numId="47">
    <w:abstractNumId w:val="0"/>
  </w:num>
  <w:num w:numId="48">
    <w:abstractNumId w:val="10"/>
  </w:num>
  <w:num w:numId="49">
    <w:abstractNumId w:val="13"/>
  </w:num>
  <w:num w:numId="50">
    <w:abstractNumId w:val="19"/>
  </w:num>
  <w:num w:numId="51">
    <w:abstractNumId w:val="3"/>
    <w:lvlOverride w:ilvl="0">
      <w:startOverride w:val="1"/>
    </w:lvlOverride>
  </w:num>
  <w:num w:numId="52">
    <w:abstractNumId w:val="23"/>
    <w:lvlOverride w:ilvl="0">
      <w:startOverride w:val="1"/>
    </w:lvlOverride>
  </w:num>
  <w:num w:numId="53">
    <w:abstractNumId w:val="34"/>
  </w:num>
  <w:num w:numId="54">
    <w:abstractNumId w:val="11"/>
  </w:num>
  <w:num w:numId="55">
    <w:abstractNumId w:val="18"/>
  </w:num>
  <w:num w:numId="56">
    <w:abstractNumId w:val="12"/>
  </w:num>
  <w:num w:numId="57">
    <w:abstractNumId w:val="41"/>
  </w:num>
  <w:num w:numId="58">
    <w:abstractNumId w:val="32"/>
  </w:num>
  <w:num w:numId="59">
    <w:abstractNumId w:val="32"/>
    <w:lvlOverride w:ilvl="0">
      <w:startOverride w:val="1"/>
    </w:lvlOverride>
  </w:num>
  <w:num w:numId="60">
    <w:abstractNumId w:val="52"/>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1">
    <w:abstractNumId w:val="22"/>
  </w:num>
  <w:num w:numId="62">
    <w:abstractNumId w:val="52"/>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3">
    <w:abstractNumId w:val="52"/>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4">
    <w:abstractNumId w:val="20"/>
  </w:num>
  <w:num w:numId="65">
    <w:abstractNumId w:val="50"/>
  </w:num>
  <w:num w:numId="66">
    <w:abstractNumId w:val="46"/>
  </w:num>
  <w:num w:numId="67">
    <w:abstractNumId w:val="25"/>
  </w:num>
  <w:num w:numId="68">
    <w:abstractNumId w:val="17"/>
  </w:num>
  <w:num w:numId="69">
    <w:abstractNumId w:val="40"/>
  </w:num>
  <w:num w:numId="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5"/>
  </w:num>
  <w:num w:numId="72">
    <w:abstractNumId w:val="48"/>
  </w:num>
  <w:num w:numId="73">
    <w:abstractNumId w:val="5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removeDateAndTime/>
  <w:activeWritingStyle w:appName="MSWord" w:lang="en-AU" w:vendorID="64" w:dllVersion="131078" w:nlCheck="1" w:checkStyle="0"/>
  <w:activeWritingStyle w:appName="MSWord" w:lang="en-US" w:vendorID="64" w:dllVersion="131078" w:nlCheck="1" w:checkStyle="0"/>
  <w:activeWritingStyle w:appName="MSWord" w:lang="en-AU" w:vendorID="2" w:dllVersion="6" w:checkStyle="0"/>
  <w:proofState w:spelling="clean" w:grammar="clean"/>
  <w:trackRevisions/>
  <w:documentProtection w:formatting="1" w:enforcement="0"/>
  <w:defaultTabStop w:val="340"/>
  <w:characterSpacingControl w:val="doNotCompress"/>
  <w:hdrShapeDefaults>
    <o:shapedefaults v:ext="edit" spidmax="20481"/>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anley\AppData\Local\Microsoft\Windows\Temporary Internet Files\Content.Outlook\NY5K18QK\D15 175081  Final TNSP benchmarking report - CC coments tracked.docx"/>
  </w:docVars>
  <w:rsids>
    <w:rsidRoot w:val="00961A4A"/>
    <w:rsid w:val="000004B3"/>
    <w:rsid w:val="000014D9"/>
    <w:rsid w:val="0000292D"/>
    <w:rsid w:val="00002A41"/>
    <w:rsid w:val="00003300"/>
    <w:rsid w:val="000033A6"/>
    <w:rsid w:val="000037EB"/>
    <w:rsid w:val="000047C8"/>
    <w:rsid w:val="00007FE2"/>
    <w:rsid w:val="0001044E"/>
    <w:rsid w:val="00011292"/>
    <w:rsid w:val="00012150"/>
    <w:rsid w:val="0001344A"/>
    <w:rsid w:val="00013D04"/>
    <w:rsid w:val="00014995"/>
    <w:rsid w:val="000164A2"/>
    <w:rsid w:val="00016930"/>
    <w:rsid w:val="00017F13"/>
    <w:rsid w:val="00020B8D"/>
    <w:rsid w:val="00020BC3"/>
    <w:rsid w:val="00021202"/>
    <w:rsid w:val="00024181"/>
    <w:rsid w:val="00024FA6"/>
    <w:rsid w:val="00025124"/>
    <w:rsid w:val="0002517F"/>
    <w:rsid w:val="000255F0"/>
    <w:rsid w:val="0002578C"/>
    <w:rsid w:val="00025FDD"/>
    <w:rsid w:val="00027848"/>
    <w:rsid w:val="00031488"/>
    <w:rsid w:val="0003240E"/>
    <w:rsid w:val="000326E4"/>
    <w:rsid w:val="00034653"/>
    <w:rsid w:val="00034A7E"/>
    <w:rsid w:val="0003578C"/>
    <w:rsid w:val="00040977"/>
    <w:rsid w:val="00040DD1"/>
    <w:rsid w:val="000411E6"/>
    <w:rsid w:val="000418AD"/>
    <w:rsid w:val="00044EA7"/>
    <w:rsid w:val="00045CE6"/>
    <w:rsid w:val="00046968"/>
    <w:rsid w:val="000478FE"/>
    <w:rsid w:val="00050855"/>
    <w:rsid w:val="000533D1"/>
    <w:rsid w:val="000537B7"/>
    <w:rsid w:val="000537C6"/>
    <w:rsid w:val="000546F7"/>
    <w:rsid w:val="0005488B"/>
    <w:rsid w:val="000548C4"/>
    <w:rsid w:val="00057140"/>
    <w:rsid w:val="00057982"/>
    <w:rsid w:val="000606F7"/>
    <w:rsid w:val="00060A04"/>
    <w:rsid w:val="00061021"/>
    <w:rsid w:val="00063247"/>
    <w:rsid w:val="0006753B"/>
    <w:rsid w:val="00070F9F"/>
    <w:rsid w:val="0007137B"/>
    <w:rsid w:val="00071685"/>
    <w:rsid w:val="00071ACB"/>
    <w:rsid w:val="00075F50"/>
    <w:rsid w:val="000763B5"/>
    <w:rsid w:val="00076D10"/>
    <w:rsid w:val="0008099A"/>
    <w:rsid w:val="00081C9B"/>
    <w:rsid w:val="00082FBF"/>
    <w:rsid w:val="000848BC"/>
    <w:rsid w:val="00085663"/>
    <w:rsid w:val="00085EBF"/>
    <w:rsid w:val="00085F4E"/>
    <w:rsid w:val="000860C8"/>
    <w:rsid w:val="00086105"/>
    <w:rsid w:val="00086847"/>
    <w:rsid w:val="00087604"/>
    <w:rsid w:val="000905D9"/>
    <w:rsid w:val="00091C4F"/>
    <w:rsid w:val="000922AA"/>
    <w:rsid w:val="000938E9"/>
    <w:rsid w:val="000947D6"/>
    <w:rsid w:val="000961C9"/>
    <w:rsid w:val="00097111"/>
    <w:rsid w:val="000A09AF"/>
    <w:rsid w:val="000A1D2B"/>
    <w:rsid w:val="000A1F11"/>
    <w:rsid w:val="000A2F08"/>
    <w:rsid w:val="000A3020"/>
    <w:rsid w:val="000A4626"/>
    <w:rsid w:val="000A4860"/>
    <w:rsid w:val="000A6C7B"/>
    <w:rsid w:val="000A6D1B"/>
    <w:rsid w:val="000A77A7"/>
    <w:rsid w:val="000A7944"/>
    <w:rsid w:val="000B0AA3"/>
    <w:rsid w:val="000B13A7"/>
    <w:rsid w:val="000B2AF7"/>
    <w:rsid w:val="000B424B"/>
    <w:rsid w:val="000B4BEF"/>
    <w:rsid w:val="000C12D9"/>
    <w:rsid w:val="000C226A"/>
    <w:rsid w:val="000C4199"/>
    <w:rsid w:val="000C6042"/>
    <w:rsid w:val="000D122C"/>
    <w:rsid w:val="000D15AF"/>
    <w:rsid w:val="000D466A"/>
    <w:rsid w:val="000D50C9"/>
    <w:rsid w:val="000D5800"/>
    <w:rsid w:val="000D5F47"/>
    <w:rsid w:val="000D6317"/>
    <w:rsid w:val="000E1819"/>
    <w:rsid w:val="000E1CEF"/>
    <w:rsid w:val="000E2016"/>
    <w:rsid w:val="000E2019"/>
    <w:rsid w:val="000E2360"/>
    <w:rsid w:val="000E4821"/>
    <w:rsid w:val="000E5D52"/>
    <w:rsid w:val="000E6C72"/>
    <w:rsid w:val="000E6F5A"/>
    <w:rsid w:val="000E760A"/>
    <w:rsid w:val="000F0E99"/>
    <w:rsid w:val="000F1510"/>
    <w:rsid w:val="000F3DE3"/>
    <w:rsid w:val="001000D2"/>
    <w:rsid w:val="001014FD"/>
    <w:rsid w:val="00101EE9"/>
    <w:rsid w:val="001026D3"/>
    <w:rsid w:val="00107770"/>
    <w:rsid w:val="00107EAB"/>
    <w:rsid w:val="001115A9"/>
    <w:rsid w:val="00114079"/>
    <w:rsid w:val="00114665"/>
    <w:rsid w:val="0011506B"/>
    <w:rsid w:val="00116EB2"/>
    <w:rsid w:val="001172B1"/>
    <w:rsid w:val="00117D70"/>
    <w:rsid w:val="00117FC4"/>
    <w:rsid w:val="001201F1"/>
    <w:rsid w:val="0012282C"/>
    <w:rsid w:val="00124609"/>
    <w:rsid w:val="001266A4"/>
    <w:rsid w:val="00126A4C"/>
    <w:rsid w:val="00131652"/>
    <w:rsid w:val="001336A5"/>
    <w:rsid w:val="00133828"/>
    <w:rsid w:val="0013482E"/>
    <w:rsid w:val="00135522"/>
    <w:rsid w:val="00137D70"/>
    <w:rsid w:val="0014002E"/>
    <w:rsid w:val="00140650"/>
    <w:rsid w:val="001407E5"/>
    <w:rsid w:val="00141993"/>
    <w:rsid w:val="00142B6A"/>
    <w:rsid w:val="001436D1"/>
    <w:rsid w:val="00144313"/>
    <w:rsid w:val="00144E1C"/>
    <w:rsid w:val="00145676"/>
    <w:rsid w:val="0014573B"/>
    <w:rsid w:val="00145B97"/>
    <w:rsid w:val="00146DA1"/>
    <w:rsid w:val="00146E1E"/>
    <w:rsid w:val="00151162"/>
    <w:rsid w:val="00151B47"/>
    <w:rsid w:val="0015482A"/>
    <w:rsid w:val="001573E4"/>
    <w:rsid w:val="00160756"/>
    <w:rsid w:val="00160810"/>
    <w:rsid w:val="00164191"/>
    <w:rsid w:val="00167835"/>
    <w:rsid w:val="00170307"/>
    <w:rsid w:val="0017232E"/>
    <w:rsid w:val="00172AFB"/>
    <w:rsid w:val="00173B0B"/>
    <w:rsid w:val="00173F4A"/>
    <w:rsid w:val="00174102"/>
    <w:rsid w:val="00174AE7"/>
    <w:rsid w:val="00175AC9"/>
    <w:rsid w:val="00180157"/>
    <w:rsid w:val="00180180"/>
    <w:rsid w:val="0018026F"/>
    <w:rsid w:val="0018081A"/>
    <w:rsid w:val="001809D7"/>
    <w:rsid w:val="00180EF3"/>
    <w:rsid w:val="00181F45"/>
    <w:rsid w:val="00184268"/>
    <w:rsid w:val="0018596C"/>
    <w:rsid w:val="00185CB9"/>
    <w:rsid w:val="00186F77"/>
    <w:rsid w:val="001873A2"/>
    <w:rsid w:val="00187EC3"/>
    <w:rsid w:val="001913E9"/>
    <w:rsid w:val="00191BDA"/>
    <w:rsid w:val="001926A4"/>
    <w:rsid w:val="0019274C"/>
    <w:rsid w:val="00192AD5"/>
    <w:rsid w:val="00194FA1"/>
    <w:rsid w:val="00196038"/>
    <w:rsid w:val="0019623A"/>
    <w:rsid w:val="00197FC0"/>
    <w:rsid w:val="001A12E2"/>
    <w:rsid w:val="001A59E3"/>
    <w:rsid w:val="001B0D42"/>
    <w:rsid w:val="001B1946"/>
    <w:rsid w:val="001B21B3"/>
    <w:rsid w:val="001B33CF"/>
    <w:rsid w:val="001B3C22"/>
    <w:rsid w:val="001B3ECD"/>
    <w:rsid w:val="001B4149"/>
    <w:rsid w:val="001B45A0"/>
    <w:rsid w:val="001B4D92"/>
    <w:rsid w:val="001B70F9"/>
    <w:rsid w:val="001C0D1B"/>
    <w:rsid w:val="001C12E3"/>
    <w:rsid w:val="001C1DD6"/>
    <w:rsid w:val="001C5E48"/>
    <w:rsid w:val="001C5F85"/>
    <w:rsid w:val="001C69D4"/>
    <w:rsid w:val="001D055E"/>
    <w:rsid w:val="001D1286"/>
    <w:rsid w:val="001D1779"/>
    <w:rsid w:val="001D1C9F"/>
    <w:rsid w:val="001D2F61"/>
    <w:rsid w:val="001D4892"/>
    <w:rsid w:val="001D5D56"/>
    <w:rsid w:val="001D684E"/>
    <w:rsid w:val="001D7455"/>
    <w:rsid w:val="001E09BA"/>
    <w:rsid w:val="001E1D4E"/>
    <w:rsid w:val="001E4EEA"/>
    <w:rsid w:val="001E7CEC"/>
    <w:rsid w:val="001F3B8C"/>
    <w:rsid w:val="001F492E"/>
    <w:rsid w:val="001F5976"/>
    <w:rsid w:val="001F6CC4"/>
    <w:rsid w:val="001F6DA3"/>
    <w:rsid w:val="00200E6A"/>
    <w:rsid w:val="002010BC"/>
    <w:rsid w:val="002024BA"/>
    <w:rsid w:val="00202E03"/>
    <w:rsid w:val="00203317"/>
    <w:rsid w:val="00204194"/>
    <w:rsid w:val="0020492C"/>
    <w:rsid w:val="00204AEE"/>
    <w:rsid w:val="002059C8"/>
    <w:rsid w:val="00206EC1"/>
    <w:rsid w:val="00207437"/>
    <w:rsid w:val="00207CAC"/>
    <w:rsid w:val="002119EC"/>
    <w:rsid w:val="00212EEA"/>
    <w:rsid w:val="00212EEE"/>
    <w:rsid w:val="002149DD"/>
    <w:rsid w:val="00214C23"/>
    <w:rsid w:val="002153E5"/>
    <w:rsid w:val="00215F5A"/>
    <w:rsid w:val="00217DFB"/>
    <w:rsid w:val="00220364"/>
    <w:rsid w:val="0022322A"/>
    <w:rsid w:val="00224DB9"/>
    <w:rsid w:val="00226748"/>
    <w:rsid w:val="00230668"/>
    <w:rsid w:val="00230CD0"/>
    <w:rsid w:val="002325FB"/>
    <w:rsid w:val="00233775"/>
    <w:rsid w:val="00234FC3"/>
    <w:rsid w:val="00236513"/>
    <w:rsid w:val="00237BC3"/>
    <w:rsid w:val="002424DB"/>
    <w:rsid w:val="00242B3D"/>
    <w:rsid w:val="00242F0D"/>
    <w:rsid w:val="00247E0E"/>
    <w:rsid w:val="00250600"/>
    <w:rsid w:val="00250800"/>
    <w:rsid w:val="00251745"/>
    <w:rsid w:val="002526C1"/>
    <w:rsid w:val="00253256"/>
    <w:rsid w:val="00254AE9"/>
    <w:rsid w:val="002558A7"/>
    <w:rsid w:val="002575BF"/>
    <w:rsid w:val="00257AA6"/>
    <w:rsid w:val="00257CEE"/>
    <w:rsid w:val="00260A44"/>
    <w:rsid w:val="00261DDF"/>
    <w:rsid w:val="00263AC0"/>
    <w:rsid w:val="00264264"/>
    <w:rsid w:val="002657D4"/>
    <w:rsid w:val="00266D51"/>
    <w:rsid w:val="0026772D"/>
    <w:rsid w:val="002707DC"/>
    <w:rsid w:val="00271154"/>
    <w:rsid w:val="002717FA"/>
    <w:rsid w:val="00271A7D"/>
    <w:rsid w:val="00272BE0"/>
    <w:rsid w:val="00272DDF"/>
    <w:rsid w:val="00273A4B"/>
    <w:rsid w:val="00274754"/>
    <w:rsid w:val="00274E50"/>
    <w:rsid w:val="00275172"/>
    <w:rsid w:val="00275C64"/>
    <w:rsid w:val="00276219"/>
    <w:rsid w:val="00276353"/>
    <w:rsid w:val="00276FDB"/>
    <w:rsid w:val="0027740D"/>
    <w:rsid w:val="00277678"/>
    <w:rsid w:val="00277F28"/>
    <w:rsid w:val="00280AE2"/>
    <w:rsid w:val="00282B88"/>
    <w:rsid w:val="002856CC"/>
    <w:rsid w:val="00286462"/>
    <w:rsid w:val="00286874"/>
    <w:rsid w:val="00290C63"/>
    <w:rsid w:val="00290F00"/>
    <w:rsid w:val="00292057"/>
    <w:rsid w:val="00293FD1"/>
    <w:rsid w:val="00296385"/>
    <w:rsid w:val="00296B65"/>
    <w:rsid w:val="00297F30"/>
    <w:rsid w:val="002A078A"/>
    <w:rsid w:val="002A0CD3"/>
    <w:rsid w:val="002A0CEF"/>
    <w:rsid w:val="002A1329"/>
    <w:rsid w:val="002A4C32"/>
    <w:rsid w:val="002A789A"/>
    <w:rsid w:val="002A7DEF"/>
    <w:rsid w:val="002A7DF4"/>
    <w:rsid w:val="002B04AE"/>
    <w:rsid w:val="002B0CC0"/>
    <w:rsid w:val="002B163A"/>
    <w:rsid w:val="002B1B59"/>
    <w:rsid w:val="002B2061"/>
    <w:rsid w:val="002B4C5E"/>
    <w:rsid w:val="002B75B9"/>
    <w:rsid w:val="002B77B5"/>
    <w:rsid w:val="002C1466"/>
    <w:rsid w:val="002C2A46"/>
    <w:rsid w:val="002C361A"/>
    <w:rsid w:val="002C46D8"/>
    <w:rsid w:val="002C540B"/>
    <w:rsid w:val="002C554A"/>
    <w:rsid w:val="002D06B8"/>
    <w:rsid w:val="002D1D9A"/>
    <w:rsid w:val="002D2064"/>
    <w:rsid w:val="002D571A"/>
    <w:rsid w:val="002D684D"/>
    <w:rsid w:val="002D6C51"/>
    <w:rsid w:val="002E3336"/>
    <w:rsid w:val="002E3AC1"/>
    <w:rsid w:val="002E4567"/>
    <w:rsid w:val="002E5B48"/>
    <w:rsid w:val="002E63D3"/>
    <w:rsid w:val="002E7B22"/>
    <w:rsid w:val="002F0580"/>
    <w:rsid w:val="002F1DAE"/>
    <w:rsid w:val="002F4F21"/>
    <w:rsid w:val="002F730C"/>
    <w:rsid w:val="002F7986"/>
    <w:rsid w:val="0030043D"/>
    <w:rsid w:val="00301B40"/>
    <w:rsid w:val="00301EBA"/>
    <w:rsid w:val="003029EE"/>
    <w:rsid w:val="00304F46"/>
    <w:rsid w:val="00305470"/>
    <w:rsid w:val="00305495"/>
    <w:rsid w:val="00305CC8"/>
    <w:rsid w:val="00306D77"/>
    <w:rsid w:val="00306EE7"/>
    <w:rsid w:val="00307F6D"/>
    <w:rsid w:val="00310322"/>
    <w:rsid w:val="003106D8"/>
    <w:rsid w:val="00310AF6"/>
    <w:rsid w:val="00311EC4"/>
    <w:rsid w:val="00315207"/>
    <w:rsid w:val="0031739E"/>
    <w:rsid w:val="003177A2"/>
    <w:rsid w:val="003210FF"/>
    <w:rsid w:val="00322E9E"/>
    <w:rsid w:val="003230C9"/>
    <w:rsid w:val="003271B5"/>
    <w:rsid w:val="00327A1E"/>
    <w:rsid w:val="00327EC1"/>
    <w:rsid w:val="003300F7"/>
    <w:rsid w:val="00330DBA"/>
    <w:rsid w:val="00331264"/>
    <w:rsid w:val="00333B7E"/>
    <w:rsid w:val="00333F8D"/>
    <w:rsid w:val="00334C8D"/>
    <w:rsid w:val="003367D3"/>
    <w:rsid w:val="0034022A"/>
    <w:rsid w:val="00341258"/>
    <w:rsid w:val="00343A18"/>
    <w:rsid w:val="00344D64"/>
    <w:rsid w:val="00345593"/>
    <w:rsid w:val="00345BE3"/>
    <w:rsid w:val="00345F86"/>
    <w:rsid w:val="003470B1"/>
    <w:rsid w:val="0034785B"/>
    <w:rsid w:val="003507F4"/>
    <w:rsid w:val="003518B3"/>
    <w:rsid w:val="0035220A"/>
    <w:rsid w:val="003558E6"/>
    <w:rsid w:val="00361717"/>
    <w:rsid w:val="00362E6F"/>
    <w:rsid w:val="00363611"/>
    <w:rsid w:val="003643AC"/>
    <w:rsid w:val="00364CE7"/>
    <w:rsid w:val="00365EBB"/>
    <w:rsid w:val="00366171"/>
    <w:rsid w:val="003661CC"/>
    <w:rsid w:val="00374210"/>
    <w:rsid w:val="00376334"/>
    <w:rsid w:val="00376F24"/>
    <w:rsid w:val="0037710B"/>
    <w:rsid w:val="003808D0"/>
    <w:rsid w:val="003846F1"/>
    <w:rsid w:val="003865E2"/>
    <w:rsid w:val="00386904"/>
    <w:rsid w:val="0038750D"/>
    <w:rsid w:val="0039126A"/>
    <w:rsid w:val="00391B42"/>
    <w:rsid w:val="003929B2"/>
    <w:rsid w:val="00393620"/>
    <w:rsid w:val="00393F2B"/>
    <w:rsid w:val="003942E1"/>
    <w:rsid w:val="00396FDD"/>
    <w:rsid w:val="003974EB"/>
    <w:rsid w:val="00397790"/>
    <w:rsid w:val="003A0C3F"/>
    <w:rsid w:val="003A0D7A"/>
    <w:rsid w:val="003A0FCC"/>
    <w:rsid w:val="003A2E32"/>
    <w:rsid w:val="003A4C69"/>
    <w:rsid w:val="003A58FF"/>
    <w:rsid w:val="003A5A7D"/>
    <w:rsid w:val="003A7F24"/>
    <w:rsid w:val="003B484F"/>
    <w:rsid w:val="003B779D"/>
    <w:rsid w:val="003C0FAC"/>
    <w:rsid w:val="003C278F"/>
    <w:rsid w:val="003C2C18"/>
    <w:rsid w:val="003C3F3D"/>
    <w:rsid w:val="003C40AB"/>
    <w:rsid w:val="003C54D2"/>
    <w:rsid w:val="003D15DD"/>
    <w:rsid w:val="003D3C46"/>
    <w:rsid w:val="003D5838"/>
    <w:rsid w:val="003D7525"/>
    <w:rsid w:val="003E1B10"/>
    <w:rsid w:val="003E2578"/>
    <w:rsid w:val="003E3ED0"/>
    <w:rsid w:val="003E6B06"/>
    <w:rsid w:val="003F174D"/>
    <w:rsid w:val="003F3736"/>
    <w:rsid w:val="003F5E72"/>
    <w:rsid w:val="00400718"/>
    <w:rsid w:val="00400BE4"/>
    <w:rsid w:val="00402108"/>
    <w:rsid w:val="00404AF0"/>
    <w:rsid w:val="004050C3"/>
    <w:rsid w:val="004076E6"/>
    <w:rsid w:val="00410D80"/>
    <w:rsid w:val="00411619"/>
    <w:rsid w:val="0041261D"/>
    <w:rsid w:val="0041354D"/>
    <w:rsid w:val="00413BFF"/>
    <w:rsid w:val="00414126"/>
    <w:rsid w:val="004153C6"/>
    <w:rsid w:val="004162DB"/>
    <w:rsid w:val="0041700E"/>
    <w:rsid w:val="0042011A"/>
    <w:rsid w:val="00420234"/>
    <w:rsid w:val="00421025"/>
    <w:rsid w:val="00425260"/>
    <w:rsid w:val="00435BE8"/>
    <w:rsid w:val="00441341"/>
    <w:rsid w:val="0044191B"/>
    <w:rsid w:val="004445E1"/>
    <w:rsid w:val="0045350F"/>
    <w:rsid w:val="0045506F"/>
    <w:rsid w:val="004561EC"/>
    <w:rsid w:val="00456A61"/>
    <w:rsid w:val="0045777E"/>
    <w:rsid w:val="00462FAE"/>
    <w:rsid w:val="00464A58"/>
    <w:rsid w:val="00464B92"/>
    <w:rsid w:val="00467161"/>
    <w:rsid w:val="00467B27"/>
    <w:rsid w:val="00471757"/>
    <w:rsid w:val="00471F29"/>
    <w:rsid w:val="00474A8C"/>
    <w:rsid w:val="00475ADE"/>
    <w:rsid w:val="004774F8"/>
    <w:rsid w:val="00477D34"/>
    <w:rsid w:val="00480104"/>
    <w:rsid w:val="00480B4B"/>
    <w:rsid w:val="00480DF5"/>
    <w:rsid w:val="00481B27"/>
    <w:rsid w:val="00483ED7"/>
    <w:rsid w:val="00484DA5"/>
    <w:rsid w:val="00485DC4"/>
    <w:rsid w:val="0048682E"/>
    <w:rsid w:val="0049024A"/>
    <w:rsid w:val="004905B0"/>
    <w:rsid w:val="00490BA4"/>
    <w:rsid w:val="00492AC4"/>
    <w:rsid w:val="004930DF"/>
    <w:rsid w:val="0049314F"/>
    <w:rsid w:val="0049564D"/>
    <w:rsid w:val="00496469"/>
    <w:rsid w:val="004A1DA9"/>
    <w:rsid w:val="004A249B"/>
    <w:rsid w:val="004A3DB6"/>
    <w:rsid w:val="004A43D1"/>
    <w:rsid w:val="004A4CB7"/>
    <w:rsid w:val="004A643F"/>
    <w:rsid w:val="004A7936"/>
    <w:rsid w:val="004B134B"/>
    <w:rsid w:val="004B1ABD"/>
    <w:rsid w:val="004B2113"/>
    <w:rsid w:val="004B3198"/>
    <w:rsid w:val="004B405A"/>
    <w:rsid w:val="004B4412"/>
    <w:rsid w:val="004B4B91"/>
    <w:rsid w:val="004B6F86"/>
    <w:rsid w:val="004C067F"/>
    <w:rsid w:val="004C0A76"/>
    <w:rsid w:val="004C2B76"/>
    <w:rsid w:val="004C317D"/>
    <w:rsid w:val="004C336C"/>
    <w:rsid w:val="004C348C"/>
    <w:rsid w:val="004C54E1"/>
    <w:rsid w:val="004C69FD"/>
    <w:rsid w:val="004D55BA"/>
    <w:rsid w:val="004D5922"/>
    <w:rsid w:val="004E0513"/>
    <w:rsid w:val="004E1F45"/>
    <w:rsid w:val="004E22EC"/>
    <w:rsid w:val="004E267B"/>
    <w:rsid w:val="004E2E3C"/>
    <w:rsid w:val="004E36FB"/>
    <w:rsid w:val="004E5004"/>
    <w:rsid w:val="004E7D11"/>
    <w:rsid w:val="004F2A6A"/>
    <w:rsid w:val="004F64F3"/>
    <w:rsid w:val="004F6ADE"/>
    <w:rsid w:val="00502370"/>
    <w:rsid w:val="005027B6"/>
    <w:rsid w:val="00502F90"/>
    <w:rsid w:val="00507307"/>
    <w:rsid w:val="00507FAB"/>
    <w:rsid w:val="00510327"/>
    <w:rsid w:val="00510492"/>
    <w:rsid w:val="00515E31"/>
    <w:rsid w:val="00517EBA"/>
    <w:rsid w:val="005206C3"/>
    <w:rsid w:val="0052183F"/>
    <w:rsid w:val="0052394F"/>
    <w:rsid w:val="00524406"/>
    <w:rsid w:val="005245AD"/>
    <w:rsid w:val="005254FC"/>
    <w:rsid w:val="00525AD9"/>
    <w:rsid w:val="00525F53"/>
    <w:rsid w:val="0052775E"/>
    <w:rsid w:val="00530128"/>
    <w:rsid w:val="00530741"/>
    <w:rsid w:val="00530B7D"/>
    <w:rsid w:val="0053116E"/>
    <w:rsid w:val="00531FDF"/>
    <w:rsid w:val="00532467"/>
    <w:rsid w:val="00532EF5"/>
    <w:rsid w:val="00533698"/>
    <w:rsid w:val="00533755"/>
    <w:rsid w:val="00533B74"/>
    <w:rsid w:val="00536112"/>
    <w:rsid w:val="005367C4"/>
    <w:rsid w:val="00536CEB"/>
    <w:rsid w:val="00537907"/>
    <w:rsid w:val="00541E95"/>
    <w:rsid w:val="00542A0D"/>
    <w:rsid w:val="005442E6"/>
    <w:rsid w:val="00544B49"/>
    <w:rsid w:val="00544C6C"/>
    <w:rsid w:val="00546C6E"/>
    <w:rsid w:val="005476A6"/>
    <w:rsid w:val="00550352"/>
    <w:rsid w:val="00550693"/>
    <w:rsid w:val="00550989"/>
    <w:rsid w:val="00552127"/>
    <w:rsid w:val="005538FA"/>
    <w:rsid w:val="00555055"/>
    <w:rsid w:val="00555237"/>
    <w:rsid w:val="005554D3"/>
    <w:rsid w:val="00555B6F"/>
    <w:rsid w:val="00556156"/>
    <w:rsid w:val="005646C5"/>
    <w:rsid w:val="00564A4D"/>
    <w:rsid w:val="00564C35"/>
    <w:rsid w:val="00566F63"/>
    <w:rsid w:val="00566F80"/>
    <w:rsid w:val="00567AEF"/>
    <w:rsid w:val="00567BA5"/>
    <w:rsid w:val="00571B35"/>
    <w:rsid w:val="00571D57"/>
    <w:rsid w:val="005743FD"/>
    <w:rsid w:val="0057614D"/>
    <w:rsid w:val="00577A09"/>
    <w:rsid w:val="005804C0"/>
    <w:rsid w:val="00581556"/>
    <w:rsid w:val="005829C2"/>
    <w:rsid w:val="00583F8B"/>
    <w:rsid w:val="00584D8F"/>
    <w:rsid w:val="005858E2"/>
    <w:rsid w:val="00585A85"/>
    <w:rsid w:val="0058616B"/>
    <w:rsid w:val="005864A9"/>
    <w:rsid w:val="00586620"/>
    <w:rsid w:val="00591614"/>
    <w:rsid w:val="00594BAF"/>
    <w:rsid w:val="00594D3B"/>
    <w:rsid w:val="00596D16"/>
    <w:rsid w:val="00596FCE"/>
    <w:rsid w:val="00597A5F"/>
    <w:rsid w:val="005A028D"/>
    <w:rsid w:val="005A1CCD"/>
    <w:rsid w:val="005A37D8"/>
    <w:rsid w:val="005A3E25"/>
    <w:rsid w:val="005A404D"/>
    <w:rsid w:val="005A502E"/>
    <w:rsid w:val="005A5356"/>
    <w:rsid w:val="005A6360"/>
    <w:rsid w:val="005A778D"/>
    <w:rsid w:val="005A7C8A"/>
    <w:rsid w:val="005B041C"/>
    <w:rsid w:val="005B1E3C"/>
    <w:rsid w:val="005B240A"/>
    <w:rsid w:val="005B2BE1"/>
    <w:rsid w:val="005B3A1D"/>
    <w:rsid w:val="005B3E13"/>
    <w:rsid w:val="005B6424"/>
    <w:rsid w:val="005B7C5F"/>
    <w:rsid w:val="005C0626"/>
    <w:rsid w:val="005C0F9E"/>
    <w:rsid w:val="005C26CC"/>
    <w:rsid w:val="005C275D"/>
    <w:rsid w:val="005C287C"/>
    <w:rsid w:val="005C2F3F"/>
    <w:rsid w:val="005C542A"/>
    <w:rsid w:val="005C696B"/>
    <w:rsid w:val="005C734B"/>
    <w:rsid w:val="005C7F51"/>
    <w:rsid w:val="005D2265"/>
    <w:rsid w:val="005D2347"/>
    <w:rsid w:val="005D25FB"/>
    <w:rsid w:val="005D4EB5"/>
    <w:rsid w:val="005D5345"/>
    <w:rsid w:val="005D60E3"/>
    <w:rsid w:val="005D71E8"/>
    <w:rsid w:val="005D7BA2"/>
    <w:rsid w:val="005D7CDE"/>
    <w:rsid w:val="005E1BEE"/>
    <w:rsid w:val="005E2843"/>
    <w:rsid w:val="005E2B3C"/>
    <w:rsid w:val="005E359B"/>
    <w:rsid w:val="005E35EF"/>
    <w:rsid w:val="005E369D"/>
    <w:rsid w:val="005E36C2"/>
    <w:rsid w:val="005F2233"/>
    <w:rsid w:val="005F419E"/>
    <w:rsid w:val="005F41DD"/>
    <w:rsid w:val="005F6F96"/>
    <w:rsid w:val="00600F5D"/>
    <w:rsid w:val="00603EC1"/>
    <w:rsid w:val="00606A5E"/>
    <w:rsid w:val="006101EC"/>
    <w:rsid w:val="00610BC9"/>
    <w:rsid w:val="006117FE"/>
    <w:rsid w:val="006121A6"/>
    <w:rsid w:val="00612588"/>
    <w:rsid w:val="00612A99"/>
    <w:rsid w:val="00612B96"/>
    <w:rsid w:val="00613468"/>
    <w:rsid w:val="00614056"/>
    <w:rsid w:val="00615208"/>
    <w:rsid w:val="00615C6B"/>
    <w:rsid w:val="006160F2"/>
    <w:rsid w:val="00617695"/>
    <w:rsid w:val="00617786"/>
    <w:rsid w:val="00617894"/>
    <w:rsid w:val="00621DCE"/>
    <w:rsid w:val="00622764"/>
    <w:rsid w:val="00622D07"/>
    <w:rsid w:val="006240C4"/>
    <w:rsid w:val="00626D34"/>
    <w:rsid w:val="00632D6D"/>
    <w:rsid w:val="0063404B"/>
    <w:rsid w:val="00634590"/>
    <w:rsid w:val="00637ACD"/>
    <w:rsid w:val="00640222"/>
    <w:rsid w:val="00642679"/>
    <w:rsid w:val="006428BE"/>
    <w:rsid w:val="00642C3E"/>
    <w:rsid w:val="00642EF0"/>
    <w:rsid w:val="00643128"/>
    <w:rsid w:val="006446E2"/>
    <w:rsid w:val="00646655"/>
    <w:rsid w:val="00647CD0"/>
    <w:rsid w:val="0065021F"/>
    <w:rsid w:val="0065055E"/>
    <w:rsid w:val="00650967"/>
    <w:rsid w:val="0065112F"/>
    <w:rsid w:val="00651A91"/>
    <w:rsid w:val="00651ABF"/>
    <w:rsid w:val="00651FA9"/>
    <w:rsid w:val="006527CE"/>
    <w:rsid w:val="006527E9"/>
    <w:rsid w:val="0066104A"/>
    <w:rsid w:val="0066109C"/>
    <w:rsid w:val="00663B60"/>
    <w:rsid w:val="00663DAD"/>
    <w:rsid w:val="0066445F"/>
    <w:rsid w:val="00664651"/>
    <w:rsid w:val="00664984"/>
    <w:rsid w:val="00666064"/>
    <w:rsid w:val="00667DBF"/>
    <w:rsid w:val="00672CD5"/>
    <w:rsid w:val="00672DD4"/>
    <w:rsid w:val="00675E20"/>
    <w:rsid w:val="00676679"/>
    <w:rsid w:val="00680CF1"/>
    <w:rsid w:val="006818B2"/>
    <w:rsid w:val="00681CBC"/>
    <w:rsid w:val="00683C89"/>
    <w:rsid w:val="00683CEA"/>
    <w:rsid w:val="0068456D"/>
    <w:rsid w:val="006900CA"/>
    <w:rsid w:val="00690141"/>
    <w:rsid w:val="00690CDC"/>
    <w:rsid w:val="0069352B"/>
    <w:rsid w:val="0069477C"/>
    <w:rsid w:val="00695268"/>
    <w:rsid w:val="0069742C"/>
    <w:rsid w:val="006A09F2"/>
    <w:rsid w:val="006A1288"/>
    <w:rsid w:val="006A19EF"/>
    <w:rsid w:val="006A4D99"/>
    <w:rsid w:val="006B1FBA"/>
    <w:rsid w:val="006B2395"/>
    <w:rsid w:val="006B4CF9"/>
    <w:rsid w:val="006B5C25"/>
    <w:rsid w:val="006B7AC8"/>
    <w:rsid w:val="006C1A88"/>
    <w:rsid w:val="006C2744"/>
    <w:rsid w:val="006C7A56"/>
    <w:rsid w:val="006C7E06"/>
    <w:rsid w:val="006D24A6"/>
    <w:rsid w:val="006D46DE"/>
    <w:rsid w:val="006D550F"/>
    <w:rsid w:val="006D5513"/>
    <w:rsid w:val="006D6AF1"/>
    <w:rsid w:val="006D74A7"/>
    <w:rsid w:val="006E0F4E"/>
    <w:rsid w:val="006E300A"/>
    <w:rsid w:val="006F02A4"/>
    <w:rsid w:val="006F352A"/>
    <w:rsid w:val="006F452B"/>
    <w:rsid w:val="006F52A7"/>
    <w:rsid w:val="006F6A37"/>
    <w:rsid w:val="00701CAB"/>
    <w:rsid w:val="007038F7"/>
    <w:rsid w:val="00704961"/>
    <w:rsid w:val="00705E8A"/>
    <w:rsid w:val="00707563"/>
    <w:rsid w:val="00707B72"/>
    <w:rsid w:val="0071280F"/>
    <w:rsid w:val="007131CC"/>
    <w:rsid w:val="007204CC"/>
    <w:rsid w:val="0072348C"/>
    <w:rsid w:val="0072499E"/>
    <w:rsid w:val="00724A37"/>
    <w:rsid w:val="00725DFC"/>
    <w:rsid w:val="0072648B"/>
    <w:rsid w:val="00727AE5"/>
    <w:rsid w:val="00727AF8"/>
    <w:rsid w:val="00727B5D"/>
    <w:rsid w:val="007303C3"/>
    <w:rsid w:val="0073080D"/>
    <w:rsid w:val="007310E4"/>
    <w:rsid w:val="00732DEB"/>
    <w:rsid w:val="007344B8"/>
    <w:rsid w:val="00734A51"/>
    <w:rsid w:val="007363BB"/>
    <w:rsid w:val="00737166"/>
    <w:rsid w:val="007429BE"/>
    <w:rsid w:val="00743138"/>
    <w:rsid w:val="00743223"/>
    <w:rsid w:val="0074450E"/>
    <w:rsid w:val="00744CD7"/>
    <w:rsid w:val="00746692"/>
    <w:rsid w:val="00746E01"/>
    <w:rsid w:val="007510DF"/>
    <w:rsid w:val="0075213C"/>
    <w:rsid w:val="00752242"/>
    <w:rsid w:val="00752602"/>
    <w:rsid w:val="007535CA"/>
    <w:rsid w:val="00756B25"/>
    <w:rsid w:val="00757BDF"/>
    <w:rsid w:val="00760E10"/>
    <w:rsid w:val="00761301"/>
    <w:rsid w:val="00762344"/>
    <w:rsid w:val="007630B7"/>
    <w:rsid w:val="00763E5D"/>
    <w:rsid w:val="00767740"/>
    <w:rsid w:val="00773185"/>
    <w:rsid w:val="00773D99"/>
    <w:rsid w:val="007745ED"/>
    <w:rsid w:val="00775976"/>
    <w:rsid w:val="00776E75"/>
    <w:rsid w:val="007776D8"/>
    <w:rsid w:val="00777EE6"/>
    <w:rsid w:val="00780D6F"/>
    <w:rsid w:val="00780FE5"/>
    <w:rsid w:val="00782EEA"/>
    <w:rsid w:val="00782FE1"/>
    <w:rsid w:val="00783587"/>
    <w:rsid w:val="007846C0"/>
    <w:rsid w:val="007909DB"/>
    <w:rsid w:val="00792302"/>
    <w:rsid w:val="0079278B"/>
    <w:rsid w:val="007929B7"/>
    <w:rsid w:val="00793485"/>
    <w:rsid w:val="00794176"/>
    <w:rsid w:val="00795137"/>
    <w:rsid w:val="007954EA"/>
    <w:rsid w:val="00795DCE"/>
    <w:rsid w:val="00796E00"/>
    <w:rsid w:val="007A0C08"/>
    <w:rsid w:val="007A28EC"/>
    <w:rsid w:val="007A3EB7"/>
    <w:rsid w:val="007A41A5"/>
    <w:rsid w:val="007A461C"/>
    <w:rsid w:val="007A4B9E"/>
    <w:rsid w:val="007A67BA"/>
    <w:rsid w:val="007A683A"/>
    <w:rsid w:val="007A7ED8"/>
    <w:rsid w:val="007B0B9A"/>
    <w:rsid w:val="007B17B3"/>
    <w:rsid w:val="007B1F1B"/>
    <w:rsid w:val="007B2C72"/>
    <w:rsid w:val="007B5AB1"/>
    <w:rsid w:val="007B61CE"/>
    <w:rsid w:val="007B6658"/>
    <w:rsid w:val="007B6FF6"/>
    <w:rsid w:val="007B7619"/>
    <w:rsid w:val="007C12CD"/>
    <w:rsid w:val="007C1C53"/>
    <w:rsid w:val="007C1FE9"/>
    <w:rsid w:val="007C3ABE"/>
    <w:rsid w:val="007C4066"/>
    <w:rsid w:val="007C4DAC"/>
    <w:rsid w:val="007C74BB"/>
    <w:rsid w:val="007C7615"/>
    <w:rsid w:val="007C78C7"/>
    <w:rsid w:val="007D0D21"/>
    <w:rsid w:val="007D183C"/>
    <w:rsid w:val="007D1A44"/>
    <w:rsid w:val="007D5722"/>
    <w:rsid w:val="007D699D"/>
    <w:rsid w:val="007D7B82"/>
    <w:rsid w:val="007E1B5B"/>
    <w:rsid w:val="007E2DAE"/>
    <w:rsid w:val="007E335E"/>
    <w:rsid w:val="007E386C"/>
    <w:rsid w:val="007E4904"/>
    <w:rsid w:val="007E49D2"/>
    <w:rsid w:val="007E4CB5"/>
    <w:rsid w:val="007E5CED"/>
    <w:rsid w:val="007E6BD3"/>
    <w:rsid w:val="007E76ED"/>
    <w:rsid w:val="007F066B"/>
    <w:rsid w:val="007F48BC"/>
    <w:rsid w:val="00801D6D"/>
    <w:rsid w:val="00802565"/>
    <w:rsid w:val="008033C4"/>
    <w:rsid w:val="00804B01"/>
    <w:rsid w:val="00805238"/>
    <w:rsid w:val="00805C81"/>
    <w:rsid w:val="00806805"/>
    <w:rsid w:val="00806C88"/>
    <w:rsid w:val="008077BF"/>
    <w:rsid w:val="0081034E"/>
    <w:rsid w:val="00810A0E"/>
    <w:rsid w:val="008124E9"/>
    <w:rsid w:val="0081293A"/>
    <w:rsid w:val="00814CCD"/>
    <w:rsid w:val="00825CDD"/>
    <w:rsid w:val="00825F73"/>
    <w:rsid w:val="0083005C"/>
    <w:rsid w:val="00830CED"/>
    <w:rsid w:val="008317E2"/>
    <w:rsid w:val="00831B6E"/>
    <w:rsid w:val="008336D5"/>
    <w:rsid w:val="00834383"/>
    <w:rsid w:val="008344F6"/>
    <w:rsid w:val="0083510F"/>
    <w:rsid w:val="008351C7"/>
    <w:rsid w:val="0083642B"/>
    <w:rsid w:val="008377AF"/>
    <w:rsid w:val="00840021"/>
    <w:rsid w:val="00842917"/>
    <w:rsid w:val="00843CD0"/>
    <w:rsid w:val="00850B9A"/>
    <w:rsid w:val="00851209"/>
    <w:rsid w:val="0085404B"/>
    <w:rsid w:val="00854ECE"/>
    <w:rsid w:val="008561E0"/>
    <w:rsid w:val="00871308"/>
    <w:rsid w:val="00874F52"/>
    <w:rsid w:val="00877A35"/>
    <w:rsid w:val="00881266"/>
    <w:rsid w:val="00882FD5"/>
    <w:rsid w:val="008837AC"/>
    <w:rsid w:val="00884167"/>
    <w:rsid w:val="008858D3"/>
    <w:rsid w:val="0088717F"/>
    <w:rsid w:val="00894268"/>
    <w:rsid w:val="008948A1"/>
    <w:rsid w:val="00895EB7"/>
    <w:rsid w:val="008973D4"/>
    <w:rsid w:val="008978A1"/>
    <w:rsid w:val="008A1874"/>
    <w:rsid w:val="008A1E15"/>
    <w:rsid w:val="008A2557"/>
    <w:rsid w:val="008A48E7"/>
    <w:rsid w:val="008A4ABC"/>
    <w:rsid w:val="008A5816"/>
    <w:rsid w:val="008A587D"/>
    <w:rsid w:val="008A7BEA"/>
    <w:rsid w:val="008A7CA1"/>
    <w:rsid w:val="008B1E3F"/>
    <w:rsid w:val="008B2AE2"/>
    <w:rsid w:val="008B35CD"/>
    <w:rsid w:val="008B519B"/>
    <w:rsid w:val="008B5760"/>
    <w:rsid w:val="008B5FCC"/>
    <w:rsid w:val="008B6364"/>
    <w:rsid w:val="008C09FA"/>
    <w:rsid w:val="008C1412"/>
    <w:rsid w:val="008C36D0"/>
    <w:rsid w:val="008C4827"/>
    <w:rsid w:val="008C5486"/>
    <w:rsid w:val="008C6EE2"/>
    <w:rsid w:val="008C7403"/>
    <w:rsid w:val="008C7A59"/>
    <w:rsid w:val="008D051B"/>
    <w:rsid w:val="008D1661"/>
    <w:rsid w:val="008D16A8"/>
    <w:rsid w:val="008D20CA"/>
    <w:rsid w:val="008D2B48"/>
    <w:rsid w:val="008D32E1"/>
    <w:rsid w:val="008D3C1B"/>
    <w:rsid w:val="008D688D"/>
    <w:rsid w:val="008E0221"/>
    <w:rsid w:val="008E1BD8"/>
    <w:rsid w:val="008E2579"/>
    <w:rsid w:val="008E279B"/>
    <w:rsid w:val="008E30DF"/>
    <w:rsid w:val="008E34DD"/>
    <w:rsid w:val="008E5A10"/>
    <w:rsid w:val="008E7031"/>
    <w:rsid w:val="008E77DE"/>
    <w:rsid w:val="008E79C4"/>
    <w:rsid w:val="008F0294"/>
    <w:rsid w:val="008F07A3"/>
    <w:rsid w:val="008F3C69"/>
    <w:rsid w:val="008F3E5C"/>
    <w:rsid w:val="008F77CF"/>
    <w:rsid w:val="00900E1B"/>
    <w:rsid w:val="00902E4F"/>
    <w:rsid w:val="0090408E"/>
    <w:rsid w:val="009053AF"/>
    <w:rsid w:val="00912242"/>
    <w:rsid w:val="00913904"/>
    <w:rsid w:val="00913A34"/>
    <w:rsid w:val="00914998"/>
    <w:rsid w:val="00915F35"/>
    <w:rsid w:val="00917494"/>
    <w:rsid w:val="00917719"/>
    <w:rsid w:val="00922046"/>
    <w:rsid w:val="009228B9"/>
    <w:rsid w:val="009233EE"/>
    <w:rsid w:val="00923E14"/>
    <w:rsid w:val="00925B68"/>
    <w:rsid w:val="009276CE"/>
    <w:rsid w:val="00927E0C"/>
    <w:rsid w:val="009334BC"/>
    <w:rsid w:val="00933D65"/>
    <w:rsid w:val="00934580"/>
    <w:rsid w:val="009360D6"/>
    <w:rsid w:val="00936B1F"/>
    <w:rsid w:val="00940AA7"/>
    <w:rsid w:val="00941F92"/>
    <w:rsid w:val="009452C4"/>
    <w:rsid w:val="009460AA"/>
    <w:rsid w:val="0095151E"/>
    <w:rsid w:val="00951978"/>
    <w:rsid w:val="00951B17"/>
    <w:rsid w:val="009543F9"/>
    <w:rsid w:val="00954EBF"/>
    <w:rsid w:val="009560C5"/>
    <w:rsid w:val="00957164"/>
    <w:rsid w:val="00957FD5"/>
    <w:rsid w:val="00960402"/>
    <w:rsid w:val="0096064A"/>
    <w:rsid w:val="0096189F"/>
    <w:rsid w:val="00961A4A"/>
    <w:rsid w:val="00962005"/>
    <w:rsid w:val="009661DE"/>
    <w:rsid w:val="0097127C"/>
    <w:rsid w:val="00972FCB"/>
    <w:rsid w:val="00973BAA"/>
    <w:rsid w:val="0097508E"/>
    <w:rsid w:val="0097548B"/>
    <w:rsid w:val="00975B90"/>
    <w:rsid w:val="00976229"/>
    <w:rsid w:val="00977B9A"/>
    <w:rsid w:val="009816A8"/>
    <w:rsid w:val="0098265D"/>
    <w:rsid w:val="00983C25"/>
    <w:rsid w:val="00984633"/>
    <w:rsid w:val="009856B7"/>
    <w:rsid w:val="00985C86"/>
    <w:rsid w:val="009876C5"/>
    <w:rsid w:val="00987C9B"/>
    <w:rsid w:val="009909FB"/>
    <w:rsid w:val="00991B0A"/>
    <w:rsid w:val="009925E3"/>
    <w:rsid w:val="00995491"/>
    <w:rsid w:val="00995512"/>
    <w:rsid w:val="00995E1E"/>
    <w:rsid w:val="009979F3"/>
    <w:rsid w:val="009A103C"/>
    <w:rsid w:val="009A2E83"/>
    <w:rsid w:val="009A42DE"/>
    <w:rsid w:val="009A5FC3"/>
    <w:rsid w:val="009A7069"/>
    <w:rsid w:val="009A70F1"/>
    <w:rsid w:val="009B4B5D"/>
    <w:rsid w:val="009B74B0"/>
    <w:rsid w:val="009C6743"/>
    <w:rsid w:val="009D1727"/>
    <w:rsid w:val="009D2A35"/>
    <w:rsid w:val="009D4C77"/>
    <w:rsid w:val="009D584C"/>
    <w:rsid w:val="009D5F50"/>
    <w:rsid w:val="009D68E2"/>
    <w:rsid w:val="009D6A03"/>
    <w:rsid w:val="009D6B46"/>
    <w:rsid w:val="009E0276"/>
    <w:rsid w:val="009E058F"/>
    <w:rsid w:val="009E3FFC"/>
    <w:rsid w:val="009E4CF9"/>
    <w:rsid w:val="009E7C6C"/>
    <w:rsid w:val="009F278C"/>
    <w:rsid w:val="009F4940"/>
    <w:rsid w:val="009F5BA1"/>
    <w:rsid w:val="009F6BA6"/>
    <w:rsid w:val="009F7612"/>
    <w:rsid w:val="009F7FA2"/>
    <w:rsid w:val="00A0180F"/>
    <w:rsid w:val="00A01951"/>
    <w:rsid w:val="00A02A88"/>
    <w:rsid w:val="00A037EC"/>
    <w:rsid w:val="00A0390C"/>
    <w:rsid w:val="00A04BA9"/>
    <w:rsid w:val="00A0562E"/>
    <w:rsid w:val="00A0726D"/>
    <w:rsid w:val="00A1010A"/>
    <w:rsid w:val="00A10470"/>
    <w:rsid w:val="00A137F8"/>
    <w:rsid w:val="00A14DE7"/>
    <w:rsid w:val="00A1594A"/>
    <w:rsid w:val="00A170FA"/>
    <w:rsid w:val="00A20280"/>
    <w:rsid w:val="00A215CD"/>
    <w:rsid w:val="00A21A46"/>
    <w:rsid w:val="00A23288"/>
    <w:rsid w:val="00A26030"/>
    <w:rsid w:val="00A26B66"/>
    <w:rsid w:val="00A30190"/>
    <w:rsid w:val="00A302E8"/>
    <w:rsid w:val="00A312AE"/>
    <w:rsid w:val="00A3147E"/>
    <w:rsid w:val="00A317E1"/>
    <w:rsid w:val="00A3255E"/>
    <w:rsid w:val="00A32FBB"/>
    <w:rsid w:val="00A332DE"/>
    <w:rsid w:val="00A33A41"/>
    <w:rsid w:val="00A34B41"/>
    <w:rsid w:val="00A35205"/>
    <w:rsid w:val="00A3663D"/>
    <w:rsid w:val="00A37ACB"/>
    <w:rsid w:val="00A37CEA"/>
    <w:rsid w:val="00A40F93"/>
    <w:rsid w:val="00A41AA0"/>
    <w:rsid w:val="00A428EE"/>
    <w:rsid w:val="00A4293B"/>
    <w:rsid w:val="00A429BD"/>
    <w:rsid w:val="00A44474"/>
    <w:rsid w:val="00A4478A"/>
    <w:rsid w:val="00A44852"/>
    <w:rsid w:val="00A45A25"/>
    <w:rsid w:val="00A45AE8"/>
    <w:rsid w:val="00A47A35"/>
    <w:rsid w:val="00A543D5"/>
    <w:rsid w:val="00A56C94"/>
    <w:rsid w:val="00A57D04"/>
    <w:rsid w:val="00A60A26"/>
    <w:rsid w:val="00A60C88"/>
    <w:rsid w:val="00A61598"/>
    <w:rsid w:val="00A6178E"/>
    <w:rsid w:val="00A63151"/>
    <w:rsid w:val="00A631A0"/>
    <w:rsid w:val="00A637F3"/>
    <w:rsid w:val="00A653D7"/>
    <w:rsid w:val="00A671DE"/>
    <w:rsid w:val="00A675BB"/>
    <w:rsid w:val="00A7030F"/>
    <w:rsid w:val="00A70D4A"/>
    <w:rsid w:val="00A74591"/>
    <w:rsid w:val="00A75AB2"/>
    <w:rsid w:val="00A760DB"/>
    <w:rsid w:val="00A77980"/>
    <w:rsid w:val="00A83533"/>
    <w:rsid w:val="00A83711"/>
    <w:rsid w:val="00A841EB"/>
    <w:rsid w:val="00A842D2"/>
    <w:rsid w:val="00A84A99"/>
    <w:rsid w:val="00A84F46"/>
    <w:rsid w:val="00A86E86"/>
    <w:rsid w:val="00A871F4"/>
    <w:rsid w:val="00A92C5C"/>
    <w:rsid w:val="00A94098"/>
    <w:rsid w:val="00A9554A"/>
    <w:rsid w:val="00A95B3D"/>
    <w:rsid w:val="00A95E59"/>
    <w:rsid w:val="00A9620B"/>
    <w:rsid w:val="00A97A0E"/>
    <w:rsid w:val="00AA0988"/>
    <w:rsid w:val="00AA0A21"/>
    <w:rsid w:val="00AA220A"/>
    <w:rsid w:val="00AA26CC"/>
    <w:rsid w:val="00AA32F6"/>
    <w:rsid w:val="00AA7AFE"/>
    <w:rsid w:val="00AB04D0"/>
    <w:rsid w:val="00AB1550"/>
    <w:rsid w:val="00AB24A8"/>
    <w:rsid w:val="00AB4909"/>
    <w:rsid w:val="00AB4FE0"/>
    <w:rsid w:val="00AB5278"/>
    <w:rsid w:val="00AB55E8"/>
    <w:rsid w:val="00AB5B5E"/>
    <w:rsid w:val="00AB68FE"/>
    <w:rsid w:val="00AB72C0"/>
    <w:rsid w:val="00AC1B2C"/>
    <w:rsid w:val="00AC2A9F"/>
    <w:rsid w:val="00AC3022"/>
    <w:rsid w:val="00AC3264"/>
    <w:rsid w:val="00AC4413"/>
    <w:rsid w:val="00AC633E"/>
    <w:rsid w:val="00AD12A3"/>
    <w:rsid w:val="00AD13D0"/>
    <w:rsid w:val="00AD1554"/>
    <w:rsid w:val="00AD3CBF"/>
    <w:rsid w:val="00AD48E2"/>
    <w:rsid w:val="00AD5FA9"/>
    <w:rsid w:val="00AE0CBD"/>
    <w:rsid w:val="00AE1743"/>
    <w:rsid w:val="00AE1B33"/>
    <w:rsid w:val="00AE1BF1"/>
    <w:rsid w:val="00AE2A2B"/>
    <w:rsid w:val="00AE5F06"/>
    <w:rsid w:val="00AE6399"/>
    <w:rsid w:val="00AE6E25"/>
    <w:rsid w:val="00AF04FB"/>
    <w:rsid w:val="00AF0DD2"/>
    <w:rsid w:val="00AF1974"/>
    <w:rsid w:val="00AF1EA8"/>
    <w:rsid w:val="00AF767D"/>
    <w:rsid w:val="00B009CB"/>
    <w:rsid w:val="00B026D2"/>
    <w:rsid w:val="00B039FF"/>
    <w:rsid w:val="00B0416F"/>
    <w:rsid w:val="00B04275"/>
    <w:rsid w:val="00B049DC"/>
    <w:rsid w:val="00B117EF"/>
    <w:rsid w:val="00B13048"/>
    <w:rsid w:val="00B132D5"/>
    <w:rsid w:val="00B1716D"/>
    <w:rsid w:val="00B17A1D"/>
    <w:rsid w:val="00B207A0"/>
    <w:rsid w:val="00B21D92"/>
    <w:rsid w:val="00B23D60"/>
    <w:rsid w:val="00B23E39"/>
    <w:rsid w:val="00B243AA"/>
    <w:rsid w:val="00B2490E"/>
    <w:rsid w:val="00B254AE"/>
    <w:rsid w:val="00B25620"/>
    <w:rsid w:val="00B27446"/>
    <w:rsid w:val="00B324E8"/>
    <w:rsid w:val="00B32AD3"/>
    <w:rsid w:val="00B33875"/>
    <w:rsid w:val="00B3397F"/>
    <w:rsid w:val="00B33AD5"/>
    <w:rsid w:val="00B34050"/>
    <w:rsid w:val="00B35629"/>
    <w:rsid w:val="00B356CB"/>
    <w:rsid w:val="00B4048A"/>
    <w:rsid w:val="00B41B13"/>
    <w:rsid w:val="00B41C99"/>
    <w:rsid w:val="00B424AC"/>
    <w:rsid w:val="00B43C4C"/>
    <w:rsid w:val="00B44119"/>
    <w:rsid w:val="00B442EE"/>
    <w:rsid w:val="00B45BF3"/>
    <w:rsid w:val="00B45E5C"/>
    <w:rsid w:val="00B466EC"/>
    <w:rsid w:val="00B47EE4"/>
    <w:rsid w:val="00B509ED"/>
    <w:rsid w:val="00B50F4B"/>
    <w:rsid w:val="00B512FD"/>
    <w:rsid w:val="00B514DD"/>
    <w:rsid w:val="00B528C7"/>
    <w:rsid w:val="00B52AF0"/>
    <w:rsid w:val="00B54CB5"/>
    <w:rsid w:val="00B55D35"/>
    <w:rsid w:val="00B561BD"/>
    <w:rsid w:val="00B56E03"/>
    <w:rsid w:val="00B610B3"/>
    <w:rsid w:val="00B644D0"/>
    <w:rsid w:val="00B64B69"/>
    <w:rsid w:val="00B65BF2"/>
    <w:rsid w:val="00B65DDA"/>
    <w:rsid w:val="00B7053F"/>
    <w:rsid w:val="00B705DE"/>
    <w:rsid w:val="00B71844"/>
    <w:rsid w:val="00B73028"/>
    <w:rsid w:val="00B7333E"/>
    <w:rsid w:val="00B750BE"/>
    <w:rsid w:val="00B75190"/>
    <w:rsid w:val="00B76BF4"/>
    <w:rsid w:val="00B8080B"/>
    <w:rsid w:val="00B80AD6"/>
    <w:rsid w:val="00B80D3F"/>
    <w:rsid w:val="00B82D1A"/>
    <w:rsid w:val="00B830DB"/>
    <w:rsid w:val="00B85798"/>
    <w:rsid w:val="00B86024"/>
    <w:rsid w:val="00B86DB5"/>
    <w:rsid w:val="00B86F75"/>
    <w:rsid w:val="00B872DA"/>
    <w:rsid w:val="00B87BA5"/>
    <w:rsid w:val="00B87C39"/>
    <w:rsid w:val="00B87FCA"/>
    <w:rsid w:val="00B936C7"/>
    <w:rsid w:val="00B95851"/>
    <w:rsid w:val="00B9617D"/>
    <w:rsid w:val="00B97779"/>
    <w:rsid w:val="00BA1DE2"/>
    <w:rsid w:val="00BA4665"/>
    <w:rsid w:val="00BA4D25"/>
    <w:rsid w:val="00BA70E6"/>
    <w:rsid w:val="00BA7D70"/>
    <w:rsid w:val="00BB0667"/>
    <w:rsid w:val="00BB2FB2"/>
    <w:rsid w:val="00BB3304"/>
    <w:rsid w:val="00BB3F11"/>
    <w:rsid w:val="00BB4DF9"/>
    <w:rsid w:val="00BC3025"/>
    <w:rsid w:val="00BC49ED"/>
    <w:rsid w:val="00BC7CF1"/>
    <w:rsid w:val="00BC7D10"/>
    <w:rsid w:val="00BD0578"/>
    <w:rsid w:val="00BD33B4"/>
    <w:rsid w:val="00BD3446"/>
    <w:rsid w:val="00BD468F"/>
    <w:rsid w:val="00BD50B1"/>
    <w:rsid w:val="00BD524F"/>
    <w:rsid w:val="00BE1F1B"/>
    <w:rsid w:val="00BE2238"/>
    <w:rsid w:val="00BE2670"/>
    <w:rsid w:val="00BE3A86"/>
    <w:rsid w:val="00BE3D94"/>
    <w:rsid w:val="00BE47B5"/>
    <w:rsid w:val="00BE5FB4"/>
    <w:rsid w:val="00BE65AD"/>
    <w:rsid w:val="00BE6E64"/>
    <w:rsid w:val="00BF0DF2"/>
    <w:rsid w:val="00BF278D"/>
    <w:rsid w:val="00BF2D78"/>
    <w:rsid w:val="00BF396C"/>
    <w:rsid w:val="00BF5574"/>
    <w:rsid w:val="00BF73D0"/>
    <w:rsid w:val="00BF7651"/>
    <w:rsid w:val="00BF7B99"/>
    <w:rsid w:val="00C00029"/>
    <w:rsid w:val="00C0120C"/>
    <w:rsid w:val="00C028C2"/>
    <w:rsid w:val="00C0321D"/>
    <w:rsid w:val="00C0369D"/>
    <w:rsid w:val="00C03F58"/>
    <w:rsid w:val="00C04325"/>
    <w:rsid w:val="00C05243"/>
    <w:rsid w:val="00C10167"/>
    <w:rsid w:val="00C10C12"/>
    <w:rsid w:val="00C13D25"/>
    <w:rsid w:val="00C13F9E"/>
    <w:rsid w:val="00C16309"/>
    <w:rsid w:val="00C16D70"/>
    <w:rsid w:val="00C2078E"/>
    <w:rsid w:val="00C20C8D"/>
    <w:rsid w:val="00C229D9"/>
    <w:rsid w:val="00C23AC0"/>
    <w:rsid w:val="00C23ACB"/>
    <w:rsid w:val="00C253DD"/>
    <w:rsid w:val="00C25FA6"/>
    <w:rsid w:val="00C265FB"/>
    <w:rsid w:val="00C323CD"/>
    <w:rsid w:val="00C37DAE"/>
    <w:rsid w:val="00C40B5A"/>
    <w:rsid w:val="00C40F32"/>
    <w:rsid w:val="00C420B3"/>
    <w:rsid w:val="00C429E0"/>
    <w:rsid w:val="00C45321"/>
    <w:rsid w:val="00C47FA5"/>
    <w:rsid w:val="00C518B1"/>
    <w:rsid w:val="00C538A9"/>
    <w:rsid w:val="00C53B5A"/>
    <w:rsid w:val="00C54F5A"/>
    <w:rsid w:val="00C5617A"/>
    <w:rsid w:val="00C569B4"/>
    <w:rsid w:val="00C6152D"/>
    <w:rsid w:val="00C61E07"/>
    <w:rsid w:val="00C63801"/>
    <w:rsid w:val="00C64006"/>
    <w:rsid w:val="00C64A32"/>
    <w:rsid w:val="00C6507F"/>
    <w:rsid w:val="00C678D2"/>
    <w:rsid w:val="00C67A92"/>
    <w:rsid w:val="00C67D22"/>
    <w:rsid w:val="00C7303A"/>
    <w:rsid w:val="00C730DB"/>
    <w:rsid w:val="00C75529"/>
    <w:rsid w:val="00C75DDD"/>
    <w:rsid w:val="00C76291"/>
    <w:rsid w:val="00C774B6"/>
    <w:rsid w:val="00C777F8"/>
    <w:rsid w:val="00C81C25"/>
    <w:rsid w:val="00C851B9"/>
    <w:rsid w:val="00C85427"/>
    <w:rsid w:val="00C862C2"/>
    <w:rsid w:val="00C86679"/>
    <w:rsid w:val="00C8689D"/>
    <w:rsid w:val="00C9006E"/>
    <w:rsid w:val="00C9140E"/>
    <w:rsid w:val="00C91B9E"/>
    <w:rsid w:val="00C9312E"/>
    <w:rsid w:val="00C942F5"/>
    <w:rsid w:val="00C94549"/>
    <w:rsid w:val="00C95575"/>
    <w:rsid w:val="00C9579D"/>
    <w:rsid w:val="00C97753"/>
    <w:rsid w:val="00CA0098"/>
    <w:rsid w:val="00CA0DC8"/>
    <w:rsid w:val="00CA3230"/>
    <w:rsid w:val="00CA32A8"/>
    <w:rsid w:val="00CA42C6"/>
    <w:rsid w:val="00CA457F"/>
    <w:rsid w:val="00CA489E"/>
    <w:rsid w:val="00CA5214"/>
    <w:rsid w:val="00CA6379"/>
    <w:rsid w:val="00CB0279"/>
    <w:rsid w:val="00CB0F15"/>
    <w:rsid w:val="00CB10BE"/>
    <w:rsid w:val="00CB1E73"/>
    <w:rsid w:val="00CB1F6B"/>
    <w:rsid w:val="00CB2575"/>
    <w:rsid w:val="00CB3E17"/>
    <w:rsid w:val="00CB4006"/>
    <w:rsid w:val="00CB4AE4"/>
    <w:rsid w:val="00CB6045"/>
    <w:rsid w:val="00CB666B"/>
    <w:rsid w:val="00CB6CA5"/>
    <w:rsid w:val="00CB7CEE"/>
    <w:rsid w:val="00CC05D9"/>
    <w:rsid w:val="00CC0DA8"/>
    <w:rsid w:val="00CC0E0C"/>
    <w:rsid w:val="00CC1B70"/>
    <w:rsid w:val="00CC4F28"/>
    <w:rsid w:val="00CC790E"/>
    <w:rsid w:val="00CC7F1D"/>
    <w:rsid w:val="00CD0A5D"/>
    <w:rsid w:val="00CD1BF5"/>
    <w:rsid w:val="00CD3466"/>
    <w:rsid w:val="00CD4A85"/>
    <w:rsid w:val="00CD4D26"/>
    <w:rsid w:val="00CD62A6"/>
    <w:rsid w:val="00CD648D"/>
    <w:rsid w:val="00CD7136"/>
    <w:rsid w:val="00CE0290"/>
    <w:rsid w:val="00CE0C94"/>
    <w:rsid w:val="00CE2D53"/>
    <w:rsid w:val="00CE2F06"/>
    <w:rsid w:val="00CE36A8"/>
    <w:rsid w:val="00CE423F"/>
    <w:rsid w:val="00CF0013"/>
    <w:rsid w:val="00CF168B"/>
    <w:rsid w:val="00CF23BA"/>
    <w:rsid w:val="00CF2EED"/>
    <w:rsid w:val="00CF46FB"/>
    <w:rsid w:val="00CF4CAD"/>
    <w:rsid w:val="00CF6394"/>
    <w:rsid w:val="00D006AE"/>
    <w:rsid w:val="00D0087E"/>
    <w:rsid w:val="00D01CF0"/>
    <w:rsid w:val="00D023FD"/>
    <w:rsid w:val="00D0442A"/>
    <w:rsid w:val="00D04DCC"/>
    <w:rsid w:val="00D050A0"/>
    <w:rsid w:val="00D05E1A"/>
    <w:rsid w:val="00D06B3E"/>
    <w:rsid w:val="00D105E1"/>
    <w:rsid w:val="00D11CD9"/>
    <w:rsid w:val="00D1253A"/>
    <w:rsid w:val="00D136CD"/>
    <w:rsid w:val="00D20296"/>
    <w:rsid w:val="00D20517"/>
    <w:rsid w:val="00D21A56"/>
    <w:rsid w:val="00D2224F"/>
    <w:rsid w:val="00D22642"/>
    <w:rsid w:val="00D246D0"/>
    <w:rsid w:val="00D2709E"/>
    <w:rsid w:val="00D2716D"/>
    <w:rsid w:val="00D30FE2"/>
    <w:rsid w:val="00D32022"/>
    <w:rsid w:val="00D3243E"/>
    <w:rsid w:val="00D346AC"/>
    <w:rsid w:val="00D35E16"/>
    <w:rsid w:val="00D379C9"/>
    <w:rsid w:val="00D40549"/>
    <w:rsid w:val="00D408E3"/>
    <w:rsid w:val="00D41C6A"/>
    <w:rsid w:val="00D4201B"/>
    <w:rsid w:val="00D44F0F"/>
    <w:rsid w:val="00D46148"/>
    <w:rsid w:val="00D4729B"/>
    <w:rsid w:val="00D47FAF"/>
    <w:rsid w:val="00D515C3"/>
    <w:rsid w:val="00D56DF3"/>
    <w:rsid w:val="00D57050"/>
    <w:rsid w:val="00D5771A"/>
    <w:rsid w:val="00D57D83"/>
    <w:rsid w:val="00D609CE"/>
    <w:rsid w:val="00D61388"/>
    <w:rsid w:val="00D61A54"/>
    <w:rsid w:val="00D645FC"/>
    <w:rsid w:val="00D64DEA"/>
    <w:rsid w:val="00D65718"/>
    <w:rsid w:val="00D70FA2"/>
    <w:rsid w:val="00D7168E"/>
    <w:rsid w:val="00D71E57"/>
    <w:rsid w:val="00D732A7"/>
    <w:rsid w:val="00D74160"/>
    <w:rsid w:val="00D7577D"/>
    <w:rsid w:val="00D76465"/>
    <w:rsid w:val="00D76DD7"/>
    <w:rsid w:val="00D8066D"/>
    <w:rsid w:val="00D80893"/>
    <w:rsid w:val="00D81C31"/>
    <w:rsid w:val="00D83535"/>
    <w:rsid w:val="00D844A8"/>
    <w:rsid w:val="00D84854"/>
    <w:rsid w:val="00D84BD4"/>
    <w:rsid w:val="00D86094"/>
    <w:rsid w:val="00D8647A"/>
    <w:rsid w:val="00D86677"/>
    <w:rsid w:val="00D906A4"/>
    <w:rsid w:val="00D90B38"/>
    <w:rsid w:val="00D92840"/>
    <w:rsid w:val="00D92CF1"/>
    <w:rsid w:val="00D92D38"/>
    <w:rsid w:val="00D94A16"/>
    <w:rsid w:val="00D950F5"/>
    <w:rsid w:val="00D95C59"/>
    <w:rsid w:val="00DA2202"/>
    <w:rsid w:val="00DA28CC"/>
    <w:rsid w:val="00DA2CB1"/>
    <w:rsid w:val="00DA34A8"/>
    <w:rsid w:val="00DA4752"/>
    <w:rsid w:val="00DA5A76"/>
    <w:rsid w:val="00DA61F3"/>
    <w:rsid w:val="00DA7D3F"/>
    <w:rsid w:val="00DB0F93"/>
    <w:rsid w:val="00DB133E"/>
    <w:rsid w:val="00DB1A67"/>
    <w:rsid w:val="00DB297C"/>
    <w:rsid w:val="00DB2A82"/>
    <w:rsid w:val="00DB4995"/>
    <w:rsid w:val="00DB5074"/>
    <w:rsid w:val="00DB5356"/>
    <w:rsid w:val="00DB6396"/>
    <w:rsid w:val="00DC3B53"/>
    <w:rsid w:val="00DC7981"/>
    <w:rsid w:val="00DD069D"/>
    <w:rsid w:val="00DD0FA1"/>
    <w:rsid w:val="00DD1E25"/>
    <w:rsid w:val="00DD414A"/>
    <w:rsid w:val="00DD499B"/>
    <w:rsid w:val="00DD7734"/>
    <w:rsid w:val="00DE0FDA"/>
    <w:rsid w:val="00DE1093"/>
    <w:rsid w:val="00DE126C"/>
    <w:rsid w:val="00DE3DA0"/>
    <w:rsid w:val="00DE45E9"/>
    <w:rsid w:val="00DE4C65"/>
    <w:rsid w:val="00DE4EFA"/>
    <w:rsid w:val="00DE5520"/>
    <w:rsid w:val="00DE563D"/>
    <w:rsid w:val="00DF1DBC"/>
    <w:rsid w:val="00DF204F"/>
    <w:rsid w:val="00DF44EF"/>
    <w:rsid w:val="00DF61DF"/>
    <w:rsid w:val="00DF689D"/>
    <w:rsid w:val="00E00AF0"/>
    <w:rsid w:val="00E044E6"/>
    <w:rsid w:val="00E04818"/>
    <w:rsid w:val="00E04DD5"/>
    <w:rsid w:val="00E056BF"/>
    <w:rsid w:val="00E058BA"/>
    <w:rsid w:val="00E06442"/>
    <w:rsid w:val="00E06850"/>
    <w:rsid w:val="00E06FC9"/>
    <w:rsid w:val="00E102C8"/>
    <w:rsid w:val="00E1114C"/>
    <w:rsid w:val="00E13793"/>
    <w:rsid w:val="00E14351"/>
    <w:rsid w:val="00E15172"/>
    <w:rsid w:val="00E1520A"/>
    <w:rsid w:val="00E15834"/>
    <w:rsid w:val="00E15BE7"/>
    <w:rsid w:val="00E213E0"/>
    <w:rsid w:val="00E21DF4"/>
    <w:rsid w:val="00E23993"/>
    <w:rsid w:val="00E2489E"/>
    <w:rsid w:val="00E25B8C"/>
    <w:rsid w:val="00E269DC"/>
    <w:rsid w:val="00E27628"/>
    <w:rsid w:val="00E27853"/>
    <w:rsid w:val="00E32612"/>
    <w:rsid w:val="00E32AC7"/>
    <w:rsid w:val="00E407CB"/>
    <w:rsid w:val="00E40B9B"/>
    <w:rsid w:val="00E41D28"/>
    <w:rsid w:val="00E422DC"/>
    <w:rsid w:val="00E44868"/>
    <w:rsid w:val="00E45D51"/>
    <w:rsid w:val="00E533BC"/>
    <w:rsid w:val="00E54983"/>
    <w:rsid w:val="00E5565D"/>
    <w:rsid w:val="00E558C5"/>
    <w:rsid w:val="00E55B11"/>
    <w:rsid w:val="00E5683B"/>
    <w:rsid w:val="00E57429"/>
    <w:rsid w:val="00E615D0"/>
    <w:rsid w:val="00E623FF"/>
    <w:rsid w:val="00E630E5"/>
    <w:rsid w:val="00E634B7"/>
    <w:rsid w:val="00E63EFB"/>
    <w:rsid w:val="00E647E3"/>
    <w:rsid w:val="00E64F71"/>
    <w:rsid w:val="00E65C85"/>
    <w:rsid w:val="00E66199"/>
    <w:rsid w:val="00E70395"/>
    <w:rsid w:val="00E73E86"/>
    <w:rsid w:val="00E73F6D"/>
    <w:rsid w:val="00E755EC"/>
    <w:rsid w:val="00E75CE2"/>
    <w:rsid w:val="00E7624D"/>
    <w:rsid w:val="00E77055"/>
    <w:rsid w:val="00E813CB"/>
    <w:rsid w:val="00E82AAC"/>
    <w:rsid w:val="00E82DC2"/>
    <w:rsid w:val="00E83ABD"/>
    <w:rsid w:val="00E842C4"/>
    <w:rsid w:val="00E84C2E"/>
    <w:rsid w:val="00E91251"/>
    <w:rsid w:val="00E93E99"/>
    <w:rsid w:val="00E9500F"/>
    <w:rsid w:val="00E9692D"/>
    <w:rsid w:val="00E97A59"/>
    <w:rsid w:val="00EA1787"/>
    <w:rsid w:val="00EA288C"/>
    <w:rsid w:val="00EA38C6"/>
    <w:rsid w:val="00EA39BD"/>
    <w:rsid w:val="00EA3D42"/>
    <w:rsid w:val="00EA4329"/>
    <w:rsid w:val="00EA58D0"/>
    <w:rsid w:val="00EA6B1B"/>
    <w:rsid w:val="00EB0550"/>
    <w:rsid w:val="00EB136D"/>
    <w:rsid w:val="00EB276A"/>
    <w:rsid w:val="00EB2D94"/>
    <w:rsid w:val="00EB472E"/>
    <w:rsid w:val="00EB6DAC"/>
    <w:rsid w:val="00EC001C"/>
    <w:rsid w:val="00EC03A4"/>
    <w:rsid w:val="00EC0C0D"/>
    <w:rsid w:val="00EC2AA4"/>
    <w:rsid w:val="00EC3FB1"/>
    <w:rsid w:val="00EC3FEA"/>
    <w:rsid w:val="00EC5C47"/>
    <w:rsid w:val="00EC671E"/>
    <w:rsid w:val="00EC7451"/>
    <w:rsid w:val="00ED0284"/>
    <w:rsid w:val="00ED0F63"/>
    <w:rsid w:val="00ED168C"/>
    <w:rsid w:val="00ED1B7B"/>
    <w:rsid w:val="00ED33CF"/>
    <w:rsid w:val="00ED4A31"/>
    <w:rsid w:val="00ED50CF"/>
    <w:rsid w:val="00ED7323"/>
    <w:rsid w:val="00ED7AF4"/>
    <w:rsid w:val="00EE1365"/>
    <w:rsid w:val="00EE1F8B"/>
    <w:rsid w:val="00EE22B1"/>
    <w:rsid w:val="00EE28F3"/>
    <w:rsid w:val="00EE2B81"/>
    <w:rsid w:val="00EE36DB"/>
    <w:rsid w:val="00EE3747"/>
    <w:rsid w:val="00EE3C43"/>
    <w:rsid w:val="00EE57F7"/>
    <w:rsid w:val="00EF0935"/>
    <w:rsid w:val="00EF246D"/>
    <w:rsid w:val="00EF33EB"/>
    <w:rsid w:val="00EF3C1F"/>
    <w:rsid w:val="00EF5110"/>
    <w:rsid w:val="00EF71B0"/>
    <w:rsid w:val="00EF77DA"/>
    <w:rsid w:val="00F01ED9"/>
    <w:rsid w:val="00F0420A"/>
    <w:rsid w:val="00F059DA"/>
    <w:rsid w:val="00F05C4B"/>
    <w:rsid w:val="00F10411"/>
    <w:rsid w:val="00F15882"/>
    <w:rsid w:val="00F171E0"/>
    <w:rsid w:val="00F205FA"/>
    <w:rsid w:val="00F20BD3"/>
    <w:rsid w:val="00F242F1"/>
    <w:rsid w:val="00F250B7"/>
    <w:rsid w:val="00F250EA"/>
    <w:rsid w:val="00F25CCB"/>
    <w:rsid w:val="00F26C77"/>
    <w:rsid w:val="00F302E8"/>
    <w:rsid w:val="00F31AAF"/>
    <w:rsid w:val="00F3488D"/>
    <w:rsid w:val="00F3540A"/>
    <w:rsid w:val="00F373A5"/>
    <w:rsid w:val="00F40166"/>
    <w:rsid w:val="00F40268"/>
    <w:rsid w:val="00F41A7D"/>
    <w:rsid w:val="00F45A10"/>
    <w:rsid w:val="00F45E5D"/>
    <w:rsid w:val="00F47559"/>
    <w:rsid w:val="00F53377"/>
    <w:rsid w:val="00F53C9E"/>
    <w:rsid w:val="00F5407B"/>
    <w:rsid w:val="00F54C16"/>
    <w:rsid w:val="00F573C1"/>
    <w:rsid w:val="00F64C7B"/>
    <w:rsid w:val="00F65E5D"/>
    <w:rsid w:val="00F666C0"/>
    <w:rsid w:val="00F676DD"/>
    <w:rsid w:val="00F708F1"/>
    <w:rsid w:val="00F72AC3"/>
    <w:rsid w:val="00F75A26"/>
    <w:rsid w:val="00F75B0A"/>
    <w:rsid w:val="00F76706"/>
    <w:rsid w:val="00F82FF3"/>
    <w:rsid w:val="00F83650"/>
    <w:rsid w:val="00F83FAD"/>
    <w:rsid w:val="00F84A43"/>
    <w:rsid w:val="00F84AC8"/>
    <w:rsid w:val="00F84B9C"/>
    <w:rsid w:val="00F853FD"/>
    <w:rsid w:val="00F861EE"/>
    <w:rsid w:val="00F866A1"/>
    <w:rsid w:val="00F87A3A"/>
    <w:rsid w:val="00F9041A"/>
    <w:rsid w:val="00F92035"/>
    <w:rsid w:val="00F952A0"/>
    <w:rsid w:val="00F97CDE"/>
    <w:rsid w:val="00FA056E"/>
    <w:rsid w:val="00FA09FC"/>
    <w:rsid w:val="00FA149E"/>
    <w:rsid w:val="00FA29CE"/>
    <w:rsid w:val="00FA2FCE"/>
    <w:rsid w:val="00FA33EA"/>
    <w:rsid w:val="00FA345A"/>
    <w:rsid w:val="00FA3C7F"/>
    <w:rsid w:val="00FA5032"/>
    <w:rsid w:val="00FA5805"/>
    <w:rsid w:val="00FA6DE4"/>
    <w:rsid w:val="00FA72B7"/>
    <w:rsid w:val="00FB007C"/>
    <w:rsid w:val="00FB010A"/>
    <w:rsid w:val="00FB056C"/>
    <w:rsid w:val="00FB139B"/>
    <w:rsid w:val="00FB2EB2"/>
    <w:rsid w:val="00FB3438"/>
    <w:rsid w:val="00FB7367"/>
    <w:rsid w:val="00FB74E2"/>
    <w:rsid w:val="00FC022A"/>
    <w:rsid w:val="00FC10C4"/>
    <w:rsid w:val="00FC20AC"/>
    <w:rsid w:val="00FC23A8"/>
    <w:rsid w:val="00FD070E"/>
    <w:rsid w:val="00FD0D0C"/>
    <w:rsid w:val="00FD1100"/>
    <w:rsid w:val="00FD26C7"/>
    <w:rsid w:val="00FD419E"/>
    <w:rsid w:val="00FD5614"/>
    <w:rsid w:val="00FD7201"/>
    <w:rsid w:val="00FD7D86"/>
    <w:rsid w:val="00FD7FD1"/>
    <w:rsid w:val="00FE075D"/>
    <w:rsid w:val="00FE0BE1"/>
    <w:rsid w:val="00FE1DE9"/>
    <w:rsid w:val="00FE36AF"/>
    <w:rsid w:val="00FE39C2"/>
    <w:rsid w:val="00FE3C32"/>
    <w:rsid w:val="00FE3C95"/>
    <w:rsid w:val="00FE4FA9"/>
    <w:rsid w:val="00FE64AE"/>
    <w:rsid w:val="00FE6EAC"/>
    <w:rsid w:val="00FE7BB3"/>
    <w:rsid w:val="00FF0A67"/>
    <w:rsid w:val="00FF18F3"/>
    <w:rsid w:val="00FF1EB4"/>
    <w:rsid w:val="00FF77D9"/>
    <w:rsid w:val="00FF7D68"/>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2" w:unhideWhenUsed="0" w:qFormat="1"/>
    <w:lsdException w:name="heading 6" w:semiHidden="0" w:uiPriority="2" w:unhideWhenUsed="0"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
    <w:lsdException w:name="footnote text" w:qFormat="1"/>
    <w:lsdException w:name="header" w:uiPriority="99" w:qFormat="1"/>
    <w:lsdException w:name="footer" w:uiPriority="99" w:qFormat="1"/>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qFormat="1"/>
    <w:lsdException w:name="annotation reference" w:uiPriority="99"/>
    <w:lsdException w:name="line number" w:uiPriority="99"/>
    <w:lsdException w:name="endnote reference" w:uiPriority="99"/>
    <w:lsdException w:name="endnote text" w:uiPriority="99"/>
    <w:lsdException w:name="List" w:uiPriority="99" w:qFormat="1"/>
    <w:lsdException w:name="List Bullet" w:uiPriority="99"/>
    <w:lsdException w:name="List Number" w:semiHidden="0" w:uiPriority="99" w:unhideWhenUsed="0" w:qFormat="1"/>
    <w:lsdException w:name="List 2" w:uiPriority="99"/>
    <w:lsdException w:name="List 3" w:uiPriority="99"/>
    <w:lsdException w:name="List 4" w:semiHidden="0" w:uiPriority="99" w:unhideWhenUsed="0"/>
    <w:lsdException w:name="List 5" w:semiHidden="0" w:uiPriority="99" w:unhideWhenUsed="0"/>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nhideWhenUsed="0"/>
    <w:lsdException w:name="Closing" w:uiPriority="99"/>
    <w:lsdException w:name="Signature" w:uiPriority="99"/>
    <w:lsdException w:name="Body Text Indent" w:uiPriority="99"/>
    <w:lsdException w:name="List Continue" w:uiPriority="99" w:qFormat="1"/>
    <w:lsdException w:name="List Continue 2" w:uiPriority="99"/>
    <w:lsdException w:name="List Continue 3" w:uiPriority="99"/>
    <w:lsdException w:name="List Continue 4" w:uiPriority="99"/>
    <w:lsdException w:name="List Continue 5" w:uiPriority="99"/>
    <w:lsdException w:name="Subtitle" w:semiHidden="0" w:uiPriority="11" w:unhideWhenUsed="0"/>
    <w:lsdException w:name="Salutation" w:uiPriority="99"/>
    <w:lsdException w:name="Date" w:uiPriority="99"/>
    <w:lsdException w:name="Body Text First Indent" w:uiPriority="99"/>
    <w:lsdException w:name="Body Text First Indent 2" w:uiPriority="99"/>
    <w:lsdException w:name="Body Text 2" w:uiPriority="99"/>
    <w:lsdException w:name="Body Text 3" w:uiPriority="99"/>
    <w:lsdException w:name="Hyperlink" w:uiPriority="99" w:qFormat="1"/>
    <w:lsdException w:name="FollowedHyperlink" w:uiPriority="99"/>
    <w:lsdException w:name="Strong" w:semiHidden="0" w:uiPriority="22" w:unhideWhenUsed="0" w:qFormat="1"/>
    <w:lsdException w:name="Emphasis" w:semiHidden="0" w:uiPriority="20" w:unhideWhenUsed="0" w:qFormat="1"/>
    <w:lsdException w:name="Document Map" w:uiPriority="99"/>
    <w:lsdException w:name="E-mail Signature" w:uiPriority="99"/>
    <w:lsdException w:name="annotation subject" w:uiPriority="99"/>
    <w:lsdException w:name="No List" w:uiPriority="99"/>
    <w:lsdException w:name="Balloon Text" w:uiPriority="99"/>
    <w:lsdException w:name="Table Grid" w:semiHidden="0" w:uiPriority="59" w:unhideWhenUsed="0"/>
    <w:lsdException w:name="Placeholder Text" w:semiHidden="0"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FA72B7"/>
    <w:pPr>
      <w:pageBreakBefore/>
      <w:numPr>
        <w:numId w:val="25"/>
      </w:numPr>
      <w:tabs>
        <w:tab w:val="left" w:pos="680"/>
      </w:tabs>
      <w:spacing w:before="240"/>
      <w:outlineLvl w:val="0"/>
    </w:pPr>
    <w:rPr>
      <w:rFonts w:eastAsiaTheme="majorEastAsia" w:cstheme="majorBidi"/>
      <w:b/>
      <w:bCs/>
      <w:color w:val="076A92" w:themeColor="text1"/>
      <w:sz w:val="36"/>
      <w:szCs w:val="28"/>
    </w:rPr>
  </w:style>
  <w:style w:type="paragraph" w:styleId="Heading2">
    <w:name w:val="heading 2"/>
    <w:next w:val="Normal"/>
    <w:link w:val="Heading2Char"/>
    <w:uiPriority w:val="9"/>
    <w:qFormat/>
    <w:rsid w:val="00FA72B7"/>
    <w:pPr>
      <w:numPr>
        <w:ilvl w:val="1"/>
        <w:numId w:val="25"/>
      </w:numPr>
      <w:tabs>
        <w:tab w:val="left" w:pos="680"/>
      </w:tabs>
      <w:spacing w:line="240" w:lineRule="atLeast"/>
      <w:outlineLvl w:val="1"/>
    </w:pPr>
    <w:rPr>
      <w:rFonts w:ascii="Arial" w:eastAsiaTheme="majorEastAsia" w:hAnsi="Arial" w:cstheme="majorBidi"/>
      <w:b/>
      <w:bCs/>
      <w:color w:val="076A92" w:themeColor="text1"/>
      <w:sz w:val="32"/>
      <w:szCs w:val="26"/>
    </w:rPr>
  </w:style>
  <w:style w:type="paragraph" w:styleId="Heading3">
    <w:name w:val="heading 3"/>
    <w:basedOn w:val="Normal"/>
    <w:next w:val="Normal"/>
    <w:link w:val="Heading3Char"/>
    <w:uiPriority w:val="9"/>
    <w:qFormat/>
    <w:rsid w:val="00FA72B7"/>
    <w:pPr>
      <w:numPr>
        <w:ilvl w:val="2"/>
        <w:numId w:val="25"/>
      </w:numPr>
      <w:tabs>
        <w:tab w:val="left" w:pos="1021"/>
      </w:tabs>
      <w:spacing w:before="240"/>
      <w:outlineLvl w:val="2"/>
    </w:pPr>
    <w:rPr>
      <w:rFonts w:eastAsiaTheme="majorEastAsia" w:cstheme="majorBidi"/>
      <w:b/>
      <w:bCs/>
      <w:color w:val="076A92" w:themeColor="text1"/>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2"/>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2B7"/>
    <w:rPr>
      <w:rFonts w:ascii="Arial" w:eastAsiaTheme="majorEastAsia" w:hAnsi="Arial" w:cstheme="majorBidi"/>
      <w:b/>
      <w:bCs/>
      <w:color w:val="076A92" w:themeColor="text1"/>
      <w:sz w:val="36"/>
      <w:szCs w:val="28"/>
    </w:rPr>
  </w:style>
  <w:style w:type="character" w:customStyle="1" w:styleId="Heading2Char">
    <w:name w:val="Heading 2 Char"/>
    <w:basedOn w:val="DefaultParagraphFont"/>
    <w:link w:val="Heading2"/>
    <w:uiPriority w:val="9"/>
    <w:rsid w:val="00FA72B7"/>
    <w:rPr>
      <w:rFonts w:ascii="Arial" w:eastAsiaTheme="majorEastAsia" w:hAnsi="Arial" w:cstheme="majorBidi"/>
      <w:b/>
      <w:bCs/>
      <w:color w:val="076A92" w:themeColor="text1"/>
      <w:sz w:val="32"/>
      <w:szCs w:val="26"/>
    </w:rPr>
  </w:style>
  <w:style w:type="character" w:customStyle="1" w:styleId="Heading3Char">
    <w:name w:val="Heading 3 Char"/>
    <w:basedOn w:val="DefaultParagraphFont"/>
    <w:link w:val="Heading3"/>
    <w:uiPriority w:val="9"/>
    <w:rsid w:val="00FA72B7"/>
    <w:rPr>
      <w:rFonts w:ascii="Arial" w:eastAsiaTheme="majorEastAsia" w:hAnsi="Arial" w:cstheme="majorBidi"/>
      <w:b/>
      <w:bCs/>
      <w:color w:val="076A92" w:themeColor="text1"/>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qFormat/>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qFormat/>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Autospacing="0" w:afterLines="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Autospacing="0" w:afterLines="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Autospacing="0" w:afterLines="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Autospacing="0" w:afterLines="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D7BA2"/>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qFormat/>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qFormat/>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Autospacing="0" w:afterLines="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Autospacing="0" w:afterLines="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A75AB2"/>
    <w:pPr>
      <w:keepNext/>
      <w:spacing w:before="240" w:after="120"/>
      <w:ind w:left="1418" w:hanging="1418"/>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iPriority w:val="99"/>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qFormat/>
    <w:rsid w:val="00567BA5"/>
    <w:pPr>
      <w:tabs>
        <w:tab w:val="left" w:pos="680"/>
      </w:tabs>
      <w:spacing w:before="120"/>
      <w:ind w:left="680"/>
    </w:pPr>
  </w:style>
  <w:style w:type="paragraph" w:styleId="ListContinue3">
    <w:name w:val="List Continue 3"/>
    <w:aliases w:val="AER body text (indent 3)"/>
    <w:basedOn w:val="Normal"/>
    <w:uiPriority w:val="99"/>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Autospacing="0" w:afterLines="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uiPriority w:val="99"/>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uiPriority w:val="99"/>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BodyText">
    <w:name w:val="Body Text"/>
    <w:basedOn w:val="Normal"/>
    <w:link w:val="BodyTextChar"/>
    <w:uiPriority w:val="99"/>
    <w:unhideWhenUsed/>
    <w:rsid w:val="000B13A7"/>
    <w:pPr>
      <w:spacing w:after="120"/>
    </w:pPr>
  </w:style>
  <w:style w:type="character" w:customStyle="1" w:styleId="BodyTextChar">
    <w:name w:val="Body Text Char"/>
    <w:basedOn w:val="DefaultParagraphFont"/>
    <w:link w:val="BodyText"/>
    <w:uiPriority w:val="99"/>
    <w:rsid w:val="000B13A7"/>
    <w:rPr>
      <w:rFonts w:ascii="Arial" w:hAnsi="Arial"/>
    </w:rPr>
  </w:style>
  <w:style w:type="paragraph" w:styleId="NormalWeb">
    <w:name w:val="Normal (Web)"/>
    <w:basedOn w:val="Normal"/>
    <w:uiPriority w:val="99"/>
    <w:semiHidden/>
    <w:unhideWhenUsed/>
    <w:rsid w:val="00BD0578"/>
    <w:pPr>
      <w:spacing w:before="0" w:after="240" w:line="288" w:lineRule="auto"/>
      <w:jc w:val="both"/>
    </w:pPr>
    <w:rPr>
      <w:rFonts w:ascii="Times New Roman" w:eastAsia="Calibri" w:hAnsi="Times New Roman" w:cs="Times New Roman"/>
      <w:sz w:val="24"/>
      <w:szCs w:val="24"/>
    </w:rPr>
  </w:style>
  <w:style w:type="paragraph" w:styleId="BlockText">
    <w:name w:val="Block Text"/>
    <w:basedOn w:val="Normal"/>
    <w:uiPriority w:val="99"/>
    <w:unhideWhenUsed/>
    <w:rsid w:val="00BD0578"/>
    <w:pPr>
      <w:pBdr>
        <w:top w:val="single" w:sz="2" w:space="10" w:color="2F002F" w:themeColor="accent1" w:shadow="1" w:frame="1"/>
        <w:left w:val="single" w:sz="2" w:space="10" w:color="2F002F" w:themeColor="accent1" w:shadow="1" w:frame="1"/>
        <w:bottom w:val="single" w:sz="2" w:space="10" w:color="2F002F" w:themeColor="accent1" w:shadow="1" w:frame="1"/>
        <w:right w:val="single" w:sz="2" w:space="10" w:color="2F002F" w:themeColor="accent1" w:shadow="1" w:frame="1"/>
      </w:pBdr>
      <w:ind w:left="1152" w:right="1152"/>
    </w:pPr>
    <w:rPr>
      <w:rFonts w:asciiTheme="minorHAnsi" w:eastAsiaTheme="minorEastAsia" w:hAnsiTheme="minorHAnsi"/>
      <w:i/>
      <w:iCs/>
      <w:color w:val="2F002F" w:themeColor="accent1"/>
    </w:rPr>
  </w:style>
  <w:style w:type="paragraph" w:customStyle="1" w:styleId="ox-eff92edd1b-msolistparagraph">
    <w:name w:val="ox-eff92edd1b-msolistparagraph"/>
    <w:basedOn w:val="Normal"/>
    <w:rsid w:val="00CA32A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CA32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2" w:unhideWhenUsed="0" w:qFormat="1"/>
    <w:lsdException w:name="heading 6" w:semiHidden="0" w:uiPriority="2" w:unhideWhenUsed="0"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
    <w:lsdException w:name="footnote text" w:qFormat="1"/>
    <w:lsdException w:name="header" w:uiPriority="99" w:qFormat="1"/>
    <w:lsdException w:name="footer" w:uiPriority="99" w:qFormat="1"/>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qFormat="1"/>
    <w:lsdException w:name="annotation reference" w:uiPriority="99"/>
    <w:lsdException w:name="line number" w:uiPriority="99"/>
    <w:lsdException w:name="endnote reference" w:uiPriority="99"/>
    <w:lsdException w:name="endnote text" w:uiPriority="99"/>
    <w:lsdException w:name="List" w:uiPriority="99" w:qFormat="1"/>
    <w:lsdException w:name="List Bullet" w:uiPriority="99"/>
    <w:lsdException w:name="List Number" w:semiHidden="0" w:uiPriority="99" w:unhideWhenUsed="0" w:qFormat="1"/>
    <w:lsdException w:name="List 2" w:uiPriority="99"/>
    <w:lsdException w:name="List 3" w:uiPriority="99"/>
    <w:lsdException w:name="List 4" w:semiHidden="0" w:uiPriority="99" w:unhideWhenUsed="0"/>
    <w:lsdException w:name="List 5" w:semiHidden="0" w:uiPriority="99" w:unhideWhenUsed="0"/>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nhideWhenUsed="0"/>
    <w:lsdException w:name="Closing" w:uiPriority="99"/>
    <w:lsdException w:name="Signature" w:uiPriority="99"/>
    <w:lsdException w:name="Body Text Indent" w:uiPriority="99"/>
    <w:lsdException w:name="List Continue" w:uiPriority="99" w:qFormat="1"/>
    <w:lsdException w:name="List Continue 2" w:uiPriority="99"/>
    <w:lsdException w:name="List Continue 3" w:uiPriority="99"/>
    <w:lsdException w:name="List Continue 4" w:uiPriority="99"/>
    <w:lsdException w:name="List Continue 5" w:uiPriority="99"/>
    <w:lsdException w:name="Subtitle" w:semiHidden="0" w:uiPriority="11" w:unhideWhenUsed="0"/>
    <w:lsdException w:name="Salutation" w:uiPriority="99"/>
    <w:lsdException w:name="Date" w:uiPriority="99"/>
    <w:lsdException w:name="Body Text First Indent" w:uiPriority="99"/>
    <w:lsdException w:name="Body Text First Indent 2" w:uiPriority="99"/>
    <w:lsdException w:name="Body Text 2" w:uiPriority="99"/>
    <w:lsdException w:name="Body Text 3" w:uiPriority="99"/>
    <w:lsdException w:name="Hyperlink" w:uiPriority="99" w:qFormat="1"/>
    <w:lsdException w:name="FollowedHyperlink" w:uiPriority="99"/>
    <w:lsdException w:name="Strong" w:semiHidden="0" w:uiPriority="22" w:unhideWhenUsed="0" w:qFormat="1"/>
    <w:lsdException w:name="Emphasis" w:semiHidden="0" w:uiPriority="20" w:unhideWhenUsed="0" w:qFormat="1"/>
    <w:lsdException w:name="Document Map" w:uiPriority="99"/>
    <w:lsdException w:name="E-mail Signature" w:uiPriority="99"/>
    <w:lsdException w:name="annotation subject" w:uiPriority="99"/>
    <w:lsdException w:name="No List" w:uiPriority="99"/>
    <w:lsdException w:name="Balloon Text" w:uiPriority="99"/>
    <w:lsdException w:name="Table Grid" w:semiHidden="0" w:uiPriority="59" w:unhideWhenUsed="0"/>
    <w:lsdException w:name="Placeholder Text" w:semiHidden="0"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FA72B7"/>
    <w:pPr>
      <w:pageBreakBefore/>
      <w:numPr>
        <w:numId w:val="25"/>
      </w:numPr>
      <w:tabs>
        <w:tab w:val="left" w:pos="680"/>
      </w:tabs>
      <w:spacing w:before="240"/>
      <w:outlineLvl w:val="0"/>
    </w:pPr>
    <w:rPr>
      <w:rFonts w:eastAsiaTheme="majorEastAsia" w:cstheme="majorBidi"/>
      <w:b/>
      <w:bCs/>
      <w:color w:val="076A92" w:themeColor="text1"/>
      <w:sz w:val="36"/>
      <w:szCs w:val="28"/>
    </w:rPr>
  </w:style>
  <w:style w:type="paragraph" w:styleId="Heading2">
    <w:name w:val="heading 2"/>
    <w:next w:val="Normal"/>
    <w:link w:val="Heading2Char"/>
    <w:uiPriority w:val="9"/>
    <w:qFormat/>
    <w:rsid w:val="00FA72B7"/>
    <w:pPr>
      <w:numPr>
        <w:ilvl w:val="1"/>
        <w:numId w:val="25"/>
      </w:numPr>
      <w:tabs>
        <w:tab w:val="left" w:pos="680"/>
      </w:tabs>
      <w:spacing w:line="240" w:lineRule="atLeast"/>
      <w:outlineLvl w:val="1"/>
    </w:pPr>
    <w:rPr>
      <w:rFonts w:ascii="Arial" w:eastAsiaTheme="majorEastAsia" w:hAnsi="Arial" w:cstheme="majorBidi"/>
      <w:b/>
      <w:bCs/>
      <w:color w:val="076A92" w:themeColor="text1"/>
      <w:sz w:val="32"/>
      <w:szCs w:val="26"/>
    </w:rPr>
  </w:style>
  <w:style w:type="paragraph" w:styleId="Heading3">
    <w:name w:val="heading 3"/>
    <w:basedOn w:val="Normal"/>
    <w:next w:val="Normal"/>
    <w:link w:val="Heading3Char"/>
    <w:uiPriority w:val="9"/>
    <w:qFormat/>
    <w:rsid w:val="00FA72B7"/>
    <w:pPr>
      <w:numPr>
        <w:ilvl w:val="2"/>
        <w:numId w:val="25"/>
      </w:numPr>
      <w:tabs>
        <w:tab w:val="left" w:pos="1021"/>
      </w:tabs>
      <w:spacing w:before="240"/>
      <w:outlineLvl w:val="2"/>
    </w:pPr>
    <w:rPr>
      <w:rFonts w:eastAsiaTheme="majorEastAsia" w:cstheme="majorBidi"/>
      <w:b/>
      <w:bCs/>
      <w:color w:val="076A92" w:themeColor="text1"/>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2"/>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2B7"/>
    <w:rPr>
      <w:rFonts w:ascii="Arial" w:eastAsiaTheme="majorEastAsia" w:hAnsi="Arial" w:cstheme="majorBidi"/>
      <w:b/>
      <w:bCs/>
      <w:color w:val="076A92" w:themeColor="text1"/>
      <w:sz w:val="36"/>
      <w:szCs w:val="28"/>
    </w:rPr>
  </w:style>
  <w:style w:type="character" w:customStyle="1" w:styleId="Heading2Char">
    <w:name w:val="Heading 2 Char"/>
    <w:basedOn w:val="DefaultParagraphFont"/>
    <w:link w:val="Heading2"/>
    <w:uiPriority w:val="9"/>
    <w:rsid w:val="00FA72B7"/>
    <w:rPr>
      <w:rFonts w:ascii="Arial" w:eastAsiaTheme="majorEastAsia" w:hAnsi="Arial" w:cstheme="majorBidi"/>
      <w:b/>
      <w:bCs/>
      <w:color w:val="076A92" w:themeColor="text1"/>
      <w:sz w:val="32"/>
      <w:szCs w:val="26"/>
    </w:rPr>
  </w:style>
  <w:style w:type="character" w:customStyle="1" w:styleId="Heading3Char">
    <w:name w:val="Heading 3 Char"/>
    <w:basedOn w:val="DefaultParagraphFont"/>
    <w:link w:val="Heading3"/>
    <w:uiPriority w:val="9"/>
    <w:rsid w:val="00FA72B7"/>
    <w:rPr>
      <w:rFonts w:ascii="Arial" w:eastAsiaTheme="majorEastAsia" w:hAnsi="Arial" w:cstheme="majorBidi"/>
      <w:b/>
      <w:bCs/>
      <w:color w:val="076A92" w:themeColor="text1"/>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qFormat/>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qFormat/>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Autospacing="0" w:afterLines="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Autospacing="0" w:afterLines="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Autospacing="0" w:afterLines="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Autospacing="0" w:afterLines="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D7BA2"/>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qFormat/>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qFormat/>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Autospacing="0" w:afterLines="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Autospacing="0" w:afterLines="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A75AB2"/>
    <w:pPr>
      <w:keepNext/>
      <w:spacing w:before="240" w:after="120"/>
      <w:ind w:left="1418" w:hanging="1418"/>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iPriority w:val="99"/>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qFormat/>
    <w:rsid w:val="00567BA5"/>
    <w:pPr>
      <w:tabs>
        <w:tab w:val="left" w:pos="680"/>
      </w:tabs>
      <w:spacing w:before="120"/>
      <w:ind w:left="680"/>
    </w:pPr>
  </w:style>
  <w:style w:type="paragraph" w:styleId="ListContinue3">
    <w:name w:val="List Continue 3"/>
    <w:aliases w:val="AER body text (indent 3)"/>
    <w:basedOn w:val="Normal"/>
    <w:uiPriority w:val="99"/>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Autospacing="0" w:afterLines="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uiPriority w:val="99"/>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uiPriority w:val="99"/>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BodyText">
    <w:name w:val="Body Text"/>
    <w:basedOn w:val="Normal"/>
    <w:link w:val="BodyTextChar"/>
    <w:uiPriority w:val="99"/>
    <w:unhideWhenUsed/>
    <w:rsid w:val="000B13A7"/>
    <w:pPr>
      <w:spacing w:after="120"/>
    </w:pPr>
  </w:style>
  <w:style w:type="character" w:customStyle="1" w:styleId="BodyTextChar">
    <w:name w:val="Body Text Char"/>
    <w:basedOn w:val="DefaultParagraphFont"/>
    <w:link w:val="BodyText"/>
    <w:uiPriority w:val="99"/>
    <w:rsid w:val="000B13A7"/>
    <w:rPr>
      <w:rFonts w:ascii="Arial" w:hAnsi="Arial"/>
    </w:rPr>
  </w:style>
  <w:style w:type="paragraph" w:styleId="NormalWeb">
    <w:name w:val="Normal (Web)"/>
    <w:basedOn w:val="Normal"/>
    <w:uiPriority w:val="99"/>
    <w:semiHidden/>
    <w:unhideWhenUsed/>
    <w:rsid w:val="00BD0578"/>
    <w:pPr>
      <w:spacing w:before="0" w:after="240" w:line="288" w:lineRule="auto"/>
      <w:jc w:val="both"/>
    </w:pPr>
    <w:rPr>
      <w:rFonts w:ascii="Times New Roman" w:eastAsia="Calibri" w:hAnsi="Times New Roman" w:cs="Times New Roman"/>
      <w:sz w:val="24"/>
      <w:szCs w:val="24"/>
    </w:rPr>
  </w:style>
  <w:style w:type="paragraph" w:styleId="BlockText">
    <w:name w:val="Block Text"/>
    <w:basedOn w:val="Normal"/>
    <w:uiPriority w:val="99"/>
    <w:unhideWhenUsed/>
    <w:rsid w:val="00BD0578"/>
    <w:pPr>
      <w:pBdr>
        <w:top w:val="single" w:sz="2" w:space="10" w:color="2F002F" w:themeColor="accent1" w:shadow="1" w:frame="1"/>
        <w:left w:val="single" w:sz="2" w:space="10" w:color="2F002F" w:themeColor="accent1" w:shadow="1" w:frame="1"/>
        <w:bottom w:val="single" w:sz="2" w:space="10" w:color="2F002F" w:themeColor="accent1" w:shadow="1" w:frame="1"/>
        <w:right w:val="single" w:sz="2" w:space="10" w:color="2F002F" w:themeColor="accent1" w:shadow="1" w:frame="1"/>
      </w:pBdr>
      <w:ind w:left="1152" w:right="1152"/>
    </w:pPr>
    <w:rPr>
      <w:rFonts w:asciiTheme="minorHAnsi" w:eastAsiaTheme="minorEastAsia" w:hAnsiTheme="minorHAnsi"/>
      <w:i/>
      <w:iCs/>
      <w:color w:val="2F002F" w:themeColor="accent1"/>
    </w:rPr>
  </w:style>
  <w:style w:type="paragraph" w:customStyle="1" w:styleId="ox-eff92edd1b-msolistparagraph">
    <w:name w:val="ox-eff92edd1b-msolistparagraph"/>
    <w:basedOn w:val="Normal"/>
    <w:rsid w:val="00CA32A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CA3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321692313">
      <w:bodyDiv w:val="1"/>
      <w:marLeft w:val="0"/>
      <w:marRight w:val="0"/>
      <w:marTop w:val="0"/>
      <w:marBottom w:val="0"/>
      <w:divBdr>
        <w:top w:val="none" w:sz="0" w:space="0" w:color="auto"/>
        <w:left w:val="none" w:sz="0" w:space="0" w:color="auto"/>
        <w:bottom w:val="none" w:sz="0" w:space="0" w:color="auto"/>
        <w:right w:val="none" w:sz="0" w:space="0" w:color="auto"/>
      </w:divBdr>
    </w:div>
    <w:div w:id="1512798962">
      <w:bodyDiv w:val="1"/>
      <w:marLeft w:val="0"/>
      <w:marRight w:val="0"/>
      <w:marTop w:val="0"/>
      <w:marBottom w:val="0"/>
      <w:divBdr>
        <w:top w:val="none" w:sz="0" w:space="0" w:color="auto"/>
        <w:left w:val="none" w:sz="0" w:space="0" w:color="auto"/>
        <w:bottom w:val="none" w:sz="0" w:space="0" w:color="auto"/>
        <w:right w:val="none" w:sz="0" w:space="0" w:color="auto"/>
      </w:divBdr>
    </w:div>
    <w:div w:id="1686592940">
      <w:bodyDiv w:val="1"/>
      <w:marLeft w:val="0"/>
      <w:marRight w:val="0"/>
      <w:marTop w:val="0"/>
      <w:marBottom w:val="0"/>
      <w:divBdr>
        <w:top w:val="none" w:sz="0" w:space="0" w:color="auto"/>
        <w:left w:val="none" w:sz="0" w:space="0" w:color="auto"/>
        <w:bottom w:val="none" w:sz="0" w:space="0" w:color="auto"/>
        <w:right w:val="none" w:sz="0" w:space="0" w:color="auto"/>
      </w:divBdr>
    </w:div>
    <w:div w:id="192914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hyperlink" Target="https://www.aer.gov.au/system/files/AER%20-%20Final%20decision%20TransGrid%20transmission%20determination%20-%20Attachment%207%20-%20operating%20expenditure%20-%20April%202015.pdf" TargetMode="External"/><Relationship Id="rId3" Type="http://schemas.openxmlformats.org/officeDocument/2006/relationships/styles" Target="styles.xml"/><Relationship Id="rId21" Type="http://schemas.openxmlformats.org/officeDocument/2006/relationships/hyperlink" Target="https://www.aer.gov.au/system/files/Economic%20Insights%20-%20Economic%20benchmarking%20assessment%20of%20operating%20expenditure%20for%20NSW%20and%20Tasmanian%20electricity%20TNSPs%20-%20November%202014_0.pdf"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hyperlink" Target="https://www.aer.gov.au/system/files/AER%20-%20Draft%20decision%20TransGrid%20transmission%20determination%20-%20Attachment%207%20-%20Operating%20expenditure%20%20-%20November%202014.pdf" TargetMode="External"/><Relationship Id="rId33" Type="http://schemas.openxmlformats.org/officeDocument/2006/relationships/image" Target="media/image17.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https://www.accc.gov.au/system/files/Regulatory%20practices%20in%20other%20countries%20-%20Benchmarking%20opex%20and%20capex%20in%20energy%20networks.pdf" TargetMode="External"/><Relationship Id="rId32" Type="http://schemas.openxmlformats.org/officeDocument/2006/relationships/image" Target="media/image16.emf"/><Relationship Id="rId37" Type="http://schemas.openxmlformats.org/officeDocument/2006/relationships/fontTable" Target="fontTable.xml"/><Relationship Id="rId40"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hyperlink" Target="https://www.accc.gov.au/system/files/Working%20paper%20no.%206%20%20-%20Benchmarking%20energy%20networks.pdf" TargetMode="External"/><Relationship Id="rId28" Type="http://schemas.openxmlformats.org/officeDocument/2006/relationships/image" Target="media/image12.emf"/><Relationship Id="rId36" Type="http://schemas.openxmlformats.org/officeDocument/2006/relationships/footer" Target="footer3.xml"/><Relationship Id="rId10" Type="http://schemas.openxmlformats.org/officeDocument/2006/relationships/hyperlink" Target="mailto:AERInquiry@aer.gov.au" TargetMode="External"/><Relationship Id="rId19" Type="http://schemas.openxmlformats.org/officeDocument/2006/relationships/image" Target="media/image10.emf"/><Relationship Id="rId31" Type="http://schemas.openxmlformats.org/officeDocument/2006/relationships/image" Target="media/image15.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hyperlink" Target="https://www.aer.gov.au/system/files/Economic%20Insights%20-%20AER%20Response%20to%20HoustonKemp%20for%20TransGrid%20determination%20-%204%20March%202015.PDF" TargetMode="External"/><Relationship Id="rId27" Type="http://schemas.openxmlformats.org/officeDocument/2006/relationships/hyperlink" Target="https://www.aer.gov.au/system/files/AER%20-%20Draft%20decision%20TasNetworks%20transmission%20determination%20-%20Attachment%207-%20Operating%20Expenditure%20-%20November%202014.pdf" TargetMode="External"/><Relationship Id="rId30" Type="http://schemas.openxmlformats.org/officeDocument/2006/relationships/image" Target="media/image14.emf"/><Relationship Id="rId35" Type="http://schemas.openxmlformats.org/officeDocument/2006/relationships/footer" Target="foot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5D571-FC93-4CCE-A694-82B487632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BFDB8519</Template>
  <TotalTime>0</TotalTime>
  <Pages>33</Pages>
  <Words>6255</Words>
  <Characters>35654</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2015-11-26T02:05:00Z</dcterms:created>
  <dcterms:modified xsi:type="dcterms:W3CDTF">2015-11-27T04:27:00Z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8586193</vt:lpwstr>
  </property>
  <property fmtid="{D5CDD505-2E9C-101B-9397-08002B2CF9AE}" pid="3" name="currfile">
    <vt:lpwstr>\\cdchnas-evs02\home$\anley\final 2015 tnsp benchmarking report for release (D2015-00178469).docx</vt:lpwstr>
  </property>
</Properties>
</file>