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FC" w:rsidRPr="00A25A3C" w:rsidRDefault="006E08F4" w:rsidP="007749FC">
      <w:pPr>
        <w:pStyle w:val="HeadingOrange"/>
        <w:numPr>
          <w:ilvl w:val="0"/>
          <w:numId w:val="9"/>
        </w:numPr>
        <w:rPr>
          <w:rFonts w:ascii="Arial" w:hAnsi="Arial" w:cs="Arial"/>
        </w:rPr>
      </w:pPr>
      <w:r w:rsidRPr="00A25A3C">
        <w:rPr>
          <w:rFonts w:ascii="Arial" w:hAnsi="Arial" w:cs="Arial"/>
          <w:noProof/>
          <w:lang w:eastAsia="en-AU"/>
        </w:rPr>
        <w:drawing>
          <wp:anchor distT="0" distB="0" distL="114300" distR="114300" simplePos="0" relativeHeight="251661312" behindDoc="1" locked="0" layoutInCell="1" allowOverlap="1" wp14:anchorId="405CA509" wp14:editId="3D34259C">
            <wp:simplePos x="0" y="0"/>
            <wp:positionH relativeFrom="column">
              <wp:posOffset>-928619</wp:posOffset>
            </wp:positionH>
            <wp:positionV relativeFrom="paragraph">
              <wp:posOffset>-944825</wp:posOffset>
            </wp:positionV>
            <wp:extent cx="7601447" cy="10795832"/>
            <wp:effectExtent l="0" t="0" r="0" b="0"/>
            <wp:wrapNone/>
            <wp:docPr id="8" name="Picture 8"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447" cy="10795832"/>
                    </a:xfrm>
                    <a:prstGeom prst="rect">
                      <a:avLst/>
                    </a:prstGeom>
                    <a:noFill/>
                    <a:ln>
                      <a:noFill/>
                    </a:ln>
                  </pic:spPr>
                </pic:pic>
              </a:graphicData>
            </a:graphic>
            <wp14:sizeRelH relativeFrom="page">
              <wp14:pctWidth>0</wp14:pctWidth>
            </wp14:sizeRelH>
            <wp14:sizeRelV relativeFrom="page">
              <wp14:pctHeight>0</wp14:pctHeight>
            </wp14:sizeRelV>
          </wp:anchor>
        </w:drawing>
      </w:r>
      <w:r w:rsidR="007749FC" w:rsidRPr="00A25A3C">
        <w:rPr>
          <w:rFonts w:ascii="Arial" w:hAnsi="Arial" w:cs="Arial"/>
          <w:noProof/>
          <w:lang w:eastAsia="en-AU"/>
        </w:rPr>
        <w:drawing>
          <wp:anchor distT="0" distB="0" distL="114300" distR="114300" simplePos="0" relativeHeight="251659264" behindDoc="1" locked="0" layoutInCell="1" allowOverlap="1" wp14:anchorId="14939543" wp14:editId="7CD1D8A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7749FC" w:rsidRPr="00A25A3C" w:rsidRDefault="007749FC" w:rsidP="007749FC">
      <w:pPr>
        <w:pStyle w:val="AERtitle1"/>
        <w:rPr>
          <w:rFonts w:ascii="Arial" w:hAnsi="Arial" w:cs="Arial"/>
        </w:rPr>
      </w:pPr>
    </w:p>
    <w:p w:rsidR="007749FC" w:rsidRPr="00A25A3C" w:rsidRDefault="007749FC" w:rsidP="007749FC">
      <w:pPr>
        <w:pStyle w:val="AERtitle1"/>
        <w:rPr>
          <w:rFonts w:ascii="Arial" w:hAnsi="Arial" w:cs="Arial"/>
        </w:rPr>
      </w:pPr>
    </w:p>
    <w:p w:rsidR="007749FC" w:rsidRPr="00A25A3C" w:rsidRDefault="007749FC" w:rsidP="007749FC">
      <w:pPr>
        <w:pStyle w:val="AERtitle1"/>
        <w:rPr>
          <w:rFonts w:ascii="Arial" w:hAnsi="Arial" w:cs="Arial"/>
        </w:rPr>
      </w:pPr>
    </w:p>
    <w:p w:rsidR="007749FC" w:rsidRPr="00A25A3C" w:rsidRDefault="007749FC" w:rsidP="007749FC">
      <w:pPr>
        <w:pStyle w:val="AERtitle1"/>
        <w:rPr>
          <w:rFonts w:ascii="Arial" w:hAnsi="Arial" w:cs="Arial"/>
        </w:rPr>
      </w:pPr>
    </w:p>
    <w:p w:rsidR="007749FC" w:rsidRPr="00A25A3C" w:rsidRDefault="006E08F4" w:rsidP="007749FC">
      <w:pPr>
        <w:pStyle w:val="AERtitle2"/>
        <w:rPr>
          <w:rFonts w:ascii="Arial" w:hAnsi="Arial" w:cs="Arial"/>
        </w:rPr>
      </w:pPr>
      <w:r w:rsidRPr="00A25A3C">
        <w:rPr>
          <w:rFonts w:ascii="Arial" w:hAnsi="Arial" w:cs="Arial"/>
        </w:rPr>
        <w:t>Final decision</w:t>
      </w:r>
    </w:p>
    <w:p w:rsidR="007749FC" w:rsidRPr="00A25A3C" w:rsidRDefault="007749FC" w:rsidP="007749FC">
      <w:pPr>
        <w:pStyle w:val="AERtitle1"/>
        <w:rPr>
          <w:rFonts w:ascii="Arial" w:hAnsi="Arial" w:cs="Arial"/>
          <w:sz w:val="32"/>
          <w:szCs w:val="32"/>
        </w:rPr>
      </w:pPr>
    </w:p>
    <w:p w:rsidR="006E08F4" w:rsidRPr="00A25A3C" w:rsidRDefault="006E08F4" w:rsidP="007749FC">
      <w:pPr>
        <w:pStyle w:val="AERtitle1"/>
        <w:rPr>
          <w:rFonts w:ascii="Arial" w:hAnsi="Arial" w:cs="Arial"/>
          <w:sz w:val="32"/>
          <w:szCs w:val="32"/>
        </w:rPr>
      </w:pPr>
    </w:p>
    <w:p w:rsidR="007749FC" w:rsidRPr="00A25A3C" w:rsidRDefault="006E08F4" w:rsidP="007749FC">
      <w:pPr>
        <w:pStyle w:val="AERtitle1"/>
        <w:rPr>
          <w:rFonts w:ascii="Arial" w:hAnsi="Arial" w:cs="Arial"/>
        </w:rPr>
      </w:pPr>
      <w:r w:rsidRPr="00A25A3C">
        <w:rPr>
          <w:rFonts w:ascii="Arial" w:hAnsi="Arial" w:cs="Arial"/>
        </w:rPr>
        <w:t>Amendment</w:t>
      </w:r>
    </w:p>
    <w:p w:rsidR="007749FC" w:rsidRPr="00A25A3C" w:rsidRDefault="007749FC" w:rsidP="007749FC">
      <w:pPr>
        <w:pStyle w:val="AERtitle1"/>
        <w:rPr>
          <w:rFonts w:ascii="Arial" w:hAnsi="Arial" w:cs="Arial"/>
        </w:rPr>
      </w:pPr>
      <w:r w:rsidRPr="00A25A3C">
        <w:rPr>
          <w:rFonts w:ascii="Arial" w:hAnsi="Arial" w:cs="Arial"/>
        </w:rPr>
        <w:t xml:space="preserve">Electricity transmission network service providers </w:t>
      </w:r>
    </w:p>
    <w:p w:rsidR="007749FC" w:rsidRPr="00A25A3C" w:rsidRDefault="007749FC" w:rsidP="007749FC">
      <w:pPr>
        <w:pStyle w:val="AERtitle1"/>
        <w:rPr>
          <w:rFonts w:ascii="Arial" w:hAnsi="Arial" w:cs="Arial"/>
        </w:rPr>
      </w:pPr>
      <w:r w:rsidRPr="00A25A3C">
        <w:rPr>
          <w:rFonts w:ascii="Arial" w:hAnsi="Arial" w:cs="Arial"/>
        </w:rPr>
        <w:t>Post-tax revenue model handbook</w:t>
      </w:r>
    </w:p>
    <w:p w:rsidR="007749FC" w:rsidRPr="00A25A3C" w:rsidRDefault="007749FC" w:rsidP="007749FC">
      <w:pPr>
        <w:rPr>
          <w:rFonts w:ascii="Arial" w:hAnsi="Arial" w:cs="Arial"/>
        </w:rPr>
      </w:pPr>
    </w:p>
    <w:p w:rsidR="007749FC" w:rsidRPr="00A25A3C" w:rsidRDefault="007749FC" w:rsidP="007749FC">
      <w:pPr>
        <w:rPr>
          <w:rFonts w:ascii="Arial" w:hAnsi="Arial" w:cs="Arial"/>
        </w:rPr>
      </w:pPr>
    </w:p>
    <w:p w:rsidR="007749FC" w:rsidRPr="00A25A3C" w:rsidRDefault="007749FC" w:rsidP="007749FC">
      <w:pPr>
        <w:rPr>
          <w:rFonts w:ascii="Arial" w:hAnsi="Arial" w:cs="Arial"/>
        </w:rPr>
      </w:pPr>
    </w:p>
    <w:p w:rsidR="006E08F4" w:rsidRPr="00A25A3C" w:rsidRDefault="0074030B" w:rsidP="006E08F4">
      <w:pPr>
        <w:pStyle w:val="AERtitle2"/>
        <w:rPr>
          <w:rFonts w:ascii="Arial" w:hAnsi="Arial" w:cs="Arial"/>
        </w:rPr>
      </w:pPr>
      <w:r>
        <w:rPr>
          <w:rFonts w:ascii="Arial" w:hAnsi="Arial" w:cs="Arial"/>
        </w:rPr>
        <w:t>29</w:t>
      </w:r>
      <w:r w:rsidR="006E08F4" w:rsidRPr="00A25A3C">
        <w:rPr>
          <w:rFonts w:ascii="Arial" w:hAnsi="Arial" w:cs="Arial"/>
        </w:rPr>
        <w:t xml:space="preserve"> January 2015</w:t>
      </w:r>
    </w:p>
    <w:p w:rsidR="007749FC" w:rsidRPr="00A25A3C" w:rsidRDefault="007749FC" w:rsidP="007749FC">
      <w:pPr>
        <w:rPr>
          <w:rFonts w:ascii="Arial" w:hAnsi="Arial" w:cs="Arial"/>
        </w:rPr>
      </w:pPr>
      <w:r w:rsidRPr="00A25A3C">
        <w:rPr>
          <w:rFonts w:ascii="Arial" w:hAnsi="Arial" w:cs="Arial"/>
        </w:rPr>
        <w:t xml:space="preserve"> </w:t>
      </w:r>
    </w:p>
    <w:p w:rsidR="007749FC" w:rsidRPr="00A25A3C" w:rsidRDefault="007749FC" w:rsidP="007749FC">
      <w:pPr>
        <w:rPr>
          <w:rStyle w:val="AERtextbold"/>
          <w:rFonts w:ascii="Arial" w:hAnsi="Arial" w:cs="Arial"/>
        </w:rPr>
      </w:pPr>
      <w:r w:rsidRPr="00A25A3C">
        <w:rPr>
          <w:rStyle w:val="AERtextbold"/>
          <w:rFonts w:ascii="Arial" w:hAnsi="Arial" w:cs="Arial"/>
        </w:rPr>
        <w:br w:type="page"/>
      </w:r>
    </w:p>
    <w:p w:rsidR="007749FC" w:rsidRPr="00A25A3C" w:rsidRDefault="00FE39F5" w:rsidP="007749FC">
      <w:pPr>
        <w:rPr>
          <w:rFonts w:ascii="Arial" w:hAnsi="Arial" w:cs="Arial"/>
        </w:rPr>
      </w:pPr>
      <w:r w:rsidRPr="00A25A3C">
        <w:rPr>
          <w:rFonts w:ascii="Arial" w:hAnsi="Arial" w:cs="Arial"/>
        </w:rPr>
        <w:lastRenderedPageBreak/>
        <w:t>© Commonwealth of Australia 2015</w:t>
      </w:r>
    </w:p>
    <w:p w:rsidR="007749FC" w:rsidRPr="00A25A3C" w:rsidRDefault="007749FC" w:rsidP="007749FC">
      <w:pPr>
        <w:rPr>
          <w:rFonts w:ascii="Arial" w:hAnsi="Arial" w:cs="Arial"/>
        </w:rPr>
      </w:pPr>
      <w:r w:rsidRPr="00A25A3C">
        <w:rPr>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7749FC" w:rsidRPr="00A25A3C" w:rsidRDefault="007749FC" w:rsidP="00721209">
      <w:pPr>
        <w:pStyle w:val="AERbulletlistfirststyle"/>
        <w:tabs>
          <w:tab w:val="clear" w:pos="357"/>
          <w:tab w:val="left" w:pos="426"/>
        </w:tabs>
        <w:ind w:left="426" w:hanging="426"/>
        <w:rPr>
          <w:rStyle w:val="AERbody"/>
          <w:rFonts w:ascii="Arial" w:hAnsi="Arial" w:cs="Arial"/>
        </w:rPr>
      </w:pPr>
      <w:r w:rsidRPr="00A25A3C">
        <w:rPr>
          <w:rStyle w:val="AERbody"/>
          <w:rFonts w:ascii="Arial" w:hAnsi="Arial" w:cs="Arial"/>
        </w:rPr>
        <w:t>the Commonwealth Coat of Arms</w:t>
      </w:r>
    </w:p>
    <w:p w:rsidR="007749FC" w:rsidRPr="00A25A3C" w:rsidRDefault="007749FC" w:rsidP="00721209">
      <w:pPr>
        <w:pStyle w:val="AERbulletlistfirststyle"/>
        <w:tabs>
          <w:tab w:val="clear" w:pos="357"/>
          <w:tab w:val="left" w:pos="426"/>
        </w:tabs>
        <w:ind w:left="426" w:hanging="426"/>
        <w:rPr>
          <w:rStyle w:val="AERbody"/>
          <w:rFonts w:ascii="Arial" w:hAnsi="Arial" w:cs="Arial"/>
        </w:rPr>
      </w:pPr>
      <w:r w:rsidRPr="00A25A3C">
        <w:rPr>
          <w:rStyle w:val="AERbody"/>
          <w:rFonts w:ascii="Arial" w:hAnsi="Arial" w:cs="Arial"/>
        </w:rPr>
        <w:t>the ACCC and AER logos</w:t>
      </w:r>
    </w:p>
    <w:p w:rsidR="007749FC" w:rsidRPr="00A25A3C" w:rsidRDefault="007749FC" w:rsidP="00721209">
      <w:pPr>
        <w:pStyle w:val="AERbulletlistfirststyle"/>
        <w:tabs>
          <w:tab w:val="clear" w:pos="357"/>
          <w:tab w:val="left" w:pos="426"/>
        </w:tabs>
        <w:ind w:left="426" w:hanging="426"/>
        <w:rPr>
          <w:rStyle w:val="AERbody"/>
          <w:rFonts w:ascii="Arial" w:hAnsi="Arial" w:cs="Arial"/>
        </w:rPr>
      </w:pPr>
      <w:r w:rsidRPr="00A25A3C">
        <w:rPr>
          <w:rStyle w:val="AERbody"/>
          <w:rFonts w:ascii="Arial" w:hAnsi="Arial" w:cs="Arial"/>
        </w:rPr>
        <w:t>any illustration, diagram, photograph or graphic over which the Australian Competition and Consumer Commission does not hold copyright, but which may be part of or contained within this publication.</w:t>
      </w:r>
    </w:p>
    <w:p w:rsidR="007749FC" w:rsidRPr="00A25A3C" w:rsidRDefault="007749FC" w:rsidP="007749FC">
      <w:pPr>
        <w:rPr>
          <w:rFonts w:ascii="Arial" w:hAnsi="Arial" w:cs="Arial"/>
        </w:rPr>
      </w:pPr>
      <w:r w:rsidRPr="00A25A3C">
        <w:rPr>
          <w:rFonts w:ascii="Arial" w:hAnsi="Arial" w:cs="Arial"/>
        </w:rPr>
        <w:t>The details of the relevant licence conditions are available on the Creative Commons website, as is the full legal code for the CC BY 3.0 AU licence.</w:t>
      </w:r>
    </w:p>
    <w:p w:rsidR="007749FC" w:rsidRPr="00A25A3C" w:rsidRDefault="007749FC" w:rsidP="007749FC">
      <w:pPr>
        <w:rPr>
          <w:rFonts w:ascii="Arial" w:hAnsi="Arial" w:cs="Arial"/>
        </w:rPr>
      </w:pPr>
      <w:r w:rsidRPr="00A25A3C">
        <w:rPr>
          <w:rFonts w:ascii="Arial" w:hAnsi="Arial" w:cs="Arial"/>
        </w:rPr>
        <w:t xml:space="preserve">Requests and inquiries concerning reproduction and rights should be addressed to the Director, Corporate Communications, ACCC, GPO Box 3131, Canberra ACT 2601, or </w:t>
      </w:r>
      <w:hyperlink r:id="rId10" w:history="1">
        <w:r w:rsidRPr="00A25A3C">
          <w:rPr>
            <w:rStyle w:val="Hyperlink"/>
            <w:rFonts w:ascii="Arial" w:hAnsi="Arial" w:cs="Arial"/>
          </w:rPr>
          <w:t>publishing.unit@accc.gov.au</w:t>
        </w:r>
      </w:hyperlink>
      <w:r w:rsidRPr="00A25A3C">
        <w:rPr>
          <w:rFonts w:ascii="Arial" w:hAnsi="Arial" w:cs="Arial"/>
        </w:rPr>
        <w:t>.</w:t>
      </w:r>
    </w:p>
    <w:p w:rsidR="007749FC" w:rsidRPr="00A25A3C" w:rsidRDefault="007749FC" w:rsidP="007749FC">
      <w:pPr>
        <w:pStyle w:val="AERbodytext"/>
        <w:numPr>
          <w:ilvl w:val="0"/>
          <w:numId w:val="9"/>
        </w:numPr>
        <w:rPr>
          <w:rFonts w:ascii="Arial" w:hAnsi="Arial" w:cs="Arial"/>
        </w:rPr>
      </w:pPr>
      <w:r w:rsidRPr="00A25A3C">
        <w:rPr>
          <w:rFonts w:ascii="Arial" w:hAnsi="Arial" w:cs="Arial"/>
        </w:rPr>
        <w:t>Inquiries about this decision should be addressed to:</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Australian Energy Regulator</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GPO Box 520</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Melbourne Vic 3001</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Tel: (03) 9290 1444</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Fax: (03) 9290 1457</w:t>
      </w:r>
    </w:p>
    <w:p w:rsidR="007749FC" w:rsidRPr="00A25A3C" w:rsidRDefault="007749FC" w:rsidP="007749FC">
      <w:pPr>
        <w:pStyle w:val="AERbodytextnospaceleftalign"/>
        <w:rPr>
          <w:rStyle w:val="AERbody"/>
          <w:rFonts w:ascii="Arial" w:hAnsi="Arial" w:cs="Arial"/>
        </w:rPr>
      </w:pPr>
      <w:r w:rsidRPr="00A25A3C">
        <w:rPr>
          <w:rStyle w:val="AERbody"/>
          <w:rFonts w:ascii="Arial" w:hAnsi="Arial" w:cs="Arial"/>
        </w:rPr>
        <w:t xml:space="preserve">Email: </w:t>
      </w:r>
      <w:hyperlink r:id="rId11" w:history="1">
        <w:r w:rsidRPr="00A25A3C">
          <w:rPr>
            <w:rStyle w:val="Hyperlink"/>
            <w:rFonts w:ascii="Arial" w:hAnsi="Arial" w:cs="Arial"/>
          </w:rPr>
          <w:t>AERInquiry@aer.gov.au</w:t>
        </w:r>
      </w:hyperlink>
    </w:p>
    <w:p w:rsidR="007749FC" w:rsidRPr="00A25A3C" w:rsidRDefault="007749FC" w:rsidP="007749FC">
      <w:pPr>
        <w:rPr>
          <w:rFonts w:ascii="Arial" w:hAnsi="Arial" w:cs="Arial"/>
        </w:rPr>
      </w:pPr>
    </w:p>
    <w:p w:rsidR="007749FC" w:rsidRPr="00A25A3C" w:rsidRDefault="007749FC" w:rsidP="007749FC">
      <w:pPr>
        <w:pStyle w:val="AERbodytext"/>
        <w:numPr>
          <w:ilvl w:val="0"/>
          <w:numId w:val="9"/>
        </w:numPr>
        <w:rPr>
          <w:rFonts w:ascii="Arial" w:hAnsi="Arial" w:cs="Arial"/>
        </w:rPr>
      </w:pPr>
      <w:r w:rsidRPr="00A25A3C">
        <w:rPr>
          <w:rFonts w:ascii="Arial" w:hAnsi="Arial" w:cs="Arial"/>
        </w:rPr>
        <w:t>AER reference</w:t>
      </w:r>
      <w:r w:rsidR="006E08F4" w:rsidRPr="00A25A3C">
        <w:rPr>
          <w:rFonts w:ascii="Arial" w:hAnsi="Arial" w:cs="Arial"/>
        </w:rPr>
        <w:t>: 55444</w:t>
      </w:r>
    </w:p>
    <w:p w:rsidR="007749FC" w:rsidRPr="00A25A3C" w:rsidRDefault="007749FC" w:rsidP="007749FC">
      <w:pPr>
        <w:pStyle w:val="AERbodytextnospace"/>
        <w:numPr>
          <w:ilvl w:val="0"/>
          <w:numId w:val="9"/>
        </w:numPr>
        <w:rPr>
          <w:rStyle w:val="AERtextbold"/>
          <w:rFonts w:ascii="Arial" w:hAnsi="Arial" w:cs="Arial"/>
        </w:rPr>
      </w:pPr>
      <w:r w:rsidRPr="00A25A3C">
        <w:rPr>
          <w:rStyle w:val="AERtextbold"/>
          <w:rFonts w:ascii="Arial" w:hAnsi="Arial" w:cs="Arial"/>
        </w:rPr>
        <w:t xml:space="preserve">Amendment record </w:t>
      </w:r>
    </w:p>
    <w:tbl>
      <w:tblPr>
        <w:tblStyle w:val="AERtable-text"/>
        <w:tblW w:w="5000" w:type="pct"/>
        <w:tblLook w:val="01E0" w:firstRow="1" w:lastRow="1" w:firstColumn="1" w:lastColumn="1" w:noHBand="0" w:noVBand="0"/>
      </w:tblPr>
      <w:tblGrid>
        <w:gridCol w:w="2310"/>
        <w:gridCol w:w="2310"/>
        <w:gridCol w:w="2311"/>
        <w:gridCol w:w="2311"/>
      </w:tblGrid>
      <w:tr w:rsidR="007749FC" w:rsidRPr="00A25A3C" w:rsidTr="006E08F4">
        <w:trPr>
          <w:cnfStyle w:val="100000000000" w:firstRow="1" w:lastRow="0" w:firstColumn="0" w:lastColumn="0" w:oddVBand="0" w:evenVBand="0" w:oddHBand="0" w:evenHBand="0" w:firstRowFirstColumn="0" w:firstRowLastColumn="0" w:lastRowFirstColumn="0" w:lastRowLastColumn="0"/>
        </w:trPr>
        <w:tc>
          <w:tcPr>
            <w:tcW w:w="1250" w:type="pct"/>
          </w:tcPr>
          <w:p w:rsidR="007749FC" w:rsidRPr="00A25A3C" w:rsidRDefault="007749FC" w:rsidP="007749FC">
            <w:pPr>
              <w:pStyle w:val="AERtabletextleft"/>
              <w:rPr>
                <w:rFonts w:ascii="Arial" w:hAnsi="Arial" w:cs="Arial"/>
              </w:rPr>
            </w:pPr>
            <w:r w:rsidRPr="00A25A3C">
              <w:rPr>
                <w:rFonts w:ascii="Arial" w:hAnsi="Arial" w:cs="Arial"/>
              </w:rPr>
              <w:t>Handbook version</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Model version</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Date</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Pages</w:t>
            </w:r>
          </w:p>
        </w:tc>
      </w:tr>
      <w:tr w:rsidR="007749FC" w:rsidRPr="00A25A3C" w:rsidTr="006E08F4">
        <w:tc>
          <w:tcPr>
            <w:tcW w:w="1250" w:type="pct"/>
          </w:tcPr>
          <w:p w:rsidR="007749FC" w:rsidRPr="00A25A3C" w:rsidRDefault="007749FC" w:rsidP="007749FC">
            <w:pPr>
              <w:pStyle w:val="AERtabletextleft"/>
              <w:rPr>
                <w:rFonts w:ascii="Arial" w:hAnsi="Arial" w:cs="Arial"/>
              </w:rPr>
            </w:pPr>
            <w:r w:rsidRPr="00A25A3C">
              <w:rPr>
                <w:rFonts w:ascii="Arial" w:hAnsi="Arial" w:cs="Arial"/>
              </w:rPr>
              <w:t>1</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1</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September 2007</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24</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tcW w:w="1250" w:type="pct"/>
          </w:tcPr>
          <w:p w:rsidR="007749FC" w:rsidRPr="00A25A3C" w:rsidRDefault="007749FC" w:rsidP="007749FC">
            <w:pPr>
              <w:pStyle w:val="AERtabletextleft"/>
              <w:rPr>
                <w:rFonts w:ascii="Arial" w:hAnsi="Arial" w:cs="Arial"/>
              </w:rPr>
            </w:pPr>
            <w:r w:rsidRPr="00A25A3C">
              <w:rPr>
                <w:rFonts w:ascii="Arial" w:hAnsi="Arial" w:cs="Arial"/>
              </w:rPr>
              <w:t>2</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2</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December 2010</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29</w:t>
            </w:r>
          </w:p>
        </w:tc>
      </w:tr>
      <w:tr w:rsidR="007749FC" w:rsidRPr="00A25A3C" w:rsidTr="006E08F4">
        <w:tc>
          <w:tcPr>
            <w:tcW w:w="1250" w:type="pct"/>
          </w:tcPr>
          <w:p w:rsidR="007749FC" w:rsidRPr="00A25A3C" w:rsidRDefault="007749FC" w:rsidP="007749FC">
            <w:pPr>
              <w:pStyle w:val="AERtabletextleft"/>
              <w:rPr>
                <w:rFonts w:ascii="Arial" w:hAnsi="Arial" w:cs="Arial"/>
              </w:rPr>
            </w:pPr>
            <w:r w:rsidRPr="00A25A3C">
              <w:rPr>
                <w:rFonts w:ascii="Arial" w:hAnsi="Arial" w:cs="Arial"/>
              </w:rPr>
              <w:t>3</w:t>
            </w:r>
          </w:p>
        </w:tc>
        <w:tc>
          <w:tcPr>
            <w:tcW w:w="1250" w:type="pct"/>
          </w:tcPr>
          <w:p w:rsidR="007749FC" w:rsidRPr="00A25A3C" w:rsidRDefault="007749FC" w:rsidP="007749FC">
            <w:pPr>
              <w:pStyle w:val="AERtabletextleft"/>
              <w:rPr>
                <w:rFonts w:ascii="Arial" w:hAnsi="Arial" w:cs="Arial"/>
              </w:rPr>
            </w:pPr>
            <w:r w:rsidRPr="00A25A3C">
              <w:rPr>
                <w:rFonts w:ascii="Arial" w:hAnsi="Arial" w:cs="Arial"/>
              </w:rPr>
              <w:t>3</w:t>
            </w:r>
          </w:p>
        </w:tc>
        <w:tc>
          <w:tcPr>
            <w:tcW w:w="1250" w:type="pct"/>
          </w:tcPr>
          <w:p w:rsidR="007749FC" w:rsidRPr="00A25A3C" w:rsidRDefault="008619AC" w:rsidP="007749FC">
            <w:pPr>
              <w:pStyle w:val="AERtabletextleft"/>
              <w:rPr>
                <w:rFonts w:ascii="Arial" w:hAnsi="Arial" w:cs="Arial"/>
              </w:rPr>
            </w:pPr>
            <w:r w:rsidRPr="00A25A3C">
              <w:rPr>
                <w:rFonts w:ascii="Arial" w:hAnsi="Arial" w:cs="Arial"/>
              </w:rPr>
              <w:t>January 2015</w:t>
            </w:r>
          </w:p>
        </w:tc>
        <w:tc>
          <w:tcPr>
            <w:tcW w:w="1250" w:type="pct"/>
          </w:tcPr>
          <w:p w:rsidR="007749FC" w:rsidRPr="00A25A3C" w:rsidRDefault="008619AC" w:rsidP="000B245F">
            <w:pPr>
              <w:pStyle w:val="AERtabletextleft"/>
              <w:rPr>
                <w:rStyle w:val="AERtexthighlight"/>
                <w:rFonts w:ascii="Arial" w:hAnsi="Arial" w:cs="Arial"/>
              </w:rPr>
            </w:pPr>
            <w:r w:rsidRPr="00A25A3C">
              <w:rPr>
                <w:rFonts w:ascii="Arial" w:hAnsi="Arial" w:cs="Arial"/>
              </w:rPr>
              <w:t>3</w:t>
            </w:r>
            <w:r w:rsidR="000B245F" w:rsidRPr="00A25A3C">
              <w:rPr>
                <w:rFonts w:ascii="Arial" w:hAnsi="Arial" w:cs="Arial"/>
              </w:rPr>
              <w:t>5</w:t>
            </w:r>
          </w:p>
        </w:tc>
      </w:tr>
    </w:tbl>
    <w:p w:rsidR="007749FC" w:rsidRPr="00A25A3C" w:rsidRDefault="007749FC" w:rsidP="007749FC">
      <w:pPr>
        <w:pStyle w:val="AERbodytext"/>
        <w:rPr>
          <w:rFonts w:ascii="Arial" w:hAnsi="Arial" w:cs="Arial"/>
        </w:rPr>
      </w:pPr>
    </w:p>
    <w:p w:rsidR="007749FC" w:rsidRPr="00A25A3C" w:rsidRDefault="007749FC" w:rsidP="007749FC">
      <w:pPr>
        <w:pStyle w:val="AERbodytext"/>
        <w:rPr>
          <w:rFonts w:ascii="Arial" w:hAnsi="Arial" w:cs="Arial"/>
        </w:rPr>
      </w:pPr>
    </w:p>
    <w:p w:rsidR="007749FC" w:rsidRPr="00A25A3C" w:rsidRDefault="007749FC" w:rsidP="007749FC">
      <w:pPr>
        <w:pStyle w:val="AERbodytext"/>
        <w:rPr>
          <w:rFonts w:ascii="Arial" w:hAnsi="Arial" w:cs="Arial"/>
        </w:rPr>
      </w:pPr>
    </w:p>
    <w:p w:rsidR="007749FC" w:rsidRPr="00A25A3C" w:rsidRDefault="007749FC" w:rsidP="007749FC">
      <w:pPr>
        <w:pStyle w:val="UnnumberedHeading"/>
        <w:rPr>
          <w:rFonts w:ascii="Arial" w:hAnsi="Arial" w:cs="Arial"/>
        </w:rPr>
      </w:pPr>
      <w:bookmarkStart w:id="0" w:name="_Toc406502762"/>
      <w:bookmarkStart w:id="1" w:name="_Toc410223745"/>
      <w:r w:rsidRPr="00A25A3C">
        <w:rPr>
          <w:rFonts w:ascii="Arial" w:hAnsi="Arial" w:cs="Arial"/>
        </w:rPr>
        <w:lastRenderedPageBreak/>
        <w:t>Contents</w:t>
      </w:r>
      <w:bookmarkEnd w:id="0"/>
      <w:bookmarkEnd w:id="1"/>
    </w:p>
    <w:sdt>
      <w:sdtPr>
        <w:rPr>
          <w:rFonts w:ascii="Gautami" w:hAnsi="Gautami" w:cs="Times New Roman"/>
          <w:b w:val="0"/>
          <w:bCs w:val="0"/>
          <w:noProof w:val="0"/>
        </w:rPr>
        <w:id w:val="1247461416"/>
        <w:docPartObj>
          <w:docPartGallery w:val="Table of Contents"/>
          <w:docPartUnique/>
        </w:docPartObj>
      </w:sdtPr>
      <w:sdtContent>
        <w:p w:rsidR="00D84F0A" w:rsidRPr="009B1CA4" w:rsidRDefault="007749FC" w:rsidP="009B1CA4">
          <w:pPr>
            <w:pStyle w:val="TOC1"/>
            <w:rPr>
              <w:rFonts w:asciiTheme="minorHAnsi" w:eastAsiaTheme="minorEastAsia" w:hAnsiTheme="minorHAnsi" w:cstheme="minorBidi"/>
              <w:sz w:val="22"/>
              <w:szCs w:val="22"/>
              <w:lang w:eastAsia="en-AU"/>
            </w:rPr>
          </w:pPr>
          <w:r w:rsidRPr="00A25A3C">
            <w:rPr>
              <w:rFonts w:eastAsia="Times New Roman"/>
              <w:color w:val="365F91"/>
              <w:sz w:val="28"/>
              <w:szCs w:val="28"/>
              <w:lang w:val="en-US"/>
            </w:rPr>
            <w:fldChar w:fldCharType="begin"/>
          </w:r>
          <w:r w:rsidRPr="00A25A3C">
            <w:instrText xml:space="preserve"> TOC \o "1-3" \h \z \u </w:instrText>
          </w:r>
          <w:r w:rsidRPr="00A25A3C">
            <w:rPr>
              <w:rFonts w:eastAsia="Times New Roman"/>
              <w:color w:val="365F91"/>
              <w:sz w:val="28"/>
              <w:szCs w:val="28"/>
              <w:lang w:val="en-US"/>
            </w:rPr>
            <w:fldChar w:fldCharType="separate"/>
          </w:r>
          <w:hyperlink w:anchor="_Toc410223745" w:history="1">
            <w:r w:rsidR="00D84F0A" w:rsidRPr="008F67AB">
              <w:rPr>
                <w:rStyle w:val="Hyperlink"/>
              </w:rPr>
              <w:t>Contents</w:t>
            </w:r>
            <w:r w:rsidR="00D84F0A" w:rsidRPr="009B1CA4">
              <w:rPr>
                <w:webHidden/>
              </w:rPr>
              <w:tab/>
            </w:r>
            <w:r w:rsidR="00D84F0A" w:rsidRPr="009B1CA4">
              <w:rPr>
                <w:webHidden/>
              </w:rPr>
              <w:fldChar w:fldCharType="begin"/>
            </w:r>
            <w:r w:rsidR="00D84F0A" w:rsidRPr="009B1CA4">
              <w:rPr>
                <w:webHidden/>
              </w:rPr>
              <w:instrText xml:space="preserve"> PAGEREF _Toc410223745 \h </w:instrText>
            </w:r>
            <w:r w:rsidR="00D84F0A" w:rsidRPr="009B1CA4">
              <w:rPr>
                <w:webHidden/>
              </w:rPr>
            </w:r>
            <w:r w:rsidR="00D84F0A" w:rsidRPr="009B1CA4">
              <w:rPr>
                <w:webHidden/>
              </w:rPr>
              <w:fldChar w:fldCharType="separate"/>
            </w:r>
            <w:r w:rsidR="00D84F0A" w:rsidRPr="009B1CA4">
              <w:rPr>
                <w:webHidden/>
              </w:rPr>
              <w:t>3</w:t>
            </w:r>
            <w:r w:rsidR="00D84F0A" w:rsidRPr="009B1CA4">
              <w:rPr>
                <w:webHidden/>
              </w:rPr>
              <w:fldChar w:fldCharType="end"/>
            </w:r>
          </w:hyperlink>
        </w:p>
        <w:p w:rsidR="00D84F0A" w:rsidRPr="009B1CA4" w:rsidRDefault="00236AA5" w:rsidP="009B1CA4">
          <w:pPr>
            <w:pStyle w:val="TOC1"/>
            <w:rPr>
              <w:rFonts w:asciiTheme="minorHAnsi" w:eastAsiaTheme="minorEastAsia" w:hAnsiTheme="minorHAnsi" w:cstheme="minorBidi"/>
              <w:sz w:val="22"/>
              <w:szCs w:val="22"/>
              <w:lang w:eastAsia="en-AU"/>
            </w:rPr>
          </w:pPr>
          <w:hyperlink w:anchor="_Toc410223746" w:history="1">
            <w:r w:rsidR="00D84F0A" w:rsidRPr="008F67AB">
              <w:rPr>
                <w:rStyle w:val="Hyperlink"/>
              </w:rPr>
              <w:t>Shortened forms</w:t>
            </w:r>
            <w:r w:rsidR="00D84F0A" w:rsidRPr="009B1CA4">
              <w:rPr>
                <w:webHidden/>
              </w:rPr>
              <w:tab/>
            </w:r>
            <w:r w:rsidR="00D84F0A" w:rsidRPr="009B1CA4">
              <w:rPr>
                <w:webHidden/>
              </w:rPr>
              <w:fldChar w:fldCharType="begin"/>
            </w:r>
            <w:r w:rsidR="00D84F0A" w:rsidRPr="009B1CA4">
              <w:rPr>
                <w:webHidden/>
              </w:rPr>
              <w:instrText xml:space="preserve"> PAGEREF _Toc410223746 \h </w:instrText>
            </w:r>
            <w:r w:rsidR="00D84F0A" w:rsidRPr="009B1CA4">
              <w:rPr>
                <w:webHidden/>
              </w:rPr>
            </w:r>
            <w:r w:rsidR="00D84F0A" w:rsidRPr="009B1CA4">
              <w:rPr>
                <w:webHidden/>
              </w:rPr>
              <w:fldChar w:fldCharType="separate"/>
            </w:r>
            <w:r w:rsidR="00D84F0A" w:rsidRPr="009B1CA4">
              <w:rPr>
                <w:webHidden/>
              </w:rPr>
              <w:t>5</w:t>
            </w:r>
            <w:r w:rsidR="00D84F0A" w:rsidRPr="009B1CA4">
              <w:rPr>
                <w:webHidden/>
              </w:rPr>
              <w:fldChar w:fldCharType="end"/>
            </w:r>
          </w:hyperlink>
        </w:p>
        <w:p w:rsidR="00D84F0A" w:rsidRPr="009B1CA4" w:rsidRDefault="00236AA5" w:rsidP="009B1CA4">
          <w:pPr>
            <w:pStyle w:val="TOC1"/>
            <w:rPr>
              <w:rFonts w:asciiTheme="minorHAnsi" w:eastAsiaTheme="minorEastAsia" w:hAnsiTheme="minorHAnsi" w:cstheme="minorBidi"/>
              <w:sz w:val="22"/>
              <w:szCs w:val="22"/>
              <w:lang w:eastAsia="en-AU"/>
            </w:rPr>
          </w:pPr>
          <w:hyperlink w:anchor="_Toc410223747" w:history="1">
            <w:r w:rsidR="00D84F0A" w:rsidRPr="009B1CA4">
              <w:rPr>
                <w:rStyle w:val="Hyperlink"/>
              </w:rPr>
              <w:t>1</w:t>
            </w:r>
            <w:r w:rsidR="00D84F0A" w:rsidRPr="009B1CA4">
              <w:rPr>
                <w:rFonts w:asciiTheme="minorHAnsi" w:eastAsiaTheme="minorEastAsia" w:hAnsiTheme="minorHAnsi" w:cstheme="minorBidi"/>
                <w:sz w:val="22"/>
                <w:szCs w:val="22"/>
                <w:lang w:eastAsia="en-AU"/>
              </w:rPr>
              <w:tab/>
            </w:r>
            <w:r w:rsidR="00D84F0A" w:rsidRPr="009B1CA4">
              <w:rPr>
                <w:rStyle w:val="Hyperlink"/>
              </w:rPr>
              <w:t>Nature and Authority</w:t>
            </w:r>
            <w:r w:rsidR="00D84F0A" w:rsidRPr="009B1CA4">
              <w:rPr>
                <w:webHidden/>
              </w:rPr>
              <w:tab/>
            </w:r>
            <w:r w:rsidR="00D84F0A" w:rsidRPr="009B1CA4">
              <w:rPr>
                <w:webHidden/>
              </w:rPr>
              <w:fldChar w:fldCharType="begin"/>
            </w:r>
            <w:r w:rsidR="00D84F0A" w:rsidRPr="009B1CA4">
              <w:rPr>
                <w:webHidden/>
              </w:rPr>
              <w:instrText xml:space="preserve"> PAGEREF _Toc410223747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48" w:history="1">
            <w:r w:rsidR="00D84F0A" w:rsidRPr="009B1CA4">
              <w:rPr>
                <w:rStyle w:val="Hyperlink"/>
              </w:rPr>
              <w:t>1.1</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Introduction</w:t>
            </w:r>
            <w:r w:rsidR="00D84F0A" w:rsidRPr="009B1CA4">
              <w:rPr>
                <w:webHidden/>
              </w:rPr>
              <w:tab/>
            </w:r>
            <w:r w:rsidR="00D84F0A" w:rsidRPr="009B1CA4">
              <w:rPr>
                <w:webHidden/>
              </w:rPr>
              <w:fldChar w:fldCharType="begin"/>
            </w:r>
            <w:r w:rsidR="00D84F0A" w:rsidRPr="009B1CA4">
              <w:rPr>
                <w:webHidden/>
              </w:rPr>
              <w:instrText xml:space="preserve"> PAGEREF _Toc410223748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49" w:history="1">
            <w:r w:rsidR="00D84F0A" w:rsidRPr="009B1CA4">
              <w:rPr>
                <w:rStyle w:val="Hyperlink"/>
              </w:rPr>
              <w:t>1.2</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Authority</w:t>
            </w:r>
            <w:r w:rsidR="00D84F0A" w:rsidRPr="009B1CA4">
              <w:rPr>
                <w:webHidden/>
              </w:rPr>
              <w:tab/>
            </w:r>
            <w:r w:rsidR="00D84F0A" w:rsidRPr="009B1CA4">
              <w:rPr>
                <w:webHidden/>
              </w:rPr>
              <w:fldChar w:fldCharType="begin"/>
            </w:r>
            <w:r w:rsidR="00D84F0A" w:rsidRPr="009B1CA4">
              <w:rPr>
                <w:webHidden/>
              </w:rPr>
              <w:instrText xml:space="preserve"> PAGEREF _Toc410223749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0" w:history="1">
            <w:r w:rsidR="00D84F0A" w:rsidRPr="009B1CA4">
              <w:rPr>
                <w:rStyle w:val="Hyperlink"/>
              </w:rPr>
              <w:t>1.3</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Role of the Model</w:t>
            </w:r>
            <w:r w:rsidR="00D84F0A" w:rsidRPr="009B1CA4">
              <w:rPr>
                <w:webHidden/>
              </w:rPr>
              <w:tab/>
            </w:r>
            <w:r w:rsidR="00D84F0A" w:rsidRPr="009B1CA4">
              <w:rPr>
                <w:webHidden/>
              </w:rPr>
              <w:fldChar w:fldCharType="begin"/>
            </w:r>
            <w:r w:rsidR="00D84F0A" w:rsidRPr="009B1CA4">
              <w:rPr>
                <w:webHidden/>
              </w:rPr>
              <w:instrText xml:space="preserve"> PAGEREF _Toc410223750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1" w:history="1">
            <w:r w:rsidR="00D84F0A" w:rsidRPr="009B1CA4">
              <w:rPr>
                <w:rStyle w:val="Hyperlink"/>
              </w:rPr>
              <w:t>1.4</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Confidentiality</w:t>
            </w:r>
            <w:r w:rsidR="00D84F0A" w:rsidRPr="009B1CA4">
              <w:rPr>
                <w:webHidden/>
              </w:rPr>
              <w:tab/>
            </w:r>
            <w:r w:rsidR="00D84F0A" w:rsidRPr="009B1CA4">
              <w:rPr>
                <w:webHidden/>
              </w:rPr>
              <w:fldChar w:fldCharType="begin"/>
            </w:r>
            <w:r w:rsidR="00D84F0A" w:rsidRPr="009B1CA4">
              <w:rPr>
                <w:webHidden/>
              </w:rPr>
              <w:instrText xml:space="preserve"> PAGEREF _Toc410223751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2" w:history="1">
            <w:r w:rsidR="00D84F0A" w:rsidRPr="009B1CA4">
              <w:rPr>
                <w:rStyle w:val="Hyperlink"/>
              </w:rPr>
              <w:t>1.5</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Process for revision</w:t>
            </w:r>
            <w:r w:rsidR="00D84F0A" w:rsidRPr="009B1CA4">
              <w:rPr>
                <w:webHidden/>
              </w:rPr>
              <w:tab/>
            </w:r>
            <w:r w:rsidR="00D84F0A" w:rsidRPr="009B1CA4">
              <w:rPr>
                <w:webHidden/>
              </w:rPr>
              <w:fldChar w:fldCharType="begin"/>
            </w:r>
            <w:r w:rsidR="00D84F0A" w:rsidRPr="009B1CA4">
              <w:rPr>
                <w:webHidden/>
              </w:rPr>
              <w:instrText xml:space="preserve"> PAGEREF _Toc410223752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3" w:history="1">
            <w:r w:rsidR="00D84F0A" w:rsidRPr="009B1CA4">
              <w:rPr>
                <w:rStyle w:val="Hyperlink"/>
              </w:rPr>
              <w:t>1.6</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Version history and effective date</w:t>
            </w:r>
            <w:r w:rsidR="00D84F0A" w:rsidRPr="009B1CA4">
              <w:rPr>
                <w:webHidden/>
              </w:rPr>
              <w:tab/>
            </w:r>
            <w:r w:rsidR="00D84F0A" w:rsidRPr="009B1CA4">
              <w:rPr>
                <w:webHidden/>
              </w:rPr>
              <w:fldChar w:fldCharType="begin"/>
            </w:r>
            <w:r w:rsidR="00D84F0A" w:rsidRPr="009B1CA4">
              <w:rPr>
                <w:webHidden/>
              </w:rPr>
              <w:instrText xml:space="preserve"> PAGEREF _Toc410223753 \h </w:instrText>
            </w:r>
            <w:r w:rsidR="00D84F0A" w:rsidRPr="009B1CA4">
              <w:rPr>
                <w:webHidden/>
              </w:rPr>
            </w:r>
            <w:r w:rsidR="00D84F0A" w:rsidRPr="009B1CA4">
              <w:rPr>
                <w:webHidden/>
              </w:rPr>
              <w:fldChar w:fldCharType="separate"/>
            </w:r>
            <w:r w:rsidR="00D84F0A" w:rsidRPr="009B1CA4">
              <w:rPr>
                <w:webHidden/>
              </w:rPr>
              <w:t>6</w:t>
            </w:r>
            <w:r w:rsidR="00D84F0A" w:rsidRPr="009B1CA4">
              <w:rPr>
                <w:webHidden/>
              </w:rPr>
              <w:fldChar w:fldCharType="end"/>
            </w:r>
          </w:hyperlink>
        </w:p>
        <w:p w:rsidR="00D84F0A" w:rsidRPr="009B1CA4" w:rsidRDefault="00236AA5" w:rsidP="009B1CA4">
          <w:pPr>
            <w:pStyle w:val="TOC1"/>
            <w:rPr>
              <w:rFonts w:asciiTheme="minorHAnsi" w:eastAsiaTheme="minorEastAsia" w:hAnsiTheme="minorHAnsi" w:cstheme="minorBidi"/>
              <w:sz w:val="22"/>
              <w:szCs w:val="22"/>
              <w:lang w:eastAsia="en-AU"/>
            </w:rPr>
          </w:pPr>
          <w:hyperlink w:anchor="_Toc410223754" w:history="1">
            <w:r w:rsidR="00D84F0A" w:rsidRPr="009B1CA4">
              <w:rPr>
                <w:rStyle w:val="Hyperlink"/>
              </w:rPr>
              <w:t>2</w:t>
            </w:r>
            <w:r w:rsidR="00D84F0A" w:rsidRPr="009B1CA4">
              <w:rPr>
                <w:rFonts w:asciiTheme="minorHAnsi" w:eastAsiaTheme="minorEastAsia" w:hAnsiTheme="minorHAnsi" w:cstheme="minorBidi"/>
                <w:sz w:val="22"/>
                <w:szCs w:val="22"/>
                <w:lang w:eastAsia="en-AU"/>
              </w:rPr>
              <w:tab/>
            </w:r>
            <w:r w:rsidR="00D84F0A" w:rsidRPr="009B1CA4">
              <w:rPr>
                <w:rStyle w:val="Hyperlink"/>
              </w:rPr>
              <w:t>The model</w:t>
            </w:r>
            <w:r w:rsidR="00D84F0A" w:rsidRPr="009B1CA4">
              <w:rPr>
                <w:webHidden/>
              </w:rPr>
              <w:tab/>
            </w:r>
            <w:r w:rsidR="00D84F0A" w:rsidRPr="009B1CA4">
              <w:rPr>
                <w:webHidden/>
              </w:rPr>
              <w:fldChar w:fldCharType="begin"/>
            </w:r>
            <w:r w:rsidR="00D84F0A" w:rsidRPr="009B1CA4">
              <w:rPr>
                <w:webHidden/>
              </w:rPr>
              <w:instrText xml:space="preserve"> PAGEREF _Toc410223754 \h </w:instrText>
            </w:r>
            <w:r w:rsidR="00D84F0A" w:rsidRPr="009B1CA4">
              <w:rPr>
                <w:webHidden/>
              </w:rPr>
            </w:r>
            <w:r w:rsidR="00D84F0A" w:rsidRPr="009B1CA4">
              <w:rPr>
                <w:webHidden/>
              </w:rPr>
              <w:fldChar w:fldCharType="separate"/>
            </w:r>
            <w:r w:rsidR="00D84F0A" w:rsidRPr="009B1CA4">
              <w:rPr>
                <w:webHidden/>
              </w:rPr>
              <w:t>7</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5" w:history="1">
            <w:r w:rsidR="00D84F0A" w:rsidRPr="009B1CA4">
              <w:rPr>
                <w:rStyle w:val="Hyperlink"/>
              </w:rPr>
              <w:t>2.1</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Overview of the PTRM</w:t>
            </w:r>
            <w:r w:rsidR="00D84F0A" w:rsidRPr="009B1CA4">
              <w:rPr>
                <w:webHidden/>
              </w:rPr>
              <w:tab/>
            </w:r>
            <w:r w:rsidR="00D84F0A" w:rsidRPr="009B1CA4">
              <w:rPr>
                <w:webHidden/>
              </w:rPr>
              <w:fldChar w:fldCharType="begin"/>
            </w:r>
            <w:r w:rsidR="00D84F0A" w:rsidRPr="009B1CA4">
              <w:rPr>
                <w:webHidden/>
              </w:rPr>
              <w:instrText xml:space="preserve"> PAGEREF _Toc410223755 \h </w:instrText>
            </w:r>
            <w:r w:rsidR="00D84F0A" w:rsidRPr="009B1CA4">
              <w:rPr>
                <w:webHidden/>
              </w:rPr>
            </w:r>
            <w:r w:rsidR="00D84F0A" w:rsidRPr="009B1CA4">
              <w:rPr>
                <w:webHidden/>
              </w:rPr>
              <w:fldChar w:fldCharType="separate"/>
            </w:r>
            <w:r w:rsidR="00D84F0A" w:rsidRPr="009B1CA4">
              <w:rPr>
                <w:webHidden/>
              </w:rPr>
              <w:t>7</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6" w:history="1">
            <w:r w:rsidR="00D84F0A" w:rsidRPr="009B1CA4">
              <w:rPr>
                <w:rStyle w:val="Hyperlink"/>
              </w:rPr>
              <w:t>2.2</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DMS input sheet</w:t>
            </w:r>
            <w:r w:rsidR="00D84F0A" w:rsidRPr="009B1CA4">
              <w:rPr>
                <w:webHidden/>
              </w:rPr>
              <w:tab/>
            </w:r>
            <w:r w:rsidR="00D84F0A" w:rsidRPr="009B1CA4">
              <w:rPr>
                <w:webHidden/>
              </w:rPr>
              <w:fldChar w:fldCharType="begin"/>
            </w:r>
            <w:r w:rsidR="00D84F0A" w:rsidRPr="009B1CA4">
              <w:rPr>
                <w:webHidden/>
              </w:rPr>
              <w:instrText xml:space="preserve"> PAGEREF _Toc410223756 \h </w:instrText>
            </w:r>
            <w:r w:rsidR="00D84F0A" w:rsidRPr="009B1CA4">
              <w:rPr>
                <w:webHidden/>
              </w:rPr>
            </w:r>
            <w:r w:rsidR="00D84F0A" w:rsidRPr="009B1CA4">
              <w:rPr>
                <w:webHidden/>
              </w:rPr>
              <w:fldChar w:fldCharType="separate"/>
            </w:r>
            <w:r w:rsidR="00D84F0A" w:rsidRPr="009B1CA4">
              <w:rPr>
                <w:webHidden/>
              </w:rPr>
              <w:t>8</w:t>
            </w:r>
            <w:r w:rsidR="00D84F0A" w:rsidRPr="009B1CA4">
              <w:rPr>
                <w:webHidden/>
              </w:rPr>
              <w:fldChar w:fldCharType="end"/>
            </w:r>
          </w:hyperlink>
        </w:p>
        <w:p w:rsidR="00D84F0A" w:rsidRPr="009B1CA4" w:rsidRDefault="00236AA5">
          <w:pPr>
            <w:pStyle w:val="TOC2"/>
            <w:rPr>
              <w:rFonts w:asciiTheme="minorHAnsi" w:eastAsiaTheme="minorEastAsia" w:hAnsiTheme="minorHAnsi" w:cstheme="minorBidi"/>
              <w:iCs w:val="0"/>
              <w:sz w:val="22"/>
              <w:szCs w:val="22"/>
              <w:lang w:eastAsia="en-AU"/>
            </w:rPr>
          </w:pPr>
          <w:hyperlink w:anchor="_Toc410223757" w:history="1">
            <w:r w:rsidR="00D84F0A" w:rsidRPr="009B1CA4">
              <w:rPr>
                <w:rStyle w:val="Hyperlink"/>
              </w:rPr>
              <w:t>2.3</w:t>
            </w:r>
            <w:r w:rsidR="00D84F0A" w:rsidRPr="009B1CA4">
              <w:rPr>
                <w:rFonts w:asciiTheme="minorHAnsi" w:eastAsiaTheme="minorEastAsia" w:hAnsiTheme="minorHAnsi" w:cstheme="minorBidi"/>
                <w:iCs w:val="0"/>
                <w:sz w:val="22"/>
                <w:szCs w:val="22"/>
                <w:lang w:eastAsia="en-AU"/>
              </w:rPr>
              <w:tab/>
            </w:r>
            <w:r w:rsidR="00D84F0A" w:rsidRPr="009B1CA4">
              <w:rPr>
                <w:rStyle w:val="Hyperlink"/>
              </w:rPr>
              <w:t>PTRM input sheet</w:t>
            </w:r>
            <w:r w:rsidR="00D84F0A" w:rsidRPr="009B1CA4">
              <w:rPr>
                <w:webHidden/>
              </w:rPr>
              <w:tab/>
            </w:r>
            <w:r w:rsidR="00D84F0A" w:rsidRPr="009B1CA4">
              <w:rPr>
                <w:webHidden/>
              </w:rPr>
              <w:fldChar w:fldCharType="begin"/>
            </w:r>
            <w:r w:rsidR="00D84F0A" w:rsidRPr="009B1CA4">
              <w:rPr>
                <w:webHidden/>
              </w:rPr>
              <w:instrText xml:space="preserve"> PAGEREF _Toc410223757 \h </w:instrText>
            </w:r>
            <w:r w:rsidR="00D84F0A" w:rsidRPr="009B1CA4">
              <w:rPr>
                <w:webHidden/>
              </w:rPr>
            </w:r>
            <w:r w:rsidR="00D84F0A" w:rsidRPr="009B1CA4">
              <w:rPr>
                <w:webHidden/>
              </w:rPr>
              <w:fldChar w:fldCharType="separate"/>
            </w:r>
            <w:r w:rsidR="00D84F0A" w:rsidRPr="009B1CA4">
              <w:rPr>
                <w:webHidden/>
              </w:rPr>
              <w:t>9</w:t>
            </w:r>
            <w:r w:rsidR="00D84F0A" w:rsidRPr="009B1CA4">
              <w:rPr>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58" w:history="1">
            <w:r w:rsidR="00D84F0A" w:rsidRPr="009B1CA4">
              <w:rPr>
                <w:rStyle w:val="Hyperlink"/>
                <w:b w:val="0"/>
              </w:rPr>
              <w:t>2.3.1</w:t>
            </w:r>
            <w:r w:rsidR="00D84F0A" w:rsidRPr="009B1CA4">
              <w:rPr>
                <w:rFonts w:asciiTheme="minorHAnsi" w:eastAsiaTheme="minorEastAsia" w:hAnsiTheme="minorHAnsi" w:cstheme="minorBidi"/>
                <w:sz w:val="22"/>
                <w:szCs w:val="22"/>
                <w:lang w:eastAsia="en-AU"/>
              </w:rPr>
              <w:tab/>
            </w:r>
            <w:r w:rsidR="00D84F0A" w:rsidRPr="009B1CA4">
              <w:rPr>
                <w:rStyle w:val="Hyperlink"/>
                <w:b w:val="0"/>
              </w:rPr>
              <w:t>Opening regulatory asset base and opening tax base</w:t>
            </w:r>
            <w:r w:rsidR="00D84F0A" w:rsidRPr="009B1CA4">
              <w:rPr>
                <w:webHidden/>
              </w:rPr>
              <w:tab/>
            </w:r>
            <w:r w:rsidR="00D84F0A" w:rsidRPr="00DD42D8">
              <w:rPr>
                <w:b w:val="0"/>
                <w:webHidden/>
              </w:rPr>
              <w:fldChar w:fldCharType="begin"/>
            </w:r>
            <w:r w:rsidR="00D84F0A" w:rsidRPr="00DD42D8">
              <w:rPr>
                <w:b w:val="0"/>
                <w:webHidden/>
              </w:rPr>
              <w:instrText xml:space="preserve"> PAGEREF _Toc410223758 \h </w:instrText>
            </w:r>
            <w:r w:rsidR="00D84F0A" w:rsidRPr="00DD42D8">
              <w:rPr>
                <w:b w:val="0"/>
                <w:webHidden/>
              </w:rPr>
            </w:r>
            <w:r w:rsidR="00D84F0A" w:rsidRPr="00DD42D8">
              <w:rPr>
                <w:b w:val="0"/>
                <w:webHidden/>
              </w:rPr>
              <w:fldChar w:fldCharType="separate"/>
            </w:r>
            <w:r w:rsidR="00D84F0A" w:rsidRPr="00DD42D8">
              <w:rPr>
                <w:b w:val="0"/>
                <w:webHidden/>
              </w:rPr>
              <w:t>12</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59" w:history="1">
            <w:r w:rsidR="00D84F0A" w:rsidRPr="009B1CA4">
              <w:rPr>
                <w:rStyle w:val="Hyperlink"/>
                <w:b w:val="0"/>
              </w:rPr>
              <w:t>2.3.2</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capital expenditure—as-incurred</w:t>
            </w:r>
            <w:r w:rsidR="00D84F0A" w:rsidRPr="009B1CA4">
              <w:rPr>
                <w:webHidden/>
              </w:rPr>
              <w:tab/>
            </w:r>
            <w:r w:rsidR="00D84F0A" w:rsidRPr="00DD42D8">
              <w:rPr>
                <w:b w:val="0"/>
                <w:webHidden/>
              </w:rPr>
              <w:fldChar w:fldCharType="begin"/>
            </w:r>
            <w:r w:rsidR="00D84F0A" w:rsidRPr="00DD42D8">
              <w:rPr>
                <w:b w:val="0"/>
                <w:webHidden/>
              </w:rPr>
              <w:instrText xml:space="preserve"> PAGEREF _Toc410223759 \h </w:instrText>
            </w:r>
            <w:r w:rsidR="00D84F0A" w:rsidRPr="00DD42D8">
              <w:rPr>
                <w:b w:val="0"/>
                <w:webHidden/>
              </w:rPr>
            </w:r>
            <w:r w:rsidR="00D84F0A" w:rsidRPr="00DD42D8">
              <w:rPr>
                <w:b w:val="0"/>
                <w:webHidden/>
              </w:rPr>
              <w:fldChar w:fldCharType="separate"/>
            </w:r>
            <w:r w:rsidR="00D84F0A" w:rsidRPr="00DD42D8">
              <w:rPr>
                <w:b w:val="0"/>
                <w:webHidden/>
              </w:rPr>
              <w:t>13</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0" w:history="1">
            <w:r w:rsidR="00D84F0A" w:rsidRPr="009B1CA4">
              <w:rPr>
                <w:rStyle w:val="Hyperlink"/>
                <w:b w:val="0"/>
              </w:rPr>
              <w:t>2.3.3</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asset disposals—as-incurred</w:t>
            </w:r>
            <w:r w:rsidR="00D84F0A" w:rsidRPr="009B1CA4">
              <w:rPr>
                <w:webHidden/>
              </w:rPr>
              <w:tab/>
            </w:r>
            <w:r w:rsidR="00D84F0A" w:rsidRPr="00DD42D8">
              <w:rPr>
                <w:b w:val="0"/>
                <w:webHidden/>
              </w:rPr>
              <w:fldChar w:fldCharType="begin"/>
            </w:r>
            <w:r w:rsidR="00D84F0A" w:rsidRPr="00DD42D8">
              <w:rPr>
                <w:b w:val="0"/>
                <w:webHidden/>
              </w:rPr>
              <w:instrText xml:space="preserve"> PAGEREF _Toc410223760 \h </w:instrText>
            </w:r>
            <w:r w:rsidR="00D84F0A" w:rsidRPr="00DD42D8">
              <w:rPr>
                <w:b w:val="0"/>
                <w:webHidden/>
              </w:rPr>
            </w:r>
            <w:r w:rsidR="00D84F0A" w:rsidRPr="00DD42D8">
              <w:rPr>
                <w:b w:val="0"/>
                <w:webHidden/>
              </w:rPr>
              <w:fldChar w:fldCharType="separate"/>
            </w:r>
            <w:r w:rsidR="00D84F0A" w:rsidRPr="00DD42D8">
              <w:rPr>
                <w:b w:val="0"/>
                <w:webHidden/>
              </w:rPr>
              <w:t>13</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1" w:history="1">
            <w:r w:rsidR="00D84F0A" w:rsidRPr="009B1CA4">
              <w:rPr>
                <w:rStyle w:val="Hyperlink"/>
                <w:b w:val="0"/>
              </w:rPr>
              <w:t>2.3.4</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net capital expenditure—as-incurred</w:t>
            </w:r>
            <w:r w:rsidR="00D84F0A" w:rsidRPr="009B1CA4">
              <w:rPr>
                <w:webHidden/>
              </w:rPr>
              <w:tab/>
            </w:r>
            <w:r w:rsidR="00D84F0A" w:rsidRPr="00DD42D8">
              <w:rPr>
                <w:b w:val="0"/>
                <w:webHidden/>
              </w:rPr>
              <w:fldChar w:fldCharType="begin"/>
            </w:r>
            <w:r w:rsidR="00D84F0A" w:rsidRPr="00DD42D8">
              <w:rPr>
                <w:b w:val="0"/>
                <w:webHidden/>
              </w:rPr>
              <w:instrText xml:space="preserve"> PAGEREF _Toc410223761 \h </w:instrText>
            </w:r>
            <w:r w:rsidR="00D84F0A" w:rsidRPr="00DD42D8">
              <w:rPr>
                <w:b w:val="0"/>
                <w:webHidden/>
              </w:rPr>
            </w:r>
            <w:r w:rsidR="00D84F0A" w:rsidRPr="00DD42D8">
              <w:rPr>
                <w:b w:val="0"/>
                <w:webHidden/>
              </w:rPr>
              <w:fldChar w:fldCharType="separate"/>
            </w:r>
            <w:r w:rsidR="00D84F0A" w:rsidRPr="00DD42D8">
              <w:rPr>
                <w:b w:val="0"/>
                <w:webHidden/>
              </w:rPr>
              <w:t>13</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2" w:history="1">
            <w:r w:rsidR="00D84F0A" w:rsidRPr="009B1CA4">
              <w:rPr>
                <w:rStyle w:val="Hyperlink"/>
                <w:b w:val="0"/>
              </w:rPr>
              <w:t>2.3.5</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capital expenditure—as-commissioned</w:t>
            </w:r>
            <w:r w:rsidR="00D84F0A" w:rsidRPr="009B1CA4">
              <w:rPr>
                <w:webHidden/>
              </w:rPr>
              <w:tab/>
            </w:r>
            <w:r w:rsidR="00D84F0A" w:rsidRPr="00DD42D8">
              <w:rPr>
                <w:b w:val="0"/>
                <w:webHidden/>
              </w:rPr>
              <w:fldChar w:fldCharType="begin"/>
            </w:r>
            <w:r w:rsidR="00D84F0A" w:rsidRPr="00DD42D8">
              <w:rPr>
                <w:b w:val="0"/>
                <w:webHidden/>
              </w:rPr>
              <w:instrText xml:space="preserve"> PAGEREF _Toc410223762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3" w:history="1">
            <w:r w:rsidR="00D84F0A" w:rsidRPr="009B1CA4">
              <w:rPr>
                <w:rStyle w:val="Hyperlink"/>
                <w:b w:val="0"/>
              </w:rPr>
              <w:t>2.3.6</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asset disposals—as de-commissioned</w:t>
            </w:r>
            <w:r w:rsidR="00D84F0A" w:rsidRPr="009B1CA4">
              <w:rPr>
                <w:webHidden/>
              </w:rPr>
              <w:tab/>
            </w:r>
            <w:r w:rsidR="00D84F0A" w:rsidRPr="00DD42D8">
              <w:rPr>
                <w:b w:val="0"/>
                <w:webHidden/>
              </w:rPr>
              <w:fldChar w:fldCharType="begin"/>
            </w:r>
            <w:r w:rsidR="00D84F0A" w:rsidRPr="00DD42D8">
              <w:rPr>
                <w:b w:val="0"/>
                <w:webHidden/>
              </w:rPr>
              <w:instrText xml:space="preserve"> PAGEREF _Toc410223763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4" w:history="1">
            <w:r w:rsidR="00D84F0A" w:rsidRPr="009B1CA4">
              <w:rPr>
                <w:rStyle w:val="Hyperlink"/>
                <w:b w:val="0"/>
              </w:rPr>
              <w:t>2.3.7</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net capital expenditure—as-commissioned</w:t>
            </w:r>
            <w:r w:rsidR="00D84F0A" w:rsidRPr="009B1CA4">
              <w:rPr>
                <w:webHidden/>
              </w:rPr>
              <w:tab/>
            </w:r>
            <w:r w:rsidR="00D84F0A" w:rsidRPr="00DD42D8">
              <w:rPr>
                <w:b w:val="0"/>
                <w:webHidden/>
              </w:rPr>
              <w:fldChar w:fldCharType="begin"/>
            </w:r>
            <w:r w:rsidR="00D84F0A" w:rsidRPr="00DD42D8">
              <w:rPr>
                <w:b w:val="0"/>
                <w:webHidden/>
              </w:rPr>
              <w:instrText xml:space="preserve"> PAGEREF _Toc410223764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5" w:history="1">
            <w:r w:rsidR="00D84F0A" w:rsidRPr="009B1CA4">
              <w:rPr>
                <w:rStyle w:val="Hyperlink"/>
                <w:b w:val="0"/>
              </w:rPr>
              <w:t>2.3.8</w:t>
            </w:r>
            <w:r w:rsidR="00D84F0A" w:rsidRPr="009B1CA4">
              <w:rPr>
                <w:rFonts w:asciiTheme="minorHAnsi" w:eastAsiaTheme="minorEastAsia" w:hAnsiTheme="minorHAnsi" w:cstheme="minorBidi"/>
                <w:sz w:val="22"/>
                <w:szCs w:val="22"/>
                <w:lang w:eastAsia="en-AU"/>
              </w:rPr>
              <w:tab/>
            </w:r>
            <w:r w:rsidR="00D84F0A" w:rsidRPr="009B1CA4">
              <w:rPr>
                <w:rStyle w:val="Hyperlink"/>
                <w:b w:val="0"/>
              </w:rPr>
              <w:t>Forecast real operating expenditure</w:t>
            </w:r>
            <w:r w:rsidR="00D84F0A" w:rsidRPr="009B1CA4">
              <w:rPr>
                <w:webHidden/>
              </w:rPr>
              <w:tab/>
            </w:r>
            <w:r w:rsidR="00D84F0A" w:rsidRPr="00DD42D8">
              <w:rPr>
                <w:b w:val="0"/>
                <w:webHidden/>
              </w:rPr>
              <w:fldChar w:fldCharType="begin"/>
            </w:r>
            <w:r w:rsidR="00D84F0A" w:rsidRPr="00DD42D8">
              <w:rPr>
                <w:b w:val="0"/>
                <w:webHidden/>
              </w:rPr>
              <w:instrText xml:space="preserve"> PAGEREF _Toc410223765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6" w:history="1">
            <w:r w:rsidR="00D84F0A" w:rsidRPr="009B1CA4">
              <w:rPr>
                <w:rStyle w:val="Hyperlink"/>
                <w:b w:val="0"/>
              </w:rPr>
              <w:t>2.3.9</w:t>
            </w:r>
            <w:r w:rsidR="00D84F0A" w:rsidRPr="009B1CA4">
              <w:rPr>
                <w:rFonts w:asciiTheme="minorHAnsi" w:eastAsiaTheme="minorEastAsia" w:hAnsiTheme="minorHAnsi" w:cstheme="minorBidi"/>
                <w:sz w:val="22"/>
                <w:szCs w:val="22"/>
                <w:lang w:eastAsia="en-AU"/>
              </w:rPr>
              <w:tab/>
            </w:r>
            <w:r w:rsidR="00D84F0A" w:rsidRPr="009B1CA4">
              <w:rPr>
                <w:rStyle w:val="Hyperlink"/>
                <w:b w:val="0"/>
              </w:rPr>
              <w:t>Revenue adjustments</w:t>
            </w:r>
            <w:r w:rsidR="00D84F0A" w:rsidRPr="009B1CA4">
              <w:rPr>
                <w:webHidden/>
              </w:rPr>
              <w:tab/>
            </w:r>
            <w:r w:rsidR="00D84F0A" w:rsidRPr="00DD42D8">
              <w:rPr>
                <w:b w:val="0"/>
                <w:webHidden/>
              </w:rPr>
              <w:fldChar w:fldCharType="begin"/>
            </w:r>
            <w:r w:rsidR="00D84F0A" w:rsidRPr="00DD42D8">
              <w:rPr>
                <w:b w:val="0"/>
                <w:webHidden/>
              </w:rPr>
              <w:instrText xml:space="preserve"> PAGEREF _Toc410223766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7" w:history="1">
            <w:r w:rsidR="00D84F0A" w:rsidRPr="009B1CA4">
              <w:rPr>
                <w:rStyle w:val="Hyperlink"/>
                <w:b w:val="0"/>
              </w:rPr>
              <w:t>2.3.10</w:t>
            </w:r>
            <w:r w:rsidR="00D84F0A" w:rsidRPr="009B1CA4">
              <w:rPr>
                <w:rFonts w:asciiTheme="minorHAnsi" w:eastAsiaTheme="minorEastAsia" w:hAnsiTheme="minorHAnsi" w:cstheme="minorBidi"/>
                <w:sz w:val="22"/>
                <w:szCs w:val="22"/>
                <w:lang w:eastAsia="en-AU"/>
              </w:rPr>
              <w:tab/>
            </w:r>
            <w:r w:rsidR="00D84F0A" w:rsidRPr="009B1CA4">
              <w:rPr>
                <w:rStyle w:val="Hyperlink"/>
                <w:b w:val="0"/>
              </w:rPr>
              <w:t>Tax</w:t>
            </w:r>
            <w:r w:rsidR="00D84F0A" w:rsidRPr="009B1CA4">
              <w:rPr>
                <w:webHidden/>
              </w:rPr>
              <w:tab/>
            </w:r>
            <w:r w:rsidR="00D84F0A" w:rsidRPr="00DD42D8">
              <w:rPr>
                <w:b w:val="0"/>
                <w:webHidden/>
              </w:rPr>
              <w:fldChar w:fldCharType="begin"/>
            </w:r>
            <w:r w:rsidR="00D84F0A" w:rsidRPr="00DD42D8">
              <w:rPr>
                <w:b w:val="0"/>
                <w:webHidden/>
              </w:rPr>
              <w:instrText xml:space="preserve"> PAGEREF _Toc410223767 \h </w:instrText>
            </w:r>
            <w:r w:rsidR="00D84F0A" w:rsidRPr="00DD42D8">
              <w:rPr>
                <w:b w:val="0"/>
                <w:webHidden/>
              </w:rPr>
            </w:r>
            <w:r w:rsidR="00D84F0A" w:rsidRPr="00DD42D8">
              <w:rPr>
                <w:b w:val="0"/>
                <w:webHidden/>
              </w:rPr>
              <w:fldChar w:fldCharType="separate"/>
            </w:r>
            <w:r w:rsidR="00D84F0A" w:rsidRPr="00DD42D8">
              <w:rPr>
                <w:b w:val="0"/>
                <w:webHidden/>
              </w:rPr>
              <w:t>14</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8" w:history="1">
            <w:r w:rsidR="00D84F0A" w:rsidRPr="009B1CA4">
              <w:rPr>
                <w:rStyle w:val="Hyperlink"/>
                <w:b w:val="0"/>
              </w:rPr>
              <w:t>2.3.11</w:t>
            </w:r>
            <w:r w:rsidR="00D84F0A" w:rsidRPr="009B1CA4">
              <w:rPr>
                <w:rFonts w:asciiTheme="minorHAnsi" w:eastAsiaTheme="minorEastAsia" w:hAnsiTheme="minorHAnsi" w:cstheme="minorBidi"/>
                <w:sz w:val="22"/>
                <w:szCs w:val="22"/>
                <w:lang w:eastAsia="en-AU"/>
              </w:rPr>
              <w:tab/>
            </w:r>
            <w:r w:rsidR="00D84F0A" w:rsidRPr="009B1CA4">
              <w:rPr>
                <w:rStyle w:val="Hyperlink"/>
                <w:b w:val="0"/>
              </w:rPr>
              <w:t>Cost of capital</w:t>
            </w:r>
            <w:r w:rsidR="00D84F0A" w:rsidRPr="009B1CA4">
              <w:rPr>
                <w:webHidden/>
              </w:rPr>
              <w:tab/>
            </w:r>
            <w:r w:rsidR="00D84F0A" w:rsidRPr="00DD42D8">
              <w:rPr>
                <w:b w:val="0"/>
                <w:webHidden/>
              </w:rPr>
              <w:fldChar w:fldCharType="begin"/>
            </w:r>
            <w:r w:rsidR="00D84F0A" w:rsidRPr="00DD42D8">
              <w:rPr>
                <w:b w:val="0"/>
                <w:webHidden/>
              </w:rPr>
              <w:instrText xml:space="preserve"> PAGEREF _Toc410223768 \h </w:instrText>
            </w:r>
            <w:r w:rsidR="00D84F0A" w:rsidRPr="00DD42D8">
              <w:rPr>
                <w:b w:val="0"/>
                <w:webHidden/>
              </w:rPr>
            </w:r>
            <w:r w:rsidR="00D84F0A" w:rsidRPr="00DD42D8">
              <w:rPr>
                <w:b w:val="0"/>
                <w:webHidden/>
              </w:rPr>
              <w:fldChar w:fldCharType="separate"/>
            </w:r>
            <w:r w:rsidR="00D84F0A" w:rsidRPr="00DD42D8">
              <w:rPr>
                <w:b w:val="0"/>
                <w:webHidden/>
              </w:rPr>
              <w:t>15</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69" w:history="1">
            <w:r w:rsidR="00D84F0A" w:rsidRPr="009B1CA4">
              <w:rPr>
                <w:rStyle w:val="Hyperlink"/>
                <w:b w:val="0"/>
              </w:rPr>
              <w:t>2.3.12</w:t>
            </w:r>
            <w:r w:rsidR="00D84F0A" w:rsidRPr="009B1CA4">
              <w:rPr>
                <w:rFonts w:asciiTheme="minorHAnsi" w:eastAsiaTheme="minorEastAsia" w:hAnsiTheme="minorHAnsi" w:cstheme="minorBidi"/>
                <w:sz w:val="22"/>
                <w:szCs w:val="22"/>
                <w:lang w:eastAsia="en-AU"/>
              </w:rPr>
              <w:tab/>
            </w:r>
            <w:r w:rsidR="00D84F0A" w:rsidRPr="009B1CA4">
              <w:rPr>
                <w:rStyle w:val="Hyperlink"/>
                <w:b w:val="0"/>
              </w:rPr>
              <w:t>Debt and equity raising costs—transaction costs</w:t>
            </w:r>
            <w:r w:rsidR="00D84F0A" w:rsidRPr="009B1CA4">
              <w:rPr>
                <w:webHidden/>
              </w:rPr>
              <w:tab/>
            </w:r>
            <w:r w:rsidR="00D84F0A" w:rsidRPr="00DD42D8">
              <w:rPr>
                <w:b w:val="0"/>
                <w:webHidden/>
              </w:rPr>
              <w:fldChar w:fldCharType="begin"/>
            </w:r>
            <w:r w:rsidR="00D84F0A" w:rsidRPr="00DD42D8">
              <w:rPr>
                <w:b w:val="0"/>
                <w:webHidden/>
              </w:rPr>
              <w:instrText xml:space="preserve"> PAGEREF _Toc410223769 \h </w:instrText>
            </w:r>
            <w:r w:rsidR="00D84F0A" w:rsidRPr="00DD42D8">
              <w:rPr>
                <w:b w:val="0"/>
                <w:webHidden/>
              </w:rPr>
            </w:r>
            <w:r w:rsidR="00D84F0A" w:rsidRPr="00DD42D8">
              <w:rPr>
                <w:b w:val="0"/>
                <w:webHidden/>
              </w:rPr>
              <w:fldChar w:fldCharType="separate"/>
            </w:r>
            <w:r w:rsidR="00D84F0A" w:rsidRPr="00DD42D8">
              <w:rPr>
                <w:b w:val="0"/>
                <w:webHidden/>
              </w:rPr>
              <w:t>15</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0" w:history="1">
            <w:r w:rsidR="00D84F0A" w:rsidRPr="009B1CA4">
              <w:rPr>
                <w:rStyle w:val="Hyperlink"/>
                <w:b w:val="0"/>
              </w:rPr>
              <w:t>2.3.13</w:t>
            </w:r>
            <w:r w:rsidR="00D84F0A" w:rsidRPr="009B1CA4">
              <w:rPr>
                <w:rFonts w:asciiTheme="minorHAnsi" w:eastAsiaTheme="minorEastAsia" w:hAnsiTheme="minorHAnsi" w:cstheme="minorBidi"/>
                <w:sz w:val="22"/>
                <w:szCs w:val="22"/>
                <w:lang w:eastAsia="en-AU"/>
              </w:rPr>
              <w:tab/>
            </w:r>
            <w:r w:rsidR="00D84F0A" w:rsidRPr="009B1CA4">
              <w:rPr>
                <w:rStyle w:val="Hyperlink"/>
                <w:b w:val="0"/>
              </w:rPr>
              <w:t>Maximum allowed revenue for the current year</w:t>
            </w:r>
            <w:r w:rsidR="00D84F0A" w:rsidRPr="009B1CA4">
              <w:rPr>
                <w:webHidden/>
              </w:rPr>
              <w:tab/>
            </w:r>
            <w:r w:rsidR="00D84F0A" w:rsidRPr="00DD42D8">
              <w:rPr>
                <w:b w:val="0"/>
                <w:webHidden/>
              </w:rPr>
              <w:fldChar w:fldCharType="begin"/>
            </w:r>
            <w:r w:rsidR="00D84F0A" w:rsidRPr="00DD42D8">
              <w:rPr>
                <w:b w:val="0"/>
                <w:webHidden/>
              </w:rPr>
              <w:instrText xml:space="preserve"> PAGEREF _Toc410223770 \h </w:instrText>
            </w:r>
            <w:r w:rsidR="00D84F0A" w:rsidRPr="00DD42D8">
              <w:rPr>
                <w:b w:val="0"/>
                <w:webHidden/>
              </w:rPr>
            </w:r>
            <w:r w:rsidR="00D84F0A" w:rsidRPr="00DD42D8">
              <w:rPr>
                <w:b w:val="0"/>
                <w:webHidden/>
              </w:rPr>
              <w:fldChar w:fldCharType="separate"/>
            </w:r>
            <w:r w:rsidR="00D84F0A" w:rsidRPr="00DD42D8">
              <w:rPr>
                <w:b w:val="0"/>
                <w:webHidden/>
              </w:rPr>
              <w:t>15</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1" w:history="1">
            <w:r w:rsidR="00D84F0A" w:rsidRPr="009B1CA4">
              <w:rPr>
                <w:rStyle w:val="Hyperlink"/>
                <w:b w:val="0"/>
              </w:rPr>
              <w:t>2.3.14</w:t>
            </w:r>
            <w:r w:rsidR="00D84F0A" w:rsidRPr="009B1CA4">
              <w:rPr>
                <w:rFonts w:asciiTheme="minorHAnsi" w:eastAsiaTheme="minorEastAsia" w:hAnsiTheme="minorHAnsi" w:cstheme="minorBidi"/>
                <w:sz w:val="22"/>
                <w:szCs w:val="22"/>
                <w:lang w:eastAsia="en-AU"/>
              </w:rPr>
              <w:tab/>
            </w:r>
            <w:r w:rsidR="00D84F0A" w:rsidRPr="009B1CA4">
              <w:rPr>
                <w:rStyle w:val="Hyperlink"/>
                <w:b w:val="0"/>
              </w:rPr>
              <w:t>Energy delivered forecast</w:t>
            </w:r>
            <w:r w:rsidR="00D84F0A" w:rsidRPr="009B1CA4">
              <w:rPr>
                <w:webHidden/>
              </w:rPr>
              <w:tab/>
            </w:r>
            <w:r w:rsidR="00D84F0A" w:rsidRPr="00DD42D8">
              <w:rPr>
                <w:b w:val="0"/>
                <w:webHidden/>
              </w:rPr>
              <w:fldChar w:fldCharType="begin"/>
            </w:r>
            <w:r w:rsidR="00D84F0A" w:rsidRPr="00DD42D8">
              <w:rPr>
                <w:b w:val="0"/>
                <w:webHidden/>
              </w:rPr>
              <w:instrText xml:space="preserve"> PAGEREF _Toc410223771 \h </w:instrText>
            </w:r>
            <w:r w:rsidR="00D84F0A" w:rsidRPr="00DD42D8">
              <w:rPr>
                <w:b w:val="0"/>
                <w:webHidden/>
              </w:rPr>
            </w:r>
            <w:r w:rsidR="00D84F0A" w:rsidRPr="00DD42D8">
              <w:rPr>
                <w:b w:val="0"/>
                <w:webHidden/>
              </w:rPr>
              <w:fldChar w:fldCharType="separate"/>
            </w:r>
            <w:r w:rsidR="00D84F0A" w:rsidRPr="00DD42D8">
              <w:rPr>
                <w:b w:val="0"/>
                <w:webHidden/>
              </w:rPr>
              <w:t>15</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72" w:history="1">
            <w:r w:rsidR="00D84F0A" w:rsidRPr="009B1CA4">
              <w:rPr>
                <w:rStyle w:val="Hyperlink"/>
                <w:b w:val="0"/>
              </w:rPr>
              <w:t>2.4</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WACC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_Toc410223772 \h </w:instrText>
            </w:r>
            <w:r w:rsidR="00D84F0A" w:rsidRPr="00DD42D8">
              <w:rPr>
                <w:b w:val="0"/>
                <w:webHidden/>
              </w:rPr>
            </w:r>
            <w:r w:rsidR="00D84F0A" w:rsidRPr="00DD42D8">
              <w:rPr>
                <w:b w:val="0"/>
                <w:webHidden/>
              </w:rPr>
              <w:fldChar w:fldCharType="separate"/>
            </w:r>
            <w:r w:rsidR="00D84F0A" w:rsidRPr="00DD42D8">
              <w:rPr>
                <w:b w:val="0"/>
                <w:webHidden/>
              </w:rPr>
              <w:t>16</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73" w:history="1">
            <w:r w:rsidR="00D84F0A" w:rsidRPr="009B1CA4">
              <w:rPr>
                <w:rStyle w:val="Hyperlink"/>
                <w:b w:val="0"/>
              </w:rPr>
              <w:t>2.5</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Assets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_Toc410223773 \h </w:instrText>
            </w:r>
            <w:r w:rsidR="00D84F0A" w:rsidRPr="00DD42D8">
              <w:rPr>
                <w:b w:val="0"/>
                <w:webHidden/>
              </w:rPr>
            </w:r>
            <w:r w:rsidR="00D84F0A" w:rsidRPr="00DD42D8">
              <w:rPr>
                <w:b w:val="0"/>
                <w:webHidden/>
              </w:rPr>
              <w:fldChar w:fldCharType="separate"/>
            </w:r>
            <w:r w:rsidR="00D84F0A" w:rsidRPr="00DD42D8">
              <w:rPr>
                <w:b w:val="0"/>
                <w:webHidden/>
              </w:rPr>
              <w:t>17</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4" w:history="1">
            <w:r w:rsidR="00D84F0A" w:rsidRPr="009B1CA4">
              <w:rPr>
                <w:rStyle w:val="Hyperlink"/>
                <w:b w:val="0"/>
              </w:rPr>
              <w:t>2.5.1</w:t>
            </w:r>
            <w:r w:rsidR="00D84F0A" w:rsidRPr="009B1CA4">
              <w:rPr>
                <w:rFonts w:asciiTheme="minorHAnsi" w:eastAsiaTheme="minorEastAsia" w:hAnsiTheme="minorHAnsi" w:cstheme="minorBidi"/>
                <w:sz w:val="22"/>
                <w:szCs w:val="22"/>
                <w:lang w:eastAsia="en-AU"/>
              </w:rPr>
              <w:tab/>
            </w:r>
            <w:r w:rsidR="00D84F0A" w:rsidRPr="009B1CA4">
              <w:rPr>
                <w:rStyle w:val="Hyperlink"/>
                <w:b w:val="0"/>
              </w:rPr>
              <w:t>Rolling forward the RAB and depreciation</w:t>
            </w:r>
            <w:r w:rsidR="00D84F0A" w:rsidRPr="009B1CA4">
              <w:rPr>
                <w:webHidden/>
              </w:rPr>
              <w:tab/>
            </w:r>
            <w:r w:rsidR="00D84F0A" w:rsidRPr="00DD42D8">
              <w:rPr>
                <w:b w:val="0"/>
                <w:webHidden/>
              </w:rPr>
              <w:fldChar w:fldCharType="begin"/>
            </w:r>
            <w:r w:rsidR="00D84F0A" w:rsidRPr="00DD42D8">
              <w:rPr>
                <w:b w:val="0"/>
                <w:webHidden/>
              </w:rPr>
              <w:instrText xml:space="preserve"> PAGEREF _Toc410223774 \h </w:instrText>
            </w:r>
            <w:r w:rsidR="00D84F0A" w:rsidRPr="00DD42D8">
              <w:rPr>
                <w:b w:val="0"/>
                <w:webHidden/>
              </w:rPr>
            </w:r>
            <w:r w:rsidR="00D84F0A" w:rsidRPr="00DD42D8">
              <w:rPr>
                <w:b w:val="0"/>
                <w:webHidden/>
              </w:rPr>
              <w:fldChar w:fldCharType="separate"/>
            </w:r>
            <w:r w:rsidR="00D84F0A" w:rsidRPr="00DD42D8">
              <w:rPr>
                <w:b w:val="0"/>
                <w:webHidden/>
              </w:rPr>
              <w:t>17</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75" w:history="1">
            <w:r w:rsidR="00D84F0A" w:rsidRPr="009B1CA4">
              <w:rPr>
                <w:rStyle w:val="Hyperlink"/>
                <w:b w:val="0"/>
              </w:rPr>
              <w:t>2.6</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Analysis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_Toc410223775 \h </w:instrText>
            </w:r>
            <w:r w:rsidR="00D84F0A" w:rsidRPr="00DD42D8">
              <w:rPr>
                <w:b w:val="0"/>
                <w:webHidden/>
              </w:rPr>
            </w:r>
            <w:r w:rsidR="00D84F0A" w:rsidRPr="00DD42D8">
              <w:rPr>
                <w:b w:val="0"/>
                <w:webHidden/>
              </w:rPr>
              <w:fldChar w:fldCharType="separate"/>
            </w:r>
            <w:r w:rsidR="00D84F0A" w:rsidRPr="00DD42D8">
              <w:rPr>
                <w:b w:val="0"/>
                <w:webHidden/>
              </w:rPr>
              <w:t>18</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6" w:history="1">
            <w:r w:rsidR="00D84F0A" w:rsidRPr="009B1CA4">
              <w:rPr>
                <w:rStyle w:val="Hyperlink"/>
                <w:b w:val="0"/>
              </w:rPr>
              <w:t>2.6.1</w:t>
            </w:r>
            <w:r w:rsidR="00D84F0A" w:rsidRPr="009B1CA4">
              <w:rPr>
                <w:rFonts w:asciiTheme="minorHAnsi" w:eastAsiaTheme="minorEastAsia" w:hAnsiTheme="minorHAnsi" w:cstheme="minorBidi"/>
                <w:sz w:val="22"/>
                <w:szCs w:val="22"/>
                <w:lang w:eastAsia="en-AU"/>
              </w:rPr>
              <w:tab/>
            </w:r>
            <w:r w:rsidR="00D84F0A" w:rsidRPr="009B1CA4">
              <w:rPr>
                <w:rStyle w:val="Hyperlink"/>
                <w:b w:val="0"/>
              </w:rPr>
              <w:t>Building block approach to deriving cash flows</w:t>
            </w:r>
            <w:r w:rsidR="00D84F0A" w:rsidRPr="009B1CA4">
              <w:rPr>
                <w:webHidden/>
              </w:rPr>
              <w:tab/>
            </w:r>
            <w:r w:rsidR="00D84F0A" w:rsidRPr="00DD42D8">
              <w:rPr>
                <w:b w:val="0"/>
                <w:webHidden/>
              </w:rPr>
              <w:fldChar w:fldCharType="begin"/>
            </w:r>
            <w:r w:rsidR="00D84F0A" w:rsidRPr="00DD42D8">
              <w:rPr>
                <w:b w:val="0"/>
                <w:webHidden/>
              </w:rPr>
              <w:instrText xml:space="preserve"> PAGEREF _Toc410223776 \h </w:instrText>
            </w:r>
            <w:r w:rsidR="00D84F0A" w:rsidRPr="00DD42D8">
              <w:rPr>
                <w:b w:val="0"/>
                <w:webHidden/>
              </w:rPr>
            </w:r>
            <w:r w:rsidR="00D84F0A" w:rsidRPr="00DD42D8">
              <w:rPr>
                <w:b w:val="0"/>
                <w:webHidden/>
              </w:rPr>
              <w:fldChar w:fldCharType="separate"/>
            </w:r>
            <w:r w:rsidR="00D84F0A" w:rsidRPr="00DD42D8">
              <w:rPr>
                <w:b w:val="0"/>
                <w:webHidden/>
              </w:rPr>
              <w:t>21</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7" w:history="1">
            <w:r w:rsidR="00D84F0A" w:rsidRPr="009B1CA4">
              <w:rPr>
                <w:rStyle w:val="Hyperlink"/>
                <w:b w:val="0"/>
              </w:rPr>
              <w:t>2.6.2</w:t>
            </w:r>
            <w:r w:rsidR="00D84F0A" w:rsidRPr="009B1CA4">
              <w:rPr>
                <w:rFonts w:asciiTheme="minorHAnsi" w:eastAsiaTheme="minorEastAsia" w:hAnsiTheme="minorHAnsi" w:cstheme="minorBidi"/>
                <w:sz w:val="22"/>
                <w:szCs w:val="22"/>
                <w:lang w:eastAsia="en-AU"/>
              </w:rPr>
              <w:tab/>
            </w:r>
            <w:r w:rsidR="00D84F0A" w:rsidRPr="009B1CA4">
              <w:rPr>
                <w:rStyle w:val="Hyperlink"/>
                <w:b w:val="0"/>
              </w:rPr>
              <w:t>Taxation and related costs and benefits</w:t>
            </w:r>
            <w:r w:rsidR="00D84F0A" w:rsidRPr="009B1CA4">
              <w:rPr>
                <w:webHidden/>
              </w:rPr>
              <w:tab/>
            </w:r>
            <w:r w:rsidR="00D84F0A" w:rsidRPr="00DD42D8">
              <w:rPr>
                <w:b w:val="0"/>
                <w:webHidden/>
              </w:rPr>
              <w:fldChar w:fldCharType="begin"/>
            </w:r>
            <w:r w:rsidR="00D84F0A" w:rsidRPr="00DD42D8">
              <w:rPr>
                <w:b w:val="0"/>
                <w:webHidden/>
              </w:rPr>
              <w:instrText xml:space="preserve"> PAGEREF _Toc410223777 \h </w:instrText>
            </w:r>
            <w:r w:rsidR="00D84F0A" w:rsidRPr="00DD42D8">
              <w:rPr>
                <w:b w:val="0"/>
                <w:webHidden/>
              </w:rPr>
            </w:r>
            <w:r w:rsidR="00D84F0A" w:rsidRPr="00DD42D8">
              <w:rPr>
                <w:b w:val="0"/>
                <w:webHidden/>
              </w:rPr>
              <w:fldChar w:fldCharType="separate"/>
            </w:r>
            <w:r w:rsidR="00D84F0A" w:rsidRPr="00DD42D8">
              <w:rPr>
                <w:b w:val="0"/>
                <w:webHidden/>
              </w:rPr>
              <w:t>22</w:t>
            </w:r>
            <w:r w:rsidR="00D84F0A" w:rsidRPr="00DD42D8">
              <w:rPr>
                <w:b w:val="0"/>
                <w:webHidden/>
              </w:rPr>
              <w:fldChar w:fldCharType="end"/>
            </w:r>
          </w:hyperlink>
        </w:p>
        <w:p w:rsidR="00D84F0A" w:rsidRPr="009B1CA4" w:rsidRDefault="00236AA5" w:rsidP="009B1CA4">
          <w:pPr>
            <w:pStyle w:val="TOC3"/>
            <w:rPr>
              <w:rFonts w:asciiTheme="minorHAnsi" w:eastAsiaTheme="minorEastAsia" w:hAnsiTheme="minorHAnsi" w:cstheme="minorBidi"/>
              <w:sz w:val="22"/>
              <w:szCs w:val="22"/>
              <w:lang w:eastAsia="en-AU"/>
            </w:rPr>
          </w:pPr>
          <w:hyperlink w:anchor="_Toc410223778" w:history="1">
            <w:r w:rsidR="00D84F0A" w:rsidRPr="009B1CA4">
              <w:rPr>
                <w:rStyle w:val="Hyperlink"/>
                <w:b w:val="0"/>
              </w:rPr>
              <w:t>2.6.3</w:t>
            </w:r>
            <w:r w:rsidR="00D84F0A" w:rsidRPr="009B1CA4">
              <w:rPr>
                <w:rFonts w:asciiTheme="minorHAnsi" w:eastAsiaTheme="minorEastAsia" w:hAnsiTheme="minorHAnsi" w:cstheme="minorBidi"/>
                <w:sz w:val="22"/>
                <w:szCs w:val="22"/>
                <w:lang w:eastAsia="en-AU"/>
              </w:rPr>
              <w:tab/>
            </w:r>
            <w:r w:rsidR="00D84F0A" w:rsidRPr="009B1CA4">
              <w:rPr>
                <w:rStyle w:val="Hyperlink"/>
                <w:b w:val="0"/>
              </w:rPr>
              <w:t>Cash flow analysis</w:t>
            </w:r>
            <w:r w:rsidR="00D84F0A" w:rsidRPr="009B1CA4">
              <w:rPr>
                <w:webHidden/>
              </w:rPr>
              <w:tab/>
            </w:r>
            <w:r w:rsidR="00D84F0A" w:rsidRPr="00DD42D8">
              <w:rPr>
                <w:b w:val="0"/>
                <w:webHidden/>
              </w:rPr>
              <w:fldChar w:fldCharType="begin"/>
            </w:r>
            <w:r w:rsidR="00D84F0A" w:rsidRPr="00DD42D8">
              <w:rPr>
                <w:b w:val="0"/>
                <w:webHidden/>
              </w:rPr>
              <w:instrText xml:space="preserve"> PAGEREF _Toc410223778 \h </w:instrText>
            </w:r>
            <w:r w:rsidR="00D84F0A" w:rsidRPr="00DD42D8">
              <w:rPr>
                <w:b w:val="0"/>
                <w:webHidden/>
              </w:rPr>
            </w:r>
            <w:r w:rsidR="00D84F0A" w:rsidRPr="00DD42D8">
              <w:rPr>
                <w:b w:val="0"/>
                <w:webHidden/>
              </w:rPr>
              <w:fldChar w:fldCharType="separate"/>
            </w:r>
            <w:r w:rsidR="00D84F0A" w:rsidRPr="00DD42D8">
              <w:rPr>
                <w:b w:val="0"/>
                <w:webHidden/>
              </w:rPr>
              <w:t>22</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79" w:history="1">
            <w:r w:rsidR="00D84F0A" w:rsidRPr="009B1CA4">
              <w:rPr>
                <w:rStyle w:val="Hyperlink"/>
                <w:b w:val="0"/>
              </w:rPr>
              <w:t>2.7</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X factors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_Toc410223779 \h </w:instrText>
            </w:r>
            <w:r w:rsidR="00D84F0A" w:rsidRPr="00DD42D8">
              <w:rPr>
                <w:b w:val="0"/>
                <w:webHidden/>
              </w:rPr>
            </w:r>
            <w:r w:rsidR="00D84F0A" w:rsidRPr="00DD42D8">
              <w:rPr>
                <w:b w:val="0"/>
                <w:webHidden/>
              </w:rPr>
              <w:fldChar w:fldCharType="separate"/>
            </w:r>
            <w:r w:rsidR="00D84F0A" w:rsidRPr="00DD42D8">
              <w:rPr>
                <w:b w:val="0"/>
                <w:webHidden/>
              </w:rPr>
              <w:t>24</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80" w:history="1">
            <w:r w:rsidR="00D84F0A" w:rsidRPr="009B1CA4">
              <w:rPr>
                <w:rStyle w:val="Hyperlink"/>
                <w:b w:val="0"/>
              </w:rPr>
              <w:t>2.8</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Revenue summary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_Toc410223780 \h </w:instrText>
            </w:r>
            <w:r w:rsidR="00D84F0A" w:rsidRPr="00DD42D8">
              <w:rPr>
                <w:b w:val="0"/>
                <w:webHidden/>
              </w:rPr>
            </w:r>
            <w:r w:rsidR="00D84F0A" w:rsidRPr="00DD42D8">
              <w:rPr>
                <w:b w:val="0"/>
                <w:webHidden/>
              </w:rPr>
              <w:fldChar w:fldCharType="separate"/>
            </w:r>
            <w:r w:rsidR="00D84F0A" w:rsidRPr="00DD42D8">
              <w:rPr>
                <w:b w:val="0"/>
                <w:webHidden/>
              </w:rPr>
              <w:t>26</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81" w:history="1">
            <w:r w:rsidR="00D84F0A" w:rsidRPr="009B1CA4">
              <w:rPr>
                <w:rStyle w:val="Hyperlink"/>
                <w:b w:val="0"/>
              </w:rPr>
              <w:t>2.9</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Equity raising costs sheet</w:t>
            </w:r>
            <w:r w:rsidR="00D84F0A" w:rsidRPr="009B1CA4">
              <w:rPr>
                <w:webHidden/>
              </w:rPr>
              <w:tab/>
            </w:r>
            <w:r w:rsidR="00D84F0A" w:rsidRPr="00DD42D8">
              <w:rPr>
                <w:b w:val="0"/>
                <w:webHidden/>
              </w:rPr>
              <w:fldChar w:fldCharType="begin"/>
            </w:r>
            <w:r w:rsidR="00D84F0A" w:rsidRPr="00DD42D8">
              <w:rPr>
                <w:b w:val="0"/>
                <w:webHidden/>
              </w:rPr>
              <w:instrText xml:space="preserve"> PAGEREF _Toc410223781 \h </w:instrText>
            </w:r>
            <w:r w:rsidR="00D84F0A" w:rsidRPr="00DD42D8">
              <w:rPr>
                <w:b w:val="0"/>
                <w:webHidden/>
              </w:rPr>
            </w:r>
            <w:r w:rsidR="00D84F0A" w:rsidRPr="00DD42D8">
              <w:rPr>
                <w:b w:val="0"/>
                <w:webHidden/>
              </w:rPr>
              <w:fldChar w:fldCharType="separate"/>
            </w:r>
            <w:r w:rsidR="00D84F0A" w:rsidRPr="00DD42D8">
              <w:rPr>
                <w:b w:val="0"/>
                <w:webHidden/>
              </w:rPr>
              <w:t>27</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82" w:history="1">
            <w:r w:rsidR="00D84F0A" w:rsidRPr="009B1CA4">
              <w:rPr>
                <w:rStyle w:val="Hyperlink"/>
                <w:b w:val="0"/>
              </w:rPr>
              <w:t>2.10</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Chart 1—Revenue</w:t>
            </w:r>
            <w:r w:rsidR="00D84F0A" w:rsidRPr="009B1CA4">
              <w:rPr>
                <w:webHidden/>
              </w:rPr>
              <w:tab/>
            </w:r>
            <w:r w:rsidR="00D84F0A" w:rsidRPr="00DD42D8">
              <w:rPr>
                <w:b w:val="0"/>
                <w:webHidden/>
              </w:rPr>
              <w:fldChar w:fldCharType="begin"/>
            </w:r>
            <w:r w:rsidR="00D84F0A" w:rsidRPr="00DD42D8">
              <w:rPr>
                <w:b w:val="0"/>
                <w:webHidden/>
              </w:rPr>
              <w:instrText xml:space="preserve"> PAGEREF _Toc410223782 \h </w:instrText>
            </w:r>
            <w:r w:rsidR="00D84F0A" w:rsidRPr="00DD42D8">
              <w:rPr>
                <w:b w:val="0"/>
                <w:webHidden/>
              </w:rPr>
            </w:r>
            <w:r w:rsidR="00D84F0A" w:rsidRPr="00DD42D8">
              <w:rPr>
                <w:b w:val="0"/>
                <w:webHidden/>
              </w:rPr>
              <w:fldChar w:fldCharType="separate"/>
            </w:r>
            <w:r w:rsidR="00D84F0A" w:rsidRPr="00DD42D8">
              <w:rPr>
                <w:b w:val="0"/>
                <w:webHidden/>
              </w:rPr>
              <w:t>30</w:t>
            </w:r>
            <w:r w:rsidR="00D84F0A" w:rsidRPr="00DD42D8">
              <w:rPr>
                <w:b w:val="0"/>
                <w:webHidden/>
              </w:rPr>
              <w:fldChar w:fldCharType="end"/>
            </w:r>
          </w:hyperlink>
        </w:p>
        <w:p w:rsidR="00D84F0A" w:rsidRPr="009B1CA4" w:rsidRDefault="00236AA5" w:rsidP="00DD42D8">
          <w:pPr>
            <w:pStyle w:val="TOC3"/>
            <w:tabs>
              <w:tab w:val="clear" w:pos="1200"/>
              <w:tab w:val="left" w:pos="851"/>
            </w:tabs>
            <w:spacing w:before="120"/>
            <w:ind w:left="397" w:hanging="255"/>
            <w:rPr>
              <w:rFonts w:asciiTheme="minorHAnsi" w:eastAsiaTheme="minorEastAsia" w:hAnsiTheme="minorHAnsi" w:cstheme="minorBidi"/>
              <w:iCs/>
              <w:sz w:val="22"/>
              <w:szCs w:val="22"/>
              <w:lang w:eastAsia="en-AU"/>
            </w:rPr>
          </w:pPr>
          <w:hyperlink w:anchor="_Toc410223783" w:history="1">
            <w:r w:rsidR="00D84F0A" w:rsidRPr="009B1CA4">
              <w:rPr>
                <w:rStyle w:val="Hyperlink"/>
                <w:b w:val="0"/>
              </w:rPr>
              <w:t>2.11</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Chart 2—Price path</w:t>
            </w:r>
            <w:r w:rsidR="00D84F0A" w:rsidRPr="009B1CA4">
              <w:rPr>
                <w:webHidden/>
              </w:rPr>
              <w:tab/>
            </w:r>
            <w:r w:rsidR="00D84F0A" w:rsidRPr="00DD42D8">
              <w:rPr>
                <w:b w:val="0"/>
                <w:webHidden/>
              </w:rPr>
              <w:fldChar w:fldCharType="begin"/>
            </w:r>
            <w:r w:rsidR="00D84F0A" w:rsidRPr="00DD42D8">
              <w:rPr>
                <w:b w:val="0"/>
                <w:webHidden/>
              </w:rPr>
              <w:instrText xml:space="preserve"> PAGEREF _Toc410223783 \h </w:instrText>
            </w:r>
            <w:r w:rsidR="00D84F0A" w:rsidRPr="00DD42D8">
              <w:rPr>
                <w:b w:val="0"/>
                <w:webHidden/>
              </w:rPr>
            </w:r>
            <w:r w:rsidR="00D84F0A" w:rsidRPr="00DD42D8">
              <w:rPr>
                <w:b w:val="0"/>
                <w:webHidden/>
              </w:rPr>
              <w:fldChar w:fldCharType="separate"/>
            </w:r>
            <w:r w:rsidR="00D84F0A" w:rsidRPr="00DD42D8">
              <w:rPr>
                <w:b w:val="0"/>
                <w:webHidden/>
              </w:rPr>
              <w:t>31</w:t>
            </w:r>
            <w:r w:rsidR="00D84F0A" w:rsidRPr="00DD42D8">
              <w:rPr>
                <w:b w:val="0"/>
                <w:webHidden/>
              </w:rPr>
              <w:fldChar w:fldCharType="end"/>
            </w:r>
          </w:hyperlink>
        </w:p>
        <w:p w:rsidR="00D84F0A" w:rsidRDefault="00236AA5" w:rsidP="00DD42D8">
          <w:pPr>
            <w:pStyle w:val="TOC3"/>
            <w:tabs>
              <w:tab w:val="clear" w:pos="1200"/>
              <w:tab w:val="left" w:pos="851"/>
            </w:tabs>
            <w:spacing w:before="120"/>
            <w:ind w:left="397" w:hanging="255"/>
          </w:pPr>
          <w:hyperlink w:anchor="_Toc410223784" w:history="1">
            <w:r w:rsidR="00D84F0A" w:rsidRPr="009B1CA4">
              <w:rPr>
                <w:rStyle w:val="Hyperlink"/>
                <w:b w:val="0"/>
              </w:rPr>
              <w:t>2.12</w:t>
            </w:r>
            <w:r w:rsidR="00D84F0A" w:rsidRPr="009B1CA4">
              <w:rPr>
                <w:rFonts w:asciiTheme="minorHAnsi" w:eastAsiaTheme="minorEastAsia" w:hAnsiTheme="minorHAnsi" w:cstheme="minorBidi"/>
                <w:iCs/>
                <w:sz w:val="22"/>
                <w:szCs w:val="22"/>
                <w:lang w:eastAsia="en-AU"/>
              </w:rPr>
              <w:tab/>
            </w:r>
            <w:r w:rsidR="00D84F0A" w:rsidRPr="009B1CA4">
              <w:rPr>
                <w:rStyle w:val="Hyperlink"/>
                <w:b w:val="0"/>
              </w:rPr>
              <w:t>Chart 3—Building blocks</w:t>
            </w:r>
            <w:r w:rsidR="00D84F0A" w:rsidRPr="009B1CA4">
              <w:rPr>
                <w:webHidden/>
              </w:rPr>
              <w:tab/>
            </w:r>
            <w:r w:rsidR="00D84F0A" w:rsidRPr="00DD42D8">
              <w:rPr>
                <w:b w:val="0"/>
                <w:webHidden/>
              </w:rPr>
              <w:fldChar w:fldCharType="begin"/>
            </w:r>
            <w:r w:rsidR="00D84F0A" w:rsidRPr="00DD42D8">
              <w:rPr>
                <w:b w:val="0"/>
                <w:webHidden/>
              </w:rPr>
              <w:instrText xml:space="preserve"> PAGEREF _Toc410223784 \h </w:instrText>
            </w:r>
            <w:r w:rsidR="00D84F0A" w:rsidRPr="00DD42D8">
              <w:rPr>
                <w:b w:val="0"/>
                <w:webHidden/>
              </w:rPr>
            </w:r>
            <w:r w:rsidR="00D84F0A" w:rsidRPr="00DD42D8">
              <w:rPr>
                <w:b w:val="0"/>
                <w:webHidden/>
              </w:rPr>
              <w:fldChar w:fldCharType="separate"/>
            </w:r>
            <w:r w:rsidR="00D84F0A" w:rsidRPr="00DD42D8">
              <w:rPr>
                <w:b w:val="0"/>
                <w:webHidden/>
              </w:rPr>
              <w:t>33</w:t>
            </w:r>
            <w:r w:rsidR="00D84F0A" w:rsidRPr="00DD42D8">
              <w:rPr>
                <w:b w:val="0"/>
                <w:webHidden/>
              </w:rPr>
              <w:fldChar w:fldCharType="end"/>
            </w:r>
          </w:hyperlink>
        </w:p>
        <w:p w:rsidR="00D84F0A" w:rsidRPr="009B1CA4" w:rsidRDefault="00236AA5" w:rsidP="00DD42D8">
          <w:pPr>
            <w:pStyle w:val="TOC3"/>
            <w:tabs>
              <w:tab w:val="clear" w:pos="1200"/>
              <w:tab w:val="left" w:pos="426"/>
            </w:tabs>
            <w:spacing w:before="240" w:after="120"/>
            <w:ind w:left="0"/>
            <w:rPr>
              <w:rFonts w:asciiTheme="minorHAnsi" w:eastAsiaTheme="minorEastAsia" w:hAnsiTheme="minorHAnsi" w:cstheme="minorBidi"/>
              <w:bCs/>
              <w:sz w:val="22"/>
              <w:szCs w:val="22"/>
              <w:lang w:eastAsia="en-AU"/>
            </w:rPr>
          </w:pPr>
          <w:hyperlink w:anchor="_Toc410223785" w:history="1">
            <w:r w:rsidR="00D84F0A" w:rsidRPr="009B1CA4">
              <w:rPr>
                <w:rStyle w:val="Hyperlink"/>
              </w:rPr>
              <w:t>3</w:t>
            </w:r>
            <w:r w:rsidR="00D84F0A" w:rsidRPr="009B1CA4">
              <w:rPr>
                <w:rFonts w:asciiTheme="minorHAnsi" w:eastAsiaTheme="minorEastAsia" w:hAnsiTheme="minorHAnsi" w:cstheme="minorBidi"/>
                <w:bCs/>
                <w:sz w:val="22"/>
                <w:szCs w:val="22"/>
                <w:lang w:eastAsia="en-AU"/>
              </w:rPr>
              <w:tab/>
            </w:r>
            <w:r w:rsidR="00D84F0A" w:rsidRPr="009B1CA4">
              <w:rPr>
                <w:rStyle w:val="Hyperlink"/>
              </w:rPr>
              <w:t>Process for annual return on debt update</w:t>
            </w:r>
            <w:r w:rsidR="00D84F0A" w:rsidRPr="009B1CA4">
              <w:rPr>
                <w:webHidden/>
              </w:rPr>
              <w:tab/>
            </w:r>
            <w:r w:rsidR="00D84F0A" w:rsidRPr="009B1CA4">
              <w:rPr>
                <w:webHidden/>
              </w:rPr>
              <w:fldChar w:fldCharType="begin"/>
            </w:r>
            <w:r w:rsidR="00D84F0A" w:rsidRPr="009B1CA4">
              <w:rPr>
                <w:webHidden/>
              </w:rPr>
              <w:instrText xml:space="preserve"> PAGEREF _Toc410223785 \h </w:instrText>
            </w:r>
            <w:r w:rsidR="00D84F0A" w:rsidRPr="009B1CA4">
              <w:rPr>
                <w:webHidden/>
              </w:rPr>
            </w:r>
            <w:r w:rsidR="00D84F0A" w:rsidRPr="009B1CA4">
              <w:rPr>
                <w:webHidden/>
              </w:rPr>
              <w:fldChar w:fldCharType="separate"/>
            </w:r>
            <w:r w:rsidR="00D84F0A" w:rsidRPr="009B1CA4">
              <w:rPr>
                <w:webHidden/>
              </w:rPr>
              <w:t>34</w:t>
            </w:r>
            <w:r w:rsidR="00D84F0A" w:rsidRPr="009B1CA4">
              <w:rPr>
                <w:webHidden/>
              </w:rPr>
              <w:fldChar w:fldCharType="end"/>
            </w:r>
          </w:hyperlink>
        </w:p>
        <w:p w:rsidR="00D84F0A" w:rsidRDefault="00236AA5">
          <w:pPr>
            <w:pStyle w:val="TOC2"/>
            <w:rPr>
              <w:rFonts w:asciiTheme="minorHAnsi" w:eastAsiaTheme="minorEastAsia" w:hAnsiTheme="minorHAnsi" w:cstheme="minorBidi"/>
              <w:iCs w:val="0"/>
              <w:sz w:val="22"/>
              <w:szCs w:val="22"/>
              <w:lang w:eastAsia="en-AU"/>
            </w:rPr>
          </w:pPr>
          <w:hyperlink w:anchor="_Toc410223786" w:history="1">
            <w:r w:rsidR="00D84F0A" w:rsidRPr="0052536D">
              <w:rPr>
                <w:rStyle w:val="Hyperlink"/>
              </w:rPr>
              <w:t>3.1</w:t>
            </w:r>
            <w:r w:rsidR="00D84F0A">
              <w:rPr>
                <w:rFonts w:asciiTheme="minorHAnsi" w:eastAsiaTheme="minorEastAsia" w:hAnsiTheme="minorHAnsi" w:cstheme="minorBidi"/>
                <w:iCs w:val="0"/>
                <w:sz w:val="22"/>
                <w:szCs w:val="22"/>
                <w:lang w:eastAsia="en-AU"/>
              </w:rPr>
              <w:tab/>
            </w:r>
            <w:r w:rsidR="00D84F0A" w:rsidRPr="0052536D">
              <w:rPr>
                <w:rStyle w:val="Hyperlink"/>
              </w:rPr>
              <w:t>Setting X factors for the final decision before the start of the regulatory control period</w:t>
            </w:r>
            <w:r w:rsidR="00D84F0A">
              <w:rPr>
                <w:webHidden/>
              </w:rPr>
              <w:tab/>
            </w:r>
            <w:r w:rsidR="00D84F0A">
              <w:rPr>
                <w:webHidden/>
              </w:rPr>
              <w:fldChar w:fldCharType="begin"/>
            </w:r>
            <w:r w:rsidR="00D84F0A">
              <w:rPr>
                <w:webHidden/>
              </w:rPr>
              <w:instrText xml:space="preserve"> PAGEREF _Toc410223786 \h </w:instrText>
            </w:r>
            <w:r w:rsidR="00D84F0A">
              <w:rPr>
                <w:webHidden/>
              </w:rPr>
            </w:r>
            <w:r w:rsidR="00D84F0A">
              <w:rPr>
                <w:webHidden/>
              </w:rPr>
              <w:fldChar w:fldCharType="separate"/>
            </w:r>
            <w:r w:rsidR="00D84F0A">
              <w:rPr>
                <w:webHidden/>
              </w:rPr>
              <w:t>34</w:t>
            </w:r>
            <w:r w:rsidR="00D84F0A">
              <w:rPr>
                <w:webHidden/>
              </w:rPr>
              <w:fldChar w:fldCharType="end"/>
            </w:r>
          </w:hyperlink>
        </w:p>
        <w:p w:rsidR="00D84F0A" w:rsidRDefault="00236AA5">
          <w:pPr>
            <w:pStyle w:val="TOC2"/>
            <w:rPr>
              <w:rFonts w:asciiTheme="minorHAnsi" w:eastAsiaTheme="minorEastAsia" w:hAnsiTheme="minorHAnsi" w:cstheme="minorBidi"/>
              <w:iCs w:val="0"/>
              <w:sz w:val="22"/>
              <w:szCs w:val="22"/>
              <w:lang w:eastAsia="en-AU"/>
            </w:rPr>
          </w:pPr>
          <w:hyperlink w:anchor="_Toc410223787" w:history="1">
            <w:r w:rsidR="00D84F0A" w:rsidRPr="0052536D">
              <w:rPr>
                <w:rStyle w:val="Hyperlink"/>
              </w:rPr>
              <w:t>3.2</w:t>
            </w:r>
            <w:r w:rsidR="00D84F0A">
              <w:rPr>
                <w:rFonts w:asciiTheme="minorHAnsi" w:eastAsiaTheme="minorEastAsia" w:hAnsiTheme="minorHAnsi" w:cstheme="minorBidi"/>
                <w:iCs w:val="0"/>
                <w:sz w:val="22"/>
                <w:szCs w:val="22"/>
                <w:lang w:eastAsia="en-AU"/>
              </w:rPr>
              <w:tab/>
            </w:r>
            <w:r w:rsidR="00D84F0A" w:rsidRPr="00D84F0A">
              <w:rPr>
                <w:rStyle w:val="Hyperlink"/>
              </w:rPr>
              <w:t xml:space="preserve">Updating X factors to incorporate the annual update to the trailing average portfolio return </w:t>
            </w:r>
            <w:r w:rsidR="0074030B">
              <w:rPr>
                <w:rStyle w:val="Hyperlink"/>
              </w:rPr>
              <w:tab/>
            </w:r>
            <w:r w:rsidR="0074030B">
              <w:rPr>
                <w:rStyle w:val="Hyperlink"/>
              </w:rPr>
              <w:tab/>
            </w:r>
            <w:r w:rsidR="00D84F0A" w:rsidRPr="00D84F0A">
              <w:rPr>
                <w:rStyle w:val="Hyperlink"/>
              </w:rPr>
              <w:t>on debt</w:t>
            </w:r>
            <w:r w:rsidR="00D84F0A">
              <w:rPr>
                <w:rStyle w:val="Hyperlink"/>
              </w:rPr>
              <w:t>………………</w:t>
            </w:r>
            <w:r w:rsidR="00D84F0A" w:rsidRPr="00D84F0A">
              <w:rPr>
                <w:rStyle w:val="Hyperlink"/>
                <w:webHidden/>
              </w:rPr>
              <w:tab/>
            </w:r>
            <w:r w:rsidR="00D84F0A">
              <w:rPr>
                <w:webHidden/>
              </w:rPr>
              <w:fldChar w:fldCharType="begin"/>
            </w:r>
            <w:r w:rsidR="00D84F0A">
              <w:rPr>
                <w:webHidden/>
              </w:rPr>
              <w:instrText xml:space="preserve"> PAGEREF _Toc410223787 \h </w:instrText>
            </w:r>
            <w:r w:rsidR="00D84F0A">
              <w:rPr>
                <w:webHidden/>
              </w:rPr>
            </w:r>
            <w:r w:rsidR="00D84F0A">
              <w:rPr>
                <w:webHidden/>
              </w:rPr>
              <w:fldChar w:fldCharType="separate"/>
            </w:r>
            <w:r w:rsidR="00D84F0A">
              <w:rPr>
                <w:webHidden/>
              </w:rPr>
              <w:t>35</w:t>
            </w:r>
            <w:r w:rsidR="00D84F0A">
              <w:rPr>
                <w:webHidden/>
              </w:rPr>
              <w:fldChar w:fldCharType="end"/>
            </w:r>
          </w:hyperlink>
        </w:p>
        <w:p w:rsidR="007749FC" w:rsidRPr="00A25A3C" w:rsidRDefault="007749FC" w:rsidP="007749FC">
          <w:pPr>
            <w:rPr>
              <w:rFonts w:ascii="Arial" w:hAnsi="Arial" w:cs="Arial"/>
            </w:rPr>
          </w:pPr>
          <w:r w:rsidRPr="00A25A3C">
            <w:rPr>
              <w:rFonts w:ascii="Arial" w:hAnsi="Arial" w:cs="Arial"/>
            </w:rPr>
            <w:fldChar w:fldCharType="end"/>
          </w:r>
        </w:p>
      </w:sdtContent>
    </w:sdt>
    <w:p w:rsidR="009B1CA4" w:rsidRDefault="009B1CA4" w:rsidP="007749FC">
      <w:pPr>
        <w:pStyle w:val="AERbodytext"/>
        <w:rPr>
          <w:rFonts w:ascii="Arial" w:hAnsi="Arial" w:cs="Arial"/>
        </w:rPr>
      </w:pPr>
    </w:p>
    <w:p w:rsidR="009B1CA4" w:rsidRPr="009B1CA4" w:rsidRDefault="009B1CA4" w:rsidP="009B1CA4"/>
    <w:p w:rsidR="009B1CA4" w:rsidRPr="009B1CA4" w:rsidRDefault="009B1CA4" w:rsidP="009B1CA4"/>
    <w:p w:rsidR="009B1CA4" w:rsidRDefault="009B1CA4" w:rsidP="009B1CA4"/>
    <w:p w:rsidR="007749FC" w:rsidRPr="009B1CA4" w:rsidRDefault="009B1CA4" w:rsidP="009B1CA4">
      <w:pPr>
        <w:tabs>
          <w:tab w:val="left" w:pos="1050"/>
        </w:tabs>
      </w:pPr>
      <w:r>
        <w:tab/>
      </w:r>
    </w:p>
    <w:p w:rsidR="007749FC" w:rsidRPr="00A25A3C" w:rsidRDefault="007749FC" w:rsidP="007749FC">
      <w:pPr>
        <w:pStyle w:val="UnnumberedHeading"/>
        <w:rPr>
          <w:rFonts w:ascii="Arial" w:hAnsi="Arial" w:cs="Arial"/>
        </w:rPr>
      </w:pPr>
      <w:bookmarkStart w:id="2" w:name="_Toc410223746"/>
      <w:r w:rsidRPr="00A25A3C">
        <w:rPr>
          <w:rFonts w:ascii="Arial" w:hAnsi="Arial" w:cs="Arial"/>
        </w:rPr>
        <w:lastRenderedPageBreak/>
        <w:t>Shortened forms</w:t>
      </w:r>
      <w:bookmarkEnd w:id="2"/>
    </w:p>
    <w:tbl>
      <w:tblPr>
        <w:tblStyle w:val="AERtable-numbers"/>
        <w:tblW w:w="0" w:type="auto"/>
        <w:tblLook w:val="04A0" w:firstRow="1" w:lastRow="0" w:firstColumn="1" w:lastColumn="0" w:noHBand="0" w:noVBand="1"/>
      </w:tblPr>
      <w:tblGrid>
        <w:gridCol w:w="4621"/>
        <w:gridCol w:w="4621"/>
      </w:tblGrid>
      <w:tr w:rsidR="007749FC" w:rsidRPr="00A25A3C" w:rsidTr="006E0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49FC" w:rsidRPr="00A25A3C" w:rsidRDefault="007749FC" w:rsidP="007749FC">
            <w:pPr>
              <w:pStyle w:val="AERbodytext"/>
              <w:numPr>
                <w:ilvl w:val="0"/>
                <w:numId w:val="9"/>
              </w:numPr>
              <w:rPr>
                <w:rFonts w:ascii="Arial" w:hAnsi="Arial" w:cs="Arial"/>
              </w:rPr>
            </w:pPr>
            <w:r w:rsidRPr="00A25A3C">
              <w:rPr>
                <w:rFonts w:ascii="Arial" w:hAnsi="Arial" w:cs="Arial"/>
              </w:rPr>
              <w:t>Shortened form</w:t>
            </w:r>
          </w:p>
        </w:tc>
        <w:tc>
          <w:tcPr>
            <w:tcW w:w="4621" w:type="dxa"/>
          </w:tcPr>
          <w:p w:rsidR="007749FC" w:rsidRPr="00A25A3C" w:rsidRDefault="007749FC" w:rsidP="007749FC">
            <w:pPr>
              <w:pStyle w:val="AERbodytext"/>
              <w:numPr>
                <w:ilvl w:val="0"/>
                <w:numId w:val="9"/>
              </w:numPr>
              <w:cnfStyle w:val="100000000000" w:firstRow="1"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Extended form</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ABBRR</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 xml:space="preserve">annual building block revenue requirement </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AER</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 xml:space="preserve">Australian Energy Regulator </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ATO</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 xml:space="preserve">Australian Tax Office </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capex</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capital expenditure</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CPI</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consumer price index</w:t>
            </w:r>
          </w:p>
        </w:tc>
      </w:tr>
      <w:tr w:rsidR="00D704BD"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D704BD" w:rsidRPr="00A25A3C" w:rsidRDefault="00D704BD" w:rsidP="007749FC">
            <w:pPr>
              <w:rPr>
                <w:rFonts w:ascii="Arial" w:hAnsi="Arial" w:cs="Arial"/>
              </w:rPr>
            </w:pPr>
            <w:r w:rsidRPr="00A25A3C">
              <w:rPr>
                <w:rFonts w:ascii="Arial" w:hAnsi="Arial" w:cs="Arial"/>
              </w:rPr>
              <w:t>DMS</w:t>
            </w:r>
          </w:p>
        </w:tc>
        <w:tc>
          <w:tcPr>
            <w:tcW w:w="4621" w:type="dxa"/>
            <w:vAlign w:val="top"/>
          </w:tcPr>
          <w:p w:rsidR="00D704BD" w:rsidRPr="00A25A3C" w:rsidRDefault="00D704BD"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data management system</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IRR</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 xml:space="preserve">internal rate of return </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MAR</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maximum allowed revenue</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NEL</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National Electricity Law</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NER</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 xml:space="preserve">National Electricity Rules </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NPV</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 xml:space="preserve">net present value </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proofErr w:type="spellStart"/>
            <w:r w:rsidRPr="00A25A3C">
              <w:rPr>
                <w:rFonts w:ascii="Arial" w:hAnsi="Arial" w:cs="Arial"/>
              </w:rPr>
              <w:t>opex</w:t>
            </w:r>
            <w:proofErr w:type="spellEnd"/>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 xml:space="preserve">operating expenditure </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PTRM</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post-tax revenue model</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PV</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 xml:space="preserve">present value </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RAB</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regulatory asset base</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RFM</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roll forward model</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TAB</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tax asset base</w:t>
            </w:r>
          </w:p>
        </w:tc>
      </w:tr>
      <w:tr w:rsidR="007749FC" w:rsidRPr="00A25A3C" w:rsidTr="006E08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TNSP</w:t>
            </w:r>
          </w:p>
        </w:tc>
        <w:tc>
          <w:tcPr>
            <w:tcW w:w="4621" w:type="dxa"/>
            <w:vAlign w:val="top"/>
          </w:tcPr>
          <w:p w:rsidR="007749FC" w:rsidRPr="00A25A3C" w:rsidRDefault="007749FC" w:rsidP="007749F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25A3C">
              <w:rPr>
                <w:rFonts w:ascii="Arial" w:hAnsi="Arial" w:cs="Arial"/>
              </w:rPr>
              <w:t xml:space="preserve">transmission network service provider </w:t>
            </w:r>
          </w:p>
        </w:tc>
      </w:tr>
      <w:tr w:rsidR="007749FC" w:rsidRPr="00A25A3C" w:rsidTr="006E08F4">
        <w:tc>
          <w:tcPr>
            <w:cnfStyle w:val="001000000000" w:firstRow="0" w:lastRow="0" w:firstColumn="1" w:lastColumn="0" w:oddVBand="0" w:evenVBand="0" w:oddHBand="0" w:evenHBand="0" w:firstRowFirstColumn="0" w:firstRowLastColumn="0" w:lastRowFirstColumn="0" w:lastRowLastColumn="0"/>
            <w:tcW w:w="4621" w:type="dxa"/>
            <w:vAlign w:val="top"/>
          </w:tcPr>
          <w:p w:rsidR="007749FC" w:rsidRPr="00A25A3C" w:rsidRDefault="007749FC" w:rsidP="007749FC">
            <w:pPr>
              <w:rPr>
                <w:rFonts w:ascii="Arial" w:hAnsi="Arial" w:cs="Arial"/>
              </w:rPr>
            </w:pPr>
            <w:r w:rsidRPr="00A25A3C">
              <w:rPr>
                <w:rFonts w:ascii="Arial" w:hAnsi="Arial" w:cs="Arial"/>
              </w:rPr>
              <w:t>WACC</w:t>
            </w:r>
          </w:p>
        </w:tc>
        <w:tc>
          <w:tcPr>
            <w:tcW w:w="4621" w:type="dxa"/>
            <w:vAlign w:val="top"/>
          </w:tcPr>
          <w:p w:rsidR="007749FC" w:rsidRPr="00A25A3C" w:rsidRDefault="007749FC" w:rsidP="007749F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5A3C">
              <w:rPr>
                <w:rFonts w:ascii="Arial" w:hAnsi="Arial" w:cs="Arial"/>
              </w:rPr>
              <w:t>weighted average cost of capital</w:t>
            </w:r>
          </w:p>
        </w:tc>
      </w:tr>
    </w:tbl>
    <w:p w:rsidR="007749FC" w:rsidRPr="00A25A3C" w:rsidRDefault="007749FC" w:rsidP="007749FC">
      <w:pPr>
        <w:pStyle w:val="AERbodytext"/>
        <w:rPr>
          <w:rFonts w:ascii="Arial" w:hAnsi="Arial" w:cs="Arial"/>
        </w:rPr>
      </w:pPr>
    </w:p>
    <w:p w:rsidR="007749FC" w:rsidRPr="00A25A3C" w:rsidRDefault="007749FC" w:rsidP="007749FC">
      <w:pPr>
        <w:pStyle w:val="Heading1"/>
        <w:rPr>
          <w:rFonts w:ascii="Arial" w:hAnsi="Arial" w:cs="Arial"/>
        </w:rPr>
      </w:pPr>
      <w:bookmarkStart w:id="3" w:name="_Toc410223747"/>
      <w:r w:rsidRPr="00A25A3C">
        <w:rPr>
          <w:rFonts w:ascii="Arial" w:hAnsi="Arial" w:cs="Arial"/>
        </w:rPr>
        <w:lastRenderedPageBreak/>
        <w:t>Nature and Authority</w:t>
      </w:r>
      <w:bookmarkEnd w:id="3"/>
    </w:p>
    <w:p w:rsidR="007749FC" w:rsidRPr="00A25A3C" w:rsidRDefault="007749FC" w:rsidP="007749FC">
      <w:pPr>
        <w:pStyle w:val="Heading2"/>
        <w:rPr>
          <w:rFonts w:ascii="Arial" w:hAnsi="Arial" w:cs="Arial"/>
        </w:rPr>
      </w:pPr>
      <w:bookmarkStart w:id="4" w:name="_Toc410223748"/>
      <w:r w:rsidRPr="00A25A3C">
        <w:rPr>
          <w:rFonts w:ascii="Arial" w:hAnsi="Arial" w:cs="Arial"/>
        </w:rPr>
        <w:t>Introduction</w:t>
      </w:r>
      <w:bookmarkEnd w:id="4"/>
    </w:p>
    <w:p w:rsidR="007749FC" w:rsidRPr="00A25A3C" w:rsidRDefault="007749FC" w:rsidP="007749FC">
      <w:pPr>
        <w:pStyle w:val="AERbodytext"/>
        <w:numPr>
          <w:ilvl w:val="0"/>
          <w:numId w:val="9"/>
        </w:numPr>
        <w:rPr>
          <w:rFonts w:ascii="Arial" w:hAnsi="Arial" w:cs="Arial"/>
        </w:rPr>
      </w:pPr>
      <w:r w:rsidRPr="00A25A3C">
        <w:rPr>
          <w:rFonts w:ascii="Arial" w:hAnsi="Arial" w:cs="Arial"/>
        </w:rPr>
        <w:t>This handbook sets out the Australian Energy Regulator’s (AER) post-tax revenue model (PTRM) for electricity transmission network service providers (TNSPs). The PTRM is a series of Microsoft Excel spreadsheets developed in accordance with the requirements of clause 6A.5.1 of the National Electricity Rules (NER).</w:t>
      </w:r>
    </w:p>
    <w:p w:rsidR="007749FC" w:rsidRPr="00A25A3C" w:rsidRDefault="007749FC" w:rsidP="007749FC">
      <w:pPr>
        <w:pStyle w:val="Heading2"/>
        <w:rPr>
          <w:rFonts w:ascii="Arial" w:hAnsi="Arial" w:cs="Arial"/>
        </w:rPr>
      </w:pPr>
      <w:bookmarkStart w:id="5" w:name="_Toc410223749"/>
      <w:r w:rsidRPr="00A25A3C">
        <w:rPr>
          <w:rFonts w:ascii="Arial" w:hAnsi="Arial" w:cs="Arial"/>
        </w:rPr>
        <w:t>Authority</w:t>
      </w:r>
      <w:bookmarkEnd w:id="5"/>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Clause </w:t>
      </w:r>
      <w:proofErr w:type="gramStart"/>
      <w:r w:rsidRPr="00A25A3C">
        <w:rPr>
          <w:rFonts w:ascii="Arial" w:hAnsi="Arial" w:cs="Arial"/>
        </w:rPr>
        <w:t>6A.5.2(</w:t>
      </w:r>
      <w:proofErr w:type="gramEnd"/>
      <w:r w:rsidRPr="00A25A3C">
        <w:rPr>
          <w:rFonts w:ascii="Arial" w:hAnsi="Arial" w:cs="Arial"/>
        </w:rPr>
        <w:t>a) of the NER requires the AER to develop and publish the PTRM, in accordance with the transmission consultation procedures.</w:t>
      </w:r>
    </w:p>
    <w:p w:rsidR="007749FC" w:rsidRPr="00A25A3C" w:rsidRDefault="007749FC" w:rsidP="007749FC">
      <w:pPr>
        <w:pStyle w:val="Heading2"/>
        <w:rPr>
          <w:rFonts w:ascii="Arial" w:hAnsi="Arial" w:cs="Arial"/>
        </w:rPr>
      </w:pPr>
      <w:bookmarkStart w:id="6" w:name="_Toc410223750"/>
      <w:r w:rsidRPr="00A25A3C">
        <w:rPr>
          <w:rFonts w:ascii="Arial" w:hAnsi="Arial" w:cs="Arial"/>
        </w:rPr>
        <w:t>Role of the Model</w:t>
      </w:r>
      <w:bookmarkEnd w:id="6"/>
    </w:p>
    <w:p w:rsidR="00492A71" w:rsidRPr="00A25A3C" w:rsidRDefault="00492A71" w:rsidP="00492A71">
      <w:pPr>
        <w:pStyle w:val="AERbodytext"/>
        <w:numPr>
          <w:ilvl w:val="0"/>
          <w:numId w:val="9"/>
        </w:numPr>
        <w:rPr>
          <w:rFonts w:ascii="Arial" w:hAnsi="Arial" w:cs="Arial"/>
        </w:rPr>
      </w:pPr>
      <w:r w:rsidRPr="00A25A3C">
        <w:rPr>
          <w:rFonts w:ascii="Arial" w:hAnsi="Arial" w:cs="Arial"/>
        </w:rPr>
        <w:t>TNSPs are required to submit a completed PTRM to the AER as part of their revenue proposals. However, the AER recognises that there may be a need for some flexibility in applying the PTRM in order to account for the particular circumstances a TNSP may face. A number of elements of the PTRM where this may be the case have been identified in this handbook. A TNSP will need to propose and justify a departure from any element of the PTRM for the purposes of addressing its specific circumstances as part of its revenue proposal, which will be considered and assessed by the AER on a case-by-case basis in making its transmission determination.</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PTRM is used by the AER to determine the TNSP's annual building block revenue requirement (ABBRR) and maximum allowed revenue (MAR) for each regulatory year of a regulatory control period. The TNSP uses the MAR to calculate the transmission prices to be paid by network users at each connection point in its network.</w:t>
      </w:r>
    </w:p>
    <w:p w:rsidR="007749FC" w:rsidRPr="00A25A3C" w:rsidRDefault="007749FC" w:rsidP="007749FC">
      <w:pPr>
        <w:pStyle w:val="Heading2"/>
        <w:rPr>
          <w:rFonts w:ascii="Arial" w:hAnsi="Arial" w:cs="Arial"/>
        </w:rPr>
      </w:pPr>
      <w:bookmarkStart w:id="7" w:name="_Toc410223751"/>
      <w:r w:rsidRPr="00A25A3C">
        <w:rPr>
          <w:rFonts w:ascii="Arial" w:hAnsi="Arial" w:cs="Arial"/>
        </w:rPr>
        <w:t>Confidentiality</w:t>
      </w:r>
      <w:bookmarkEnd w:id="7"/>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AER’s obligations regarding confidentiality and the disclosure of information provided to it by a TNSP are governed by the </w:t>
      </w:r>
      <w:r w:rsidRPr="00A25A3C">
        <w:rPr>
          <w:rStyle w:val="AERtextitalic"/>
          <w:rFonts w:ascii="Arial" w:hAnsi="Arial" w:cs="Arial"/>
        </w:rPr>
        <w:t>Competition and Consumer Act 2010 (</w:t>
      </w:r>
      <w:proofErr w:type="spellStart"/>
      <w:r w:rsidRPr="00A25A3C">
        <w:rPr>
          <w:rStyle w:val="AERtextitalic"/>
          <w:rFonts w:ascii="Arial" w:hAnsi="Arial" w:cs="Arial"/>
        </w:rPr>
        <w:t>Cth</w:t>
      </w:r>
      <w:proofErr w:type="spellEnd"/>
      <w:r w:rsidRPr="00A25A3C">
        <w:rPr>
          <w:rStyle w:val="AERtextitalic"/>
          <w:rFonts w:ascii="Arial" w:hAnsi="Arial" w:cs="Arial"/>
        </w:rPr>
        <w:t>)</w:t>
      </w:r>
      <w:r w:rsidRPr="00A25A3C">
        <w:rPr>
          <w:rFonts w:ascii="Arial" w:hAnsi="Arial" w:cs="Arial"/>
        </w:rPr>
        <w:t>, the National Electricity Law (NEL) and the NER.</w:t>
      </w:r>
    </w:p>
    <w:p w:rsidR="007749FC" w:rsidRPr="00A25A3C" w:rsidRDefault="007749FC" w:rsidP="007749FC">
      <w:pPr>
        <w:pStyle w:val="Heading2"/>
        <w:rPr>
          <w:rFonts w:ascii="Arial" w:hAnsi="Arial" w:cs="Arial"/>
        </w:rPr>
      </w:pPr>
      <w:bookmarkStart w:id="8" w:name="_Toc410223752"/>
      <w:r w:rsidRPr="00A25A3C">
        <w:rPr>
          <w:rFonts w:ascii="Arial" w:hAnsi="Arial" w:cs="Arial"/>
        </w:rPr>
        <w:t>Process for revision</w:t>
      </w:r>
      <w:bookmarkEnd w:id="8"/>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AER may amend or replace the PTRM from time to time in accordance with clause </w:t>
      </w:r>
      <w:proofErr w:type="gramStart"/>
      <w:r w:rsidRPr="00A25A3C">
        <w:rPr>
          <w:rFonts w:ascii="Arial" w:hAnsi="Arial" w:cs="Arial"/>
        </w:rPr>
        <w:t>6A.5.2(</w:t>
      </w:r>
      <w:proofErr w:type="gramEnd"/>
      <w:r w:rsidRPr="00A25A3C">
        <w:rPr>
          <w:rFonts w:ascii="Arial" w:hAnsi="Arial" w:cs="Arial"/>
        </w:rPr>
        <w:t xml:space="preserve">b) of the NER and the transmission consultation procedures in clause 6A.20 of the NER. </w:t>
      </w:r>
      <w:r w:rsidRPr="00270A6F">
        <w:rPr>
          <w:rFonts w:ascii="Arial" w:hAnsi="Arial" w:cs="Arial"/>
        </w:rPr>
        <w:t>The AER will publish a revised version of this handbook to accompany each new version of the PTRM it amends or replaces in the future.</w:t>
      </w:r>
    </w:p>
    <w:p w:rsidR="007749FC" w:rsidRPr="00A25A3C" w:rsidRDefault="007749FC" w:rsidP="007749FC">
      <w:pPr>
        <w:pStyle w:val="Heading2"/>
        <w:rPr>
          <w:rFonts w:ascii="Arial" w:hAnsi="Arial" w:cs="Arial"/>
        </w:rPr>
      </w:pPr>
      <w:bookmarkStart w:id="9" w:name="_Toc410223753"/>
      <w:r w:rsidRPr="00A25A3C">
        <w:rPr>
          <w:rFonts w:ascii="Arial" w:hAnsi="Arial" w:cs="Arial"/>
        </w:rPr>
        <w:t>Version history and effective date</w:t>
      </w:r>
      <w:bookmarkEnd w:id="9"/>
    </w:p>
    <w:p w:rsidR="007749FC" w:rsidRPr="00A25A3C" w:rsidRDefault="007749FC" w:rsidP="007749FC">
      <w:pPr>
        <w:pStyle w:val="AERbodytext"/>
        <w:numPr>
          <w:ilvl w:val="0"/>
          <w:numId w:val="9"/>
        </w:numPr>
        <w:rPr>
          <w:rFonts w:ascii="Arial" w:hAnsi="Arial" w:cs="Arial"/>
        </w:rPr>
      </w:pPr>
      <w:r w:rsidRPr="00A25A3C">
        <w:rPr>
          <w:rFonts w:ascii="Arial" w:hAnsi="Arial" w:cs="Arial"/>
        </w:rPr>
        <w:t>A version number and an effective date of issue will identify each version of this handbook.</w:t>
      </w:r>
    </w:p>
    <w:p w:rsidR="007749FC" w:rsidRPr="00A25A3C" w:rsidRDefault="007749FC" w:rsidP="007749FC">
      <w:pPr>
        <w:pStyle w:val="AERbodytext"/>
        <w:rPr>
          <w:rFonts w:ascii="Arial" w:hAnsi="Arial" w:cs="Arial"/>
        </w:rPr>
      </w:pPr>
    </w:p>
    <w:p w:rsidR="007749FC" w:rsidRPr="00A25A3C" w:rsidRDefault="007749FC" w:rsidP="007749FC">
      <w:pPr>
        <w:pStyle w:val="AERbodytext"/>
        <w:rPr>
          <w:rFonts w:ascii="Arial" w:hAnsi="Arial" w:cs="Arial"/>
        </w:rPr>
      </w:pPr>
    </w:p>
    <w:p w:rsidR="007749FC" w:rsidRPr="00A25A3C" w:rsidRDefault="007749FC" w:rsidP="007749FC">
      <w:pPr>
        <w:pStyle w:val="Heading1"/>
        <w:rPr>
          <w:rFonts w:ascii="Arial" w:hAnsi="Arial" w:cs="Arial"/>
        </w:rPr>
      </w:pPr>
      <w:bookmarkStart w:id="10" w:name="_Toc410223754"/>
      <w:r w:rsidRPr="00A25A3C">
        <w:rPr>
          <w:rFonts w:ascii="Arial" w:hAnsi="Arial" w:cs="Arial"/>
        </w:rPr>
        <w:lastRenderedPageBreak/>
        <w:t>The model</w:t>
      </w:r>
      <w:bookmarkEnd w:id="10"/>
    </w:p>
    <w:p w:rsidR="006A462A" w:rsidRPr="00A25A3C" w:rsidRDefault="006A462A" w:rsidP="006A462A">
      <w:pPr>
        <w:pStyle w:val="Heading2"/>
        <w:rPr>
          <w:rFonts w:ascii="Arial" w:hAnsi="Arial" w:cs="Arial"/>
        </w:rPr>
      </w:pPr>
      <w:bookmarkStart w:id="11" w:name="_Toc410223755"/>
      <w:r w:rsidRPr="00A25A3C">
        <w:rPr>
          <w:rFonts w:ascii="Arial" w:hAnsi="Arial" w:cs="Arial"/>
        </w:rPr>
        <w:t>Overview of the PTRM</w:t>
      </w:r>
      <w:bookmarkEnd w:id="11"/>
    </w:p>
    <w:p w:rsidR="006A462A" w:rsidRPr="00A25A3C" w:rsidRDefault="006D46C0" w:rsidP="006A462A">
      <w:pPr>
        <w:pStyle w:val="AERbodytext"/>
        <w:rPr>
          <w:rFonts w:ascii="Arial" w:hAnsi="Arial" w:cs="Arial"/>
        </w:rPr>
      </w:pPr>
      <w:r w:rsidRPr="00A25A3C">
        <w:rPr>
          <w:rFonts w:ascii="Arial" w:hAnsi="Arial" w:cs="Arial"/>
        </w:rPr>
        <w:t>The PTRM is used to calculate the allowed revenue for a given regulatory control period. Specifically, the PTRM is a set of Microsoft Excel spreadsheets (combined into one file, often referred to as a singular spreadsheet) that perform iterative calculations to derive the ABBRR, MAR and X factors for each regulatory year of the regulatory control period from a given set of inputs.</w:t>
      </w:r>
      <w:r w:rsidRPr="00A25A3C">
        <w:rPr>
          <w:rStyle w:val="FootnoteReference"/>
          <w:rFonts w:ascii="Arial" w:hAnsi="Arial" w:cs="Arial"/>
        </w:rPr>
        <w:footnoteReference w:id="1"/>
      </w:r>
      <w:r w:rsidRPr="00A25A3C">
        <w:rPr>
          <w:rFonts w:ascii="Arial" w:hAnsi="Arial" w:cs="Arial"/>
        </w:rPr>
        <w:t xml:space="preserve"> The PTRM allows the user to enter these inputs and then displays the outputs. </w:t>
      </w:r>
      <w:r w:rsidRPr="00A25A3C">
        <w:rPr>
          <w:rFonts w:ascii="Arial" w:hAnsi="Arial" w:cs="Arial"/>
        </w:rPr>
        <w:fldChar w:fldCharType="begin"/>
      </w:r>
      <w:r w:rsidRPr="00A25A3C">
        <w:rPr>
          <w:rFonts w:ascii="Arial" w:hAnsi="Arial" w:cs="Arial"/>
        </w:rPr>
        <w:instrText xml:space="preserve"> REF _Ref409711482 \h  \* MERGEFORMAT </w:instrText>
      </w:r>
      <w:r w:rsidRPr="00A25A3C">
        <w:rPr>
          <w:rFonts w:ascii="Arial" w:hAnsi="Arial" w:cs="Arial"/>
        </w:rPr>
      </w:r>
      <w:r w:rsidRPr="00A25A3C">
        <w:rPr>
          <w:rFonts w:ascii="Arial" w:hAnsi="Arial" w:cs="Arial"/>
        </w:rPr>
        <w:fldChar w:fldCharType="separate"/>
      </w:r>
      <w:r w:rsidRPr="00A25A3C">
        <w:rPr>
          <w:rFonts w:ascii="Arial" w:hAnsi="Arial" w:cs="Arial"/>
        </w:rPr>
        <w:t xml:space="preserve">Figure </w:t>
      </w:r>
      <w:r w:rsidRPr="00A25A3C">
        <w:rPr>
          <w:rFonts w:ascii="Arial" w:hAnsi="Arial" w:cs="Arial"/>
          <w:noProof/>
        </w:rPr>
        <w:t>1</w:t>
      </w:r>
      <w:r w:rsidRPr="00A25A3C">
        <w:rPr>
          <w:rFonts w:ascii="Arial" w:hAnsi="Arial" w:cs="Arial"/>
        </w:rPr>
        <w:fldChar w:fldCharType="end"/>
      </w:r>
      <w:r w:rsidRPr="00A25A3C">
        <w:rPr>
          <w:rFonts w:ascii="Arial" w:hAnsi="Arial" w:cs="Arial"/>
        </w:rPr>
        <w:t xml:space="preserve"> provides an overview of this process.</w:t>
      </w:r>
    </w:p>
    <w:p w:rsidR="006A462A" w:rsidRPr="00A25A3C" w:rsidRDefault="00236AA5" w:rsidP="006A462A">
      <w:pPr>
        <w:pStyle w:val="Caption"/>
        <w:rPr>
          <w:rFonts w:ascii="Arial" w:hAnsi="Arial" w:cs="Arial"/>
        </w:rPr>
      </w:pPr>
      <w:bookmarkStart w:id="12" w:name="_Ref409711482"/>
      <w:r>
        <w:rPr>
          <w:rFonts w:ascii="Arial" w:hAnsi="Arial" w:cs="Arial"/>
          <w:noProof/>
          <w:lang w:eastAsia="en-AU"/>
        </w:rPr>
        <w:pict>
          <v:group id="_x0000_s1080" style="position:absolute;left:0;text-align:left;margin-left:0;margin-top:16.3pt;width:448.5pt;height:482.1pt;z-index:251693056" coordorigin="1440,4785" coordsize="8970,9642">
            <v:group id="Group 22" o:spid="_x0000_s1027" style="position:absolute;left:1440;top:4785;width:8970;height:9642" coordsize="56971,63431" o:regroupid="1">
              <v:shapetype id="_x0000_t202" coordsize="21600,21600" o:spt="202" path="m,l,21600r21600,l21600,xe">
                <v:stroke joinstyle="miter"/>
                <v:path gradientshapeok="t" o:connecttype="rect"/>
              </v:shapetype>
              <v:shape id="Text Box 23" o:spid="_x0000_s1028" type="#_x0000_t202" style="position:absolute;left:16161;width:21249;height:63431;visibility:visible;mso-wrap-style:square;v-text-anchor:top" filled="f" strokecolor="#d8d8d8 [2732]" strokeweight="1.5pt">
                <v:textbox style="mso-next-textbox:#Text Box 23">
                  <w:txbxContent>
                    <w:p w:rsidR="00236AA5" w:rsidRPr="00472B62" w:rsidRDefault="00236AA5" w:rsidP="006A462A">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CALCULATIONS</w:t>
                      </w:r>
                    </w:p>
                  </w:txbxContent>
                </v:textbox>
              </v:shape>
              <v:shape id="Text Box 24" o:spid="_x0000_s1029" type="#_x0000_t202" style="position:absolute;left:37556;width:19415;height:63431;visibility:visible;mso-wrap-style:square;v-text-anchor:top" filled="f" strokecolor="#d8d8d8 [2732]" strokeweight="1.5pt">
                <v:textbox style="mso-next-textbox:#Text Box 24">
                  <w:txbxContent>
                    <w:p w:rsidR="00236AA5" w:rsidRPr="00472B62" w:rsidRDefault="00236AA5" w:rsidP="006A462A">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OUTPUTS</w:t>
                      </w:r>
                    </w:p>
                  </w:txbxContent>
                </v:textbox>
              </v:shape>
              <v:shape id="Text Box 25" o:spid="_x0000_s1030" type="#_x0000_t202" style="position:absolute;width:16052;height:63431;visibility:visible;mso-wrap-style:square;v-text-anchor:top" filled="f" strokecolor="#d8d8d8 [2732]" strokeweight="1.5pt">
                <v:textbox style="mso-next-textbox:#Text Box 25">
                  <w:txbxContent>
                    <w:p w:rsidR="00236AA5" w:rsidRPr="00472B62" w:rsidRDefault="00236AA5" w:rsidP="006A462A">
                      <w:pPr>
                        <w:spacing w:before="80"/>
                        <w:jc w:val="center"/>
                        <w:rPr>
                          <w:rFonts w:ascii="Arial" w:hAnsi="Arial" w:cs="Arial"/>
                          <w:b/>
                          <w:color w:val="808080" w:themeColor="background1" w:themeShade="80"/>
                        </w:rPr>
                      </w:pPr>
                      <w:r w:rsidRPr="00472B62">
                        <w:rPr>
                          <w:rFonts w:ascii="Arial" w:hAnsi="Arial" w:cs="Arial"/>
                          <w:b/>
                          <w:color w:val="808080" w:themeColor="background1" w:themeShade="80"/>
                        </w:rPr>
                        <w:t>INPUTS</w:t>
                      </w:r>
                    </w:p>
                  </w:txbxContent>
                </v:textbox>
              </v:shape>
            </v:group>
            <v:group id="_x0000_s1079" style="position:absolute;left:1659;top:5341;width:8466;height:8999" coordorigin="1659,5341" coordsize="8466,8999" o:regroupid="1">
              <v:group id="Group 31" o:spid="_x0000_s1032" style="position:absolute;left:1659;top:5341;width:2130;height:6962" coordsize="13525,44221" o:regroupid="2">
                <v:shape id="Text Box 32" o:spid="_x0000_s1033" type="#_x0000_t202" style="position:absolute;top:3402;width:13525;height:40819;visibility:visible;mso-wrap-style:square;v-text-anchor:top" fillcolor="white [3201]" strokeweight=".5pt">
                  <v:textbox style="mso-next-textbox:#Text Box 32">
                    <w:txbxContent>
                      <w:p w:rsidR="00236AA5" w:rsidRPr="00472B62" w:rsidRDefault="00236AA5" w:rsidP="006A462A">
                        <w:pPr>
                          <w:spacing w:before="120" w:after="0" w:line="240" w:lineRule="auto"/>
                          <w:jc w:val="left"/>
                          <w:rPr>
                            <w:rFonts w:ascii="Arial" w:hAnsi="Arial" w:cs="Arial"/>
                            <w:sz w:val="18"/>
                            <w:szCs w:val="18"/>
                          </w:rPr>
                        </w:pPr>
                        <w:r w:rsidRPr="00472B62">
                          <w:rPr>
                            <w:rFonts w:ascii="Arial" w:hAnsi="Arial" w:cs="Arial"/>
                            <w:sz w:val="18"/>
                            <w:szCs w:val="18"/>
                          </w:rPr>
                          <w:t>User enters all data required by the PTRM on this sheet. This includes: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Opening </w:t>
                        </w:r>
                        <w:r w:rsidRPr="00472B62">
                          <w:rPr>
                            <w:rFonts w:ascii="Arial" w:hAnsi="Arial" w:cs="Arial"/>
                            <w:sz w:val="18"/>
                            <w:szCs w:val="18"/>
                          </w:rPr>
                          <w:t>RAB values and lives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Opening </w:t>
                        </w:r>
                        <w:r w:rsidRPr="00472B62">
                          <w:rPr>
                            <w:rFonts w:ascii="Arial" w:hAnsi="Arial" w:cs="Arial"/>
                            <w:sz w:val="18"/>
                            <w:szCs w:val="18"/>
                          </w:rPr>
                          <w:t>TAB values and lives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c</w:t>
                        </w:r>
                        <w:r w:rsidRPr="00472B62">
                          <w:rPr>
                            <w:rFonts w:ascii="Arial" w:hAnsi="Arial" w:cs="Arial"/>
                            <w:sz w:val="18"/>
                            <w:szCs w:val="18"/>
                          </w:rPr>
                          <w:t>apex</w:t>
                        </w:r>
                        <w:r>
                          <w:rPr>
                            <w:rFonts w:ascii="Arial" w:hAnsi="Arial" w:cs="Arial"/>
                            <w:sz w:val="18"/>
                            <w:szCs w:val="18"/>
                          </w:rPr>
                          <w:t>, both as incurred and as commissioned</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a</w:t>
                        </w:r>
                        <w:r w:rsidRPr="00472B62">
                          <w:rPr>
                            <w:rFonts w:ascii="Arial" w:hAnsi="Arial" w:cs="Arial"/>
                            <w:sz w:val="18"/>
                            <w:szCs w:val="18"/>
                          </w:rPr>
                          <w:t>sset disposals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 xml:space="preserve">Forecast </w:t>
                        </w:r>
                        <w:proofErr w:type="spellStart"/>
                        <w:r>
                          <w:rPr>
                            <w:rFonts w:ascii="Arial" w:hAnsi="Arial" w:cs="Arial"/>
                            <w:sz w:val="18"/>
                            <w:szCs w:val="18"/>
                          </w:rPr>
                          <w:t>o</w:t>
                        </w:r>
                        <w:r w:rsidRPr="00472B62">
                          <w:rPr>
                            <w:rFonts w:ascii="Arial" w:hAnsi="Arial" w:cs="Arial"/>
                            <w:sz w:val="18"/>
                            <w:szCs w:val="18"/>
                          </w:rPr>
                          <w:t>pex</w:t>
                        </w:r>
                        <w:proofErr w:type="spellEnd"/>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Revenue adjustments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Tax rates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Return on equity</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Return on debt (varies year by year)</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xml:space="preserve">• </w:t>
                        </w:r>
                        <w:r>
                          <w:rPr>
                            <w:rFonts w:ascii="Arial" w:hAnsi="Arial" w:cs="Arial"/>
                            <w:sz w:val="18"/>
                            <w:szCs w:val="18"/>
                          </w:rPr>
                          <w:t>Forecast i</w:t>
                        </w:r>
                        <w:r w:rsidRPr="00472B62">
                          <w:rPr>
                            <w:rFonts w:ascii="Arial" w:hAnsi="Arial" w:cs="Arial"/>
                            <w:sz w:val="18"/>
                            <w:szCs w:val="18"/>
                          </w:rPr>
                          <w:t>nflation</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Capital raising costs</w:t>
                        </w:r>
                      </w:p>
                      <w:p w:rsidR="00236AA5" w:rsidRPr="00472B62" w:rsidRDefault="00236AA5" w:rsidP="00BB50F8">
                        <w:pPr>
                          <w:spacing w:before="70" w:after="0" w:line="240" w:lineRule="auto"/>
                          <w:ind w:left="142" w:hanging="142"/>
                          <w:jc w:val="left"/>
                          <w:rPr>
                            <w:rFonts w:ascii="Arial" w:hAnsi="Arial" w:cs="Arial"/>
                            <w:sz w:val="18"/>
                            <w:szCs w:val="18"/>
                          </w:rPr>
                        </w:pPr>
                        <w:r w:rsidRPr="00472B62">
                          <w:rPr>
                            <w:rFonts w:ascii="Arial" w:hAnsi="Arial" w:cs="Arial"/>
                            <w:sz w:val="18"/>
                            <w:szCs w:val="18"/>
                          </w:rPr>
                          <w:t>• Forecast demand</w:t>
                        </w:r>
                      </w:p>
                      <w:p w:rsidR="00236AA5" w:rsidRPr="00472B62" w:rsidRDefault="00236AA5" w:rsidP="00BB50F8">
                        <w:pPr>
                          <w:spacing w:before="70" w:after="0" w:line="240" w:lineRule="auto"/>
                          <w:ind w:left="142" w:hanging="142"/>
                          <w:jc w:val="left"/>
                          <w:rPr>
                            <w:rFonts w:ascii="Arial" w:hAnsi="Arial" w:cs="Arial"/>
                            <w:sz w:val="18"/>
                            <w:szCs w:val="18"/>
                          </w:rPr>
                        </w:pPr>
                        <w:r>
                          <w:rPr>
                            <w:rFonts w:ascii="Arial" w:hAnsi="Arial" w:cs="Arial"/>
                            <w:sz w:val="18"/>
                            <w:szCs w:val="18"/>
                          </w:rPr>
                          <w:t>• Current revenue and price</w:t>
                        </w:r>
                      </w:p>
                    </w:txbxContent>
                  </v:textbox>
                </v:shape>
                <v:shape id="Text Box 33" o:spid="_x0000_s1034" type="#_x0000_t202" style="position:absolute;width:13525;height:3384;visibility:visible;mso-wrap-style:square;v-text-anchor:top" fillcolor="#fc9" strokeweight=".5pt">
                  <v:textbox style="mso-next-textbox:#Text Box 33">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PTRM input</w:t>
                        </w:r>
                      </w:p>
                    </w:txbxContent>
                  </v:textbox>
                </v:shape>
              </v:group>
              <v:group id="Group 34" o:spid="_x0000_s1035" style="position:absolute;left:4216;top:5341;width:2869;height:1551" coordsize="13525,9864" o:regroupid="2">
                <v:shape id="Text Box 35" o:spid="_x0000_s1036" type="#_x0000_t202" style="position:absolute;top:3402;width:13525;height:6462;visibility:visible;mso-wrap-style:square;v-text-anchor:top" fillcolor="white [3201]" strokeweight=".5pt">
                  <v:textbox style="mso-next-textbox:#Text Box 35">
                    <w:txbxContent>
                      <w:p w:rsidR="00236AA5" w:rsidRPr="00472B62" w:rsidRDefault="00236AA5" w:rsidP="006A462A">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the weighted average cost of capital for each year of the period.</w:t>
                        </w:r>
                        <w:proofErr w:type="gramEnd"/>
                      </w:p>
                    </w:txbxContent>
                  </v:textbox>
                </v:shape>
                <v:shape id="Text Box 36" o:spid="_x0000_s1037" type="#_x0000_t202" style="position:absolute;width:13525;height:3384;visibility:visible;mso-wrap-style:square;v-text-anchor:top" fillcolor="#fc9" strokeweight=".5pt">
                  <v:textbox style="mso-next-textbox:#Text Box 36">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WACC</w:t>
                        </w:r>
                      </w:p>
                    </w:txbxContent>
                  </v:textbox>
                </v:shape>
              </v:group>
              <v:group id="Group 37" o:spid="_x0000_s1038" style="position:absolute;left:4470;top:7184;width:2130;height:2242" coordsize="13525,10846" o:regroupid="2">
                <v:shape id="Text Box 38" o:spid="_x0000_s1039" type="#_x0000_t202" style="position:absolute;top:2578;width:13525;height:8268;visibility:visible;mso-wrap-style:square;v-text-anchor:top" fillcolor="white [3201]" strokeweight=".5pt">
                  <v:textbox style="mso-next-textbox:#Text Box 38">
                    <w:txbxContent>
                      <w:p w:rsidR="00236AA5" w:rsidRPr="00472B62" w:rsidRDefault="00236AA5" w:rsidP="006A462A">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the values of the RAB and TAB across the period, and regulatory depreciation (return of capital) for each year.</w:t>
                        </w:r>
                        <w:proofErr w:type="gramEnd"/>
                      </w:p>
                    </w:txbxContent>
                  </v:textbox>
                </v:shape>
                <v:shape id="Text Box 39" o:spid="_x0000_s1040" type="#_x0000_t202" style="position:absolute;width:13525;height:2578;visibility:visible;mso-wrap-style:square;v-text-anchor:top" fillcolor="#fc9" strokeweight=".5pt">
                  <v:textbox style="mso-next-textbox:#Text Box 39">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Assets</w:t>
                        </w:r>
                      </w:p>
                    </w:txbxContent>
                  </v:textbox>
                </v:shape>
              </v:group>
              <v:group id="Group 41" o:spid="_x0000_s1041" style="position:absolute;left:4700;top:9719;width:2384;height:1941" coordsize="13525,12352" o:regroupid="2">
                <v:shape id="Text Box 42" o:spid="_x0000_s1042" type="#_x0000_t202" style="position:absolute;top:3402;width:13525;height:8950;visibility:visible;mso-wrap-style:square;v-text-anchor:top" fillcolor="white [3201]" strokeweight=".5pt">
                  <v:textbox style="mso-next-textbox:#Text Box 42">
                    <w:txbxContent>
                      <w:p w:rsidR="00236AA5" w:rsidRPr="00472B62" w:rsidRDefault="00236AA5" w:rsidP="006A462A">
                        <w:pPr>
                          <w:spacing w:before="120" w:after="0" w:line="240" w:lineRule="auto"/>
                          <w:jc w:val="left"/>
                          <w:rPr>
                            <w:rFonts w:ascii="Arial" w:hAnsi="Arial" w:cs="Arial"/>
                            <w:sz w:val="18"/>
                            <w:szCs w:val="18"/>
                          </w:rPr>
                        </w:pPr>
                        <w:r w:rsidRPr="00472B62">
                          <w:rPr>
                            <w:rFonts w:ascii="Arial" w:hAnsi="Arial" w:cs="Arial"/>
                            <w:sz w:val="18"/>
                            <w:szCs w:val="18"/>
                          </w:rPr>
                          <w:t xml:space="preserve">Cash flow analysis for each year of the </w:t>
                        </w:r>
                        <w:proofErr w:type="gramStart"/>
                        <w:r w:rsidRPr="00472B62">
                          <w:rPr>
                            <w:rFonts w:ascii="Arial" w:hAnsi="Arial" w:cs="Arial"/>
                            <w:sz w:val="18"/>
                            <w:szCs w:val="18"/>
                          </w:rPr>
                          <w:t>period,</w:t>
                        </w:r>
                        <w:proofErr w:type="gramEnd"/>
                        <w:r w:rsidRPr="00472B62">
                          <w:rPr>
                            <w:rFonts w:ascii="Arial" w:hAnsi="Arial" w:cs="Arial"/>
                            <w:sz w:val="18"/>
                            <w:szCs w:val="18"/>
                          </w:rPr>
                          <w:t xml:space="preserve"> shows all building blocks and calculates tax payable.</w:t>
                        </w:r>
                      </w:p>
                    </w:txbxContent>
                  </v:textbox>
                </v:shape>
                <v:shape id="Text Box 43" o:spid="_x0000_s1043" type="#_x0000_t202" style="position:absolute;width:13525;height:3384;visibility:visible;mso-wrap-style:square;v-text-anchor:top" fillcolor="#fc9" strokeweight=".5pt">
                  <v:textbox style="mso-next-textbox:#Text Box 43">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Analysis</w:t>
                        </w:r>
                      </w:p>
                    </w:txbxContent>
                  </v:textbox>
                </v:shape>
              </v:group>
              <v:group id="Group 47" o:spid="_x0000_s1047" style="position:absolute;left:7523;top:9465;width:2154;height:2905" coordsize="13525,18475" o:regroupid="2">
                <v:shape id="Text Box 48" o:spid="_x0000_s1048" type="#_x0000_t202" style="position:absolute;top:3402;width:13525;height:15073;visibility:visible;mso-wrap-style:square;v-text-anchor:top" fillcolor="white [3201]" strokeweight=".5pt">
                  <v:textbox style="mso-next-textbox:#Text Box 48">
                    <w:txbxContent>
                      <w:p w:rsidR="00236AA5" w:rsidRPr="00472B62" w:rsidRDefault="00236AA5" w:rsidP="006A462A">
                        <w:pPr>
                          <w:spacing w:before="120" w:after="0" w:line="240" w:lineRule="auto"/>
                          <w:jc w:val="left"/>
                          <w:rPr>
                            <w:rFonts w:ascii="Arial" w:hAnsi="Arial" w:cs="Arial"/>
                            <w:sz w:val="18"/>
                            <w:szCs w:val="18"/>
                          </w:rPr>
                        </w:pPr>
                        <w:r w:rsidRPr="00472B62">
                          <w:rPr>
                            <w:rFonts w:ascii="Arial" w:hAnsi="Arial" w:cs="Arial"/>
                            <w:sz w:val="18"/>
                            <w:szCs w:val="18"/>
                          </w:rPr>
                          <w:t>Converts unsmoothed revenue</w:t>
                        </w:r>
                        <w:r>
                          <w:rPr>
                            <w:rFonts w:ascii="Arial" w:hAnsi="Arial" w:cs="Arial"/>
                            <w:sz w:val="18"/>
                            <w:szCs w:val="18"/>
                          </w:rPr>
                          <w:t>s</w:t>
                        </w:r>
                        <w:r w:rsidRPr="00472B62">
                          <w:rPr>
                            <w:rFonts w:ascii="Arial" w:hAnsi="Arial" w:cs="Arial"/>
                            <w:sz w:val="18"/>
                            <w:szCs w:val="18"/>
                          </w:rPr>
                          <w:t xml:space="preserve"> to smoothed revenue</w:t>
                        </w:r>
                        <w:r>
                          <w:rPr>
                            <w:rFonts w:ascii="Arial" w:hAnsi="Arial" w:cs="Arial"/>
                            <w:sz w:val="18"/>
                            <w:szCs w:val="18"/>
                          </w:rPr>
                          <w:t xml:space="preserve">s, using </w:t>
                        </w:r>
                        <w:proofErr w:type="gramStart"/>
                        <w:r>
                          <w:rPr>
                            <w:rFonts w:ascii="Arial" w:hAnsi="Arial" w:cs="Arial"/>
                            <w:sz w:val="18"/>
                            <w:szCs w:val="18"/>
                          </w:rPr>
                          <w:t>a revenue</w:t>
                        </w:r>
                        <w:proofErr w:type="gramEnd"/>
                        <w:r>
                          <w:rPr>
                            <w:rFonts w:ascii="Arial" w:hAnsi="Arial" w:cs="Arial"/>
                            <w:sz w:val="18"/>
                            <w:szCs w:val="18"/>
                          </w:rPr>
                          <w:t xml:space="preserve"> cap form of control</w:t>
                        </w:r>
                        <w:r w:rsidRPr="00472B62">
                          <w:rPr>
                            <w:rFonts w:ascii="Arial" w:hAnsi="Arial" w:cs="Arial"/>
                            <w:sz w:val="18"/>
                            <w:szCs w:val="18"/>
                          </w:rPr>
                          <w:t xml:space="preserve">. User </w:t>
                        </w:r>
                        <w:r>
                          <w:rPr>
                            <w:rFonts w:ascii="Arial" w:hAnsi="Arial" w:cs="Arial"/>
                            <w:sz w:val="18"/>
                            <w:szCs w:val="18"/>
                          </w:rPr>
                          <w:t>sets</w:t>
                        </w:r>
                        <w:r w:rsidRPr="00472B62">
                          <w:rPr>
                            <w:rFonts w:ascii="Arial" w:hAnsi="Arial" w:cs="Arial"/>
                            <w:sz w:val="18"/>
                            <w:szCs w:val="18"/>
                          </w:rPr>
                          <w:t xml:space="preserve"> the </w:t>
                        </w:r>
                        <w:r>
                          <w:rPr>
                            <w:rFonts w:ascii="Arial" w:hAnsi="Arial" w:cs="Arial"/>
                            <w:sz w:val="18"/>
                            <w:szCs w:val="18"/>
                          </w:rPr>
                          <w:t>profile</w:t>
                        </w:r>
                        <w:r w:rsidRPr="00472B62">
                          <w:rPr>
                            <w:rFonts w:ascii="Arial" w:hAnsi="Arial" w:cs="Arial"/>
                            <w:sz w:val="18"/>
                            <w:szCs w:val="18"/>
                          </w:rPr>
                          <w:t xml:space="preserve"> of the X factors via an iterative smoothing process.</w:t>
                        </w:r>
                      </w:p>
                    </w:txbxContent>
                  </v:textbox>
                </v:shape>
                <v:shape id="Text Box 49" o:spid="_x0000_s1049" type="#_x0000_t202" style="position:absolute;width:13525;height:3384;visibility:visible;mso-wrap-style:square;v-text-anchor:top" fillcolor="#fc9" strokeweight=".5pt">
                  <v:textbox style="mso-next-textbox:#Text Box 49">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X factors</w:t>
                        </w:r>
                      </w:p>
                    </w:txbxContent>
                  </v:textbox>
                </v:shape>
              </v:group>
              <v:group id="Group 50" o:spid="_x0000_s1050" style="position:absolute;left:7730;top:7115;width:2391;height:2111" coordsize="13525,13424" o:regroupid="2">
                <v:shape id="Text Box 51" o:spid="_x0000_s1051" type="#_x0000_t202" style="position:absolute;top:3402;width:13525;height:10022;visibility:visible;mso-wrap-style:square;v-text-anchor:top" fillcolor="white [3201]" strokeweight=".5pt">
                  <v:textbox style="mso-next-textbox:#Text Box 51">
                    <w:txbxContent>
                      <w:p w:rsidR="00236AA5" w:rsidRPr="00472B62" w:rsidRDefault="00236AA5" w:rsidP="006A462A">
                        <w:pPr>
                          <w:spacing w:before="120" w:after="0" w:line="240" w:lineRule="auto"/>
                          <w:jc w:val="left"/>
                          <w:rPr>
                            <w:rFonts w:ascii="Arial" w:hAnsi="Arial" w:cs="Arial"/>
                            <w:sz w:val="18"/>
                            <w:szCs w:val="18"/>
                          </w:rPr>
                        </w:pPr>
                        <w:r w:rsidRPr="00472B62">
                          <w:rPr>
                            <w:rFonts w:ascii="Arial" w:hAnsi="Arial" w:cs="Arial"/>
                            <w:sz w:val="18"/>
                            <w:szCs w:val="18"/>
                          </w:rPr>
                          <w:t>Tables showing building blocks, unsmoothed revenue, smoothed revenue, X factors, demand and indicative price paths.</w:t>
                        </w:r>
                      </w:p>
                    </w:txbxContent>
                  </v:textbox>
                </v:shape>
                <v:shape id="Text Box 52" o:spid="_x0000_s1052" type="#_x0000_t202" style="position:absolute;width:13525;height:3384;visibility:visible;mso-wrap-style:square;v-text-anchor:top" fillcolor="#fc9" strokeweight=".5pt">
                  <v:textbox style="mso-next-textbox:#Text Box 52">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Revenue summary</w:t>
                        </w:r>
                      </w:p>
                    </w:txbxContent>
                  </v:textbox>
                </v:shape>
              </v:group>
              <v:group id="Group 53" o:spid="_x0000_s1053" style="position:absolute;left:7995;top:5341;width:2130;height:1542" coordsize="13525,9810" o:regroupid="2">
                <v:shape id="Text Box 54" o:spid="_x0000_s1054" type="#_x0000_t202" style="position:absolute;top:3402;width:13525;height:6408;visibility:visible;mso-wrap-style:square;v-text-anchor:top" fillcolor="white [3201]" strokeweight=".5pt">
                  <v:textbox style="mso-next-textbox:#Text Box 54">
                    <w:txbxContent>
                      <w:p w:rsidR="00236AA5" w:rsidRPr="00472B62" w:rsidRDefault="00236AA5" w:rsidP="006A462A">
                        <w:pPr>
                          <w:spacing w:before="120" w:after="0" w:line="240" w:lineRule="auto"/>
                          <w:jc w:val="left"/>
                          <w:rPr>
                            <w:rFonts w:ascii="Arial" w:hAnsi="Arial" w:cs="Arial"/>
                            <w:sz w:val="18"/>
                            <w:szCs w:val="18"/>
                          </w:rPr>
                        </w:pPr>
                        <w:proofErr w:type="gramStart"/>
                        <w:r w:rsidRPr="00472B62">
                          <w:rPr>
                            <w:rFonts w:ascii="Arial" w:hAnsi="Arial" w:cs="Arial"/>
                            <w:sz w:val="18"/>
                            <w:szCs w:val="18"/>
                          </w:rPr>
                          <w:t xml:space="preserve">Graphs of key data </w:t>
                        </w:r>
                        <w:r>
                          <w:rPr>
                            <w:rFonts w:ascii="Arial" w:hAnsi="Arial" w:cs="Arial"/>
                            <w:sz w:val="18"/>
                            <w:szCs w:val="18"/>
                          </w:rPr>
                          <w:t>including revenue and price path</w:t>
                        </w:r>
                        <w:r w:rsidRPr="00472B62">
                          <w:rPr>
                            <w:rFonts w:ascii="Arial" w:hAnsi="Arial" w:cs="Arial"/>
                            <w:sz w:val="18"/>
                            <w:szCs w:val="18"/>
                          </w:rPr>
                          <w:t>.</w:t>
                        </w:r>
                        <w:proofErr w:type="gramEnd"/>
                      </w:p>
                    </w:txbxContent>
                  </v:textbox>
                </v:shape>
                <v:shape id="Text Box 55" o:spid="_x0000_s1055" type="#_x0000_t202" style="position:absolute;width:13525;height:3384;visibility:visible;mso-wrap-style:square;v-text-anchor:top" fillcolor="#fc9" strokeweight=".5pt">
                  <v:textbox style="mso-next-textbox:#Text Box 55">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Graphs</w:t>
                        </w:r>
                      </w:p>
                    </w:txbxContent>
                  </v:textbox>
                </v:shape>
              </v:group>
              <v:group id="Group 56" o:spid="_x0000_s1056" style="position:absolute;left:4458;top:11942;width:2629;height:1650" coordsize="13525,10503" o:regroupid="2">
                <v:shape id="Text Box 57" o:spid="_x0000_s1057" type="#_x0000_t202" style="position:absolute;top:3402;width:13525;height:7101;visibility:visible;mso-wrap-style:square;v-text-anchor:top" fillcolor="white [3201]" strokeweight=".5pt">
                  <v:textbox style="mso-next-textbox:#Text Box 57">
                    <w:txbxContent>
                      <w:p w:rsidR="00236AA5" w:rsidRPr="00472B62" w:rsidRDefault="00236AA5" w:rsidP="006A462A">
                        <w:pPr>
                          <w:spacing w:before="120" w:after="0" w:line="240" w:lineRule="auto"/>
                          <w:jc w:val="left"/>
                          <w:rPr>
                            <w:rFonts w:ascii="Arial" w:hAnsi="Arial" w:cs="Arial"/>
                            <w:sz w:val="18"/>
                            <w:szCs w:val="18"/>
                          </w:rPr>
                        </w:pPr>
                        <w:proofErr w:type="gramStart"/>
                        <w:r w:rsidRPr="00472B62">
                          <w:rPr>
                            <w:rFonts w:ascii="Arial" w:hAnsi="Arial" w:cs="Arial"/>
                            <w:sz w:val="18"/>
                            <w:szCs w:val="18"/>
                          </w:rPr>
                          <w:t>Calculates benchmark equity raising costs, from building blocks and smoothed revenue.</w:t>
                        </w:r>
                        <w:proofErr w:type="gramEnd"/>
                      </w:p>
                    </w:txbxContent>
                  </v:textbox>
                </v:shape>
                <v:shape id="Text Box 58" o:spid="_x0000_s1058" type="#_x0000_t202" style="position:absolute;width:13525;height:3384;visibility:visible;mso-wrap-style:square;v-text-anchor:top" fillcolor="#fc9" strokeweight=".5pt">
                  <v:textbox style="mso-next-textbox:#Text Box 58">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Equity raising costs</w:t>
                        </w:r>
                      </w:p>
                    </w:txbxContent>
                  </v:textbox>
                </v:shape>
              </v:group>
              <v:group id="Group 59" o:spid="_x0000_s1059" style="position:absolute;left:1659;top:12633;width:2130;height:1707" coordsize="13525,10846" o:regroupid="2">
                <v:shape id="Text Box 60" o:spid="_x0000_s1060" type="#_x0000_t202" style="position:absolute;top:3402;width:13525;height:7444;visibility:visible;mso-wrap-style:square;v-text-anchor:top" fillcolor="white [3201]" strokeweight=".5pt">
                  <v:textbox style="mso-next-textbox:#Text Box 60">
                    <w:txbxContent>
                      <w:p w:rsidR="00236AA5" w:rsidRPr="00472B62" w:rsidRDefault="00236AA5" w:rsidP="006A462A">
                        <w:pPr>
                          <w:spacing w:before="120" w:after="0" w:line="240" w:lineRule="auto"/>
                          <w:jc w:val="left"/>
                          <w:rPr>
                            <w:rFonts w:ascii="Arial" w:hAnsi="Arial" w:cs="Arial"/>
                            <w:sz w:val="18"/>
                            <w:szCs w:val="18"/>
                          </w:rPr>
                        </w:pPr>
                        <w:proofErr w:type="gramStart"/>
                        <w:r w:rsidRPr="00472B62">
                          <w:rPr>
                            <w:rFonts w:ascii="Arial" w:hAnsi="Arial" w:cs="Arial"/>
                            <w:sz w:val="18"/>
                            <w:szCs w:val="18"/>
                          </w:rPr>
                          <w:t>Metadata that controls the automatic import of the PTRM into the AER system.</w:t>
                        </w:r>
                        <w:proofErr w:type="gramEnd"/>
                      </w:p>
                    </w:txbxContent>
                  </v:textbox>
                </v:shape>
                <v:shape id="Text Box 61" o:spid="_x0000_s1061" type="#_x0000_t202" style="position:absolute;width:13525;height:3384;visibility:visible;mso-wrap-style:square;v-text-anchor:top" fillcolor="#fc9" strokeweight=".5pt">
                  <v:textbox style="mso-next-textbox:#Text Box 61">
                    <w:txbxContent>
                      <w:p w:rsidR="00236AA5" w:rsidRPr="00472B62" w:rsidRDefault="00236AA5" w:rsidP="006A462A">
                        <w:pPr>
                          <w:spacing w:before="80"/>
                          <w:rPr>
                            <w:rFonts w:ascii="Arial" w:hAnsi="Arial" w:cs="Arial"/>
                            <w:b/>
                            <w:sz w:val="18"/>
                            <w:szCs w:val="18"/>
                          </w:rPr>
                        </w:pPr>
                        <w:r w:rsidRPr="00472B62">
                          <w:rPr>
                            <w:rFonts w:ascii="Arial" w:hAnsi="Arial" w:cs="Arial"/>
                            <w:b/>
                            <w:sz w:val="18"/>
                            <w:szCs w:val="18"/>
                          </w:rPr>
                          <w:t>DMS input</w:t>
                        </w:r>
                      </w:p>
                    </w:txbxContent>
                  </v:textbox>
                </v:shape>
              </v:group>
            </v:group>
            <v:group id="_x0000_s1078" style="position:absolute;left:3767;top:6205;width:4679;height:5985" coordorigin="3767,6205" coordsize="4679,5985" o:regroupid="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63" type="#_x0000_t13" style="position:absolute;left:3767;top:6205;width:476;height:179;visibility:visible;mso-wrap-style:square;v-text-anchor:middle" o:regroupid="3" adj="17535" fillcolor="#bfbfbf [2412]" strokecolor="#a5a5a5 [2092]" strokeweight="2pt"/>
              <v:shape id="Right Arrow 64" o:spid="_x0000_s1064" type="#_x0000_t13" style="position:absolute;left:3767;top:8371;width:709;height:179;visibility:visible;mso-wrap-style:square;v-text-anchor:middle" o:regroupid="3" adj="18873" fillcolor="#bfbfbf [2412]" strokecolor="#a5a5a5 [2092]" strokeweight="2pt"/>
              <v:shape id="Right Arrow 65" o:spid="_x0000_s1065" type="#_x0000_t13" style="position:absolute;left:4666;top:6965;width:340;height:179;rotation:90;visibility:visible;mso-wrap-style:square;v-text-anchor:middle" o:regroupid="3" adj="15915" fillcolor="#bfbfbf [2412]" strokecolor="#a5a5a5 [2092]" strokeweight="2pt"/>
              <v:shape id="Right Arrow 66" o:spid="_x0000_s1066" type="#_x0000_t13" style="position:absolute;left:3779;top:10709;width:946;height:179;visibility:visible;mso-wrap-style:square;v-text-anchor:middle" o:regroupid="3" adj="19559" fillcolor="#bfbfbf [2412]" strokecolor="#a5a5a5 [2092]" strokeweight="2pt"/>
              <v:shape id="Right Arrow 67" o:spid="_x0000_s1067" type="#_x0000_t13" style="position:absolute;left:4942;top:9477;width:317;height:182;rotation:90;visibility:visible;mso-wrap-style:square;v-text-anchor:middle" o:regroupid="3" adj="15426" fillcolor="#bfbfbf [2412]" strokecolor="#a5a5a5 [2092]" strokeweight="2pt"/>
              <v:shape id="Right Arrow 68" o:spid="_x0000_s1068" type="#_x0000_t13" style="position:absolute;left:5484;top:11700;width:311;height:179;rotation:90;flip:y;visibility:visible;mso-wrap-style:square;v-text-anchor:middle" o:regroupid="3" adj="15398" fillcolor="#bfbfbf [2412]" strokecolor="#a5a5a5 [2092]" strokeweight="2pt"/>
              <v:shape id="Right Arrow 69" o:spid="_x0000_s1069" type="#_x0000_t13" style="position:absolute;left:8226;top:6908;width:261;height:179;rotation:90;flip:y;visibility:visible;mso-wrap-style:square;v-text-anchor:middle" o:regroupid="3" adj="14187" fillcolor="#bfbfbf [2412]" strokecolor="#a5a5a5 [2092]" strokeweight="2pt"/>
              <v:shape id="Right Arrow 71" o:spid="_x0000_s1071" type="#_x0000_t13" style="position:absolute;left:7903;top:9246;width:283;height:179;rotation:90;flip:y;visibility:visible;mso-wrap-style:square;v-text-anchor:middle" o:regroupid="3" adj="14780" fillcolor="#bfbfbf [2412]" strokecolor="#a5a5a5 [2092]" strokeweight="2pt"/>
              <v:shape id="Right Arrow 72" o:spid="_x0000_s1072" type="#_x0000_t13" style="position:absolute;left:7085;top:12011;width:442;height:179;rotation:180;visibility:visible;mso-wrap-style:square;v-text-anchor:middle" o:regroupid="3" adj="17229" fillcolor="#bfbfbf [2412]" strokecolor="#a5a5a5 [2092]" strokeweight="2pt"/>
              <v:shape id="Right Arrow 73" o:spid="_x0000_s1073" type="#_x0000_t13" style="position:absolute;left:5127;top:11711;width:312;height:179;rotation:90;visibility:visible;mso-wrap-style:square;v-text-anchor:middle" o:regroupid="3" adj="15398" fillcolor="#bfbfbf [2412]" strokecolor="#a5a5a5 [2092]" strokeweight="2pt"/>
              <v:shape id="Right Arrow 75" o:spid="_x0000_s1075" type="#_x0000_t13" style="position:absolute;left:3779;top:12011;width:701;height:179;visibility:visible;mso-wrap-style:square;v-text-anchor:middle" o:regroupid="3" adj="18843" fillcolor="#bfbfbf [2412]" strokecolor="#a5a5a5 [2092]" strokeweight="2pt"/>
              <v:shape id="Right Arrow 76" o:spid="_x0000_s1076" type="#_x0000_t13" style="position:absolute;left:7085;top:10352;width:441;height:179;visibility:visible;mso-wrap-style:square;v-text-anchor:middle" o:regroupid="3" adj="17218" fillcolor="#bfbfbf [2412]" strokecolor="#a5a5a5 [2092]" strokeweight="2pt"/>
              <v:shape id="Right Arrow 77" o:spid="_x0000_s1077" type="#_x0000_t13" style="position:absolute;left:5438;top:8198;width:2851;height:179;rotation:-90;flip:y;visibility:visible;mso-wrap-style:square;v-text-anchor:middle" o:regroupid="3" adj="20922" fillcolor="#bfbfbf [2412]" strokecolor="#a5a5a5 [2092]" strokeweight="2pt"/>
            </v:group>
          </v:group>
        </w:pict>
      </w:r>
      <w:r w:rsidR="006A462A" w:rsidRPr="00A25A3C">
        <w:rPr>
          <w:rFonts w:ascii="Arial" w:hAnsi="Arial" w:cs="Arial"/>
        </w:rPr>
        <w:t xml:space="preserve">Figure </w:t>
      </w:r>
      <w:r w:rsidR="006A462A" w:rsidRPr="00A25A3C">
        <w:rPr>
          <w:rFonts w:ascii="Arial" w:hAnsi="Arial" w:cs="Arial"/>
        </w:rPr>
        <w:fldChar w:fldCharType="begin"/>
      </w:r>
      <w:r w:rsidR="006A462A" w:rsidRPr="00A25A3C">
        <w:rPr>
          <w:rFonts w:ascii="Arial" w:hAnsi="Arial" w:cs="Arial"/>
        </w:rPr>
        <w:instrText xml:space="preserve"> SEQ Figure \* ARABIC </w:instrText>
      </w:r>
      <w:r w:rsidR="006A462A" w:rsidRPr="00A25A3C">
        <w:rPr>
          <w:rFonts w:ascii="Arial" w:hAnsi="Arial" w:cs="Arial"/>
        </w:rPr>
        <w:fldChar w:fldCharType="separate"/>
      </w:r>
      <w:r w:rsidR="00631E49" w:rsidRPr="00A25A3C">
        <w:rPr>
          <w:rFonts w:ascii="Arial" w:hAnsi="Arial" w:cs="Arial"/>
          <w:noProof/>
        </w:rPr>
        <w:t>1</w:t>
      </w:r>
      <w:r w:rsidR="006A462A" w:rsidRPr="00A25A3C">
        <w:rPr>
          <w:rFonts w:ascii="Arial" w:hAnsi="Arial" w:cs="Arial"/>
        </w:rPr>
        <w:fldChar w:fldCharType="end"/>
      </w:r>
      <w:bookmarkEnd w:id="12"/>
      <w:r w:rsidR="006A462A" w:rsidRPr="00A25A3C">
        <w:rPr>
          <w:rFonts w:ascii="Arial" w:hAnsi="Arial" w:cs="Arial"/>
        </w:rPr>
        <w:tab/>
      </w:r>
      <w:r w:rsidR="00A20978" w:rsidRPr="00A25A3C">
        <w:rPr>
          <w:rFonts w:ascii="Arial" w:hAnsi="Arial" w:cs="Arial"/>
        </w:rPr>
        <w:t>O</w:t>
      </w:r>
      <w:r w:rsidR="006A462A" w:rsidRPr="00A25A3C">
        <w:rPr>
          <w:rFonts w:ascii="Arial" w:hAnsi="Arial" w:cs="Arial"/>
        </w:rPr>
        <w:t>verview of the PTRM spreadsheets</w:t>
      </w:r>
    </w:p>
    <w:p w:rsidR="006A462A" w:rsidRPr="00A25A3C" w:rsidRDefault="006A462A">
      <w:pPr>
        <w:spacing w:after="0" w:line="240" w:lineRule="auto"/>
        <w:jc w:val="left"/>
        <w:rPr>
          <w:rFonts w:ascii="Arial" w:eastAsia="Times New Roman" w:hAnsi="Arial" w:cs="Arial"/>
          <w:szCs w:val="24"/>
        </w:rPr>
      </w:pPr>
      <w:r w:rsidRPr="00A25A3C">
        <w:rPr>
          <w:rFonts w:ascii="Arial" w:hAnsi="Arial" w:cs="Arial"/>
        </w:rPr>
        <w:br w:type="page"/>
      </w:r>
    </w:p>
    <w:p w:rsidR="006A462A" w:rsidRPr="00A25A3C" w:rsidRDefault="006A462A" w:rsidP="006A462A">
      <w:pPr>
        <w:pStyle w:val="AERbodytext"/>
        <w:rPr>
          <w:rFonts w:ascii="Arial" w:hAnsi="Arial" w:cs="Arial"/>
        </w:rPr>
      </w:pPr>
      <w:r w:rsidRPr="00A25A3C">
        <w:rPr>
          <w:rFonts w:ascii="Arial" w:hAnsi="Arial" w:cs="Arial"/>
        </w:rPr>
        <w:lastRenderedPageBreak/>
        <w:t xml:space="preserve">In </w:t>
      </w:r>
      <w:r w:rsidRPr="00A25A3C">
        <w:rPr>
          <w:rFonts w:ascii="Arial" w:hAnsi="Arial" w:cs="Arial"/>
        </w:rPr>
        <w:fldChar w:fldCharType="begin"/>
      </w:r>
      <w:r w:rsidRPr="00A25A3C">
        <w:rPr>
          <w:rFonts w:ascii="Arial" w:hAnsi="Arial" w:cs="Arial"/>
        </w:rPr>
        <w:instrText xml:space="preserve"> REF _Ref409711482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w:t>
      </w:r>
      <w:r w:rsidRPr="00A25A3C">
        <w:rPr>
          <w:rFonts w:ascii="Arial" w:hAnsi="Arial" w:cs="Arial"/>
        </w:rPr>
        <w:fldChar w:fldCharType="end"/>
      </w:r>
      <w:r w:rsidRPr="00A25A3C">
        <w:rPr>
          <w:rFonts w:ascii="Arial" w:hAnsi="Arial" w:cs="Arial"/>
        </w:rPr>
        <w:t>, each box represents a spreadsheet within the PTRM. Sheets are classified as primarily about inputs (left column), calculations (centre column) or outputs (right column). The flow of data is therefore from left to right, and simplified links between the sheets are shown with grey arrows.</w:t>
      </w:r>
    </w:p>
    <w:p w:rsidR="006A462A" w:rsidRPr="00A25A3C" w:rsidRDefault="006A462A" w:rsidP="006A462A">
      <w:pPr>
        <w:pStyle w:val="AERbodytext"/>
        <w:rPr>
          <w:rFonts w:ascii="Arial" w:hAnsi="Arial" w:cs="Arial"/>
        </w:rPr>
      </w:pPr>
      <w:r w:rsidRPr="00A25A3C">
        <w:rPr>
          <w:rFonts w:ascii="Arial" w:hAnsi="Arial" w:cs="Arial"/>
        </w:rPr>
        <w:t xml:space="preserve">To operate the PTRM, the user enters all the required data on the </w:t>
      </w:r>
      <w:r w:rsidRPr="00A25A3C">
        <w:rPr>
          <w:rFonts w:ascii="Arial" w:hAnsi="Arial" w:cs="Arial"/>
          <w:b/>
        </w:rPr>
        <w:t>PTRM input</w:t>
      </w:r>
      <w:r w:rsidRPr="00A25A3C">
        <w:rPr>
          <w:rFonts w:ascii="Arial" w:hAnsi="Arial" w:cs="Arial"/>
        </w:rPr>
        <w:t xml:space="preserve"> sheet—for example, forecast capital expenditure </w:t>
      </w:r>
      <w:r w:rsidR="00530EC6" w:rsidRPr="00A25A3C">
        <w:rPr>
          <w:rFonts w:ascii="Arial" w:hAnsi="Arial" w:cs="Arial"/>
        </w:rPr>
        <w:t xml:space="preserve">(capex) </w:t>
      </w:r>
      <w:r w:rsidRPr="00A25A3C">
        <w:rPr>
          <w:rFonts w:ascii="Arial" w:hAnsi="Arial" w:cs="Arial"/>
        </w:rPr>
        <w:t>across the regulatory control period, or the rate of return on equity. Determination of these inputs often requires considerable analysis, but this occurs outside the PTRM. In this sense, the input to the PTRM will be the output from all the other parts of the regulatory proposal (or final decision).</w:t>
      </w:r>
    </w:p>
    <w:p w:rsidR="006A462A" w:rsidRPr="00A25A3C" w:rsidRDefault="006A462A" w:rsidP="006A462A">
      <w:pPr>
        <w:pStyle w:val="AERbodytext"/>
        <w:rPr>
          <w:rFonts w:ascii="Arial" w:hAnsi="Arial" w:cs="Arial"/>
        </w:rPr>
      </w:pPr>
      <w:r w:rsidRPr="00A25A3C">
        <w:rPr>
          <w:rFonts w:ascii="Arial" w:hAnsi="Arial" w:cs="Arial"/>
        </w:rPr>
        <w:t xml:space="preserve">The PTRM then uses this data to undertake the building block derivation of total revenue, consistent with the requirements of the NER. Under this approach, total revenue is set to equal the total costs of the benchmark network service provider. Total costs are derived by adding up a number of different types of costs, labelled building blocks. The </w:t>
      </w:r>
      <w:r w:rsidRPr="00A25A3C">
        <w:rPr>
          <w:rFonts w:ascii="Arial" w:hAnsi="Arial" w:cs="Arial"/>
          <w:b/>
        </w:rPr>
        <w:t>Analysis</w:t>
      </w:r>
      <w:r w:rsidRPr="00A25A3C">
        <w:rPr>
          <w:rFonts w:ascii="Arial" w:hAnsi="Arial" w:cs="Arial"/>
        </w:rPr>
        <w:t xml:space="preserve"> sheet sets out each of these building blocks, and calculates the tax building block (since the PTRM explicitly models the effect of corporate taxes). This gives total unsmoothed revenue (the A</w:t>
      </w:r>
      <w:r w:rsidR="00631E49" w:rsidRPr="00A25A3C">
        <w:rPr>
          <w:rFonts w:ascii="Arial" w:hAnsi="Arial" w:cs="Arial"/>
        </w:rPr>
        <w:t>BB</w:t>
      </w:r>
      <w:r w:rsidRPr="00A25A3C">
        <w:rPr>
          <w:rFonts w:ascii="Arial" w:hAnsi="Arial" w:cs="Arial"/>
        </w:rPr>
        <w:t>RR) for the service provider.</w:t>
      </w:r>
    </w:p>
    <w:p w:rsidR="006A462A" w:rsidRPr="00A25A3C" w:rsidRDefault="006A462A" w:rsidP="006A462A">
      <w:pPr>
        <w:pStyle w:val="AERbodytext"/>
        <w:rPr>
          <w:rFonts w:ascii="Arial" w:hAnsi="Arial" w:cs="Arial"/>
        </w:rPr>
      </w:pPr>
      <w:r w:rsidRPr="00A25A3C">
        <w:rPr>
          <w:rFonts w:ascii="Arial" w:hAnsi="Arial" w:cs="Arial"/>
        </w:rPr>
        <w:t xml:space="preserve">The </w:t>
      </w:r>
      <w:r w:rsidRPr="00A25A3C">
        <w:rPr>
          <w:rFonts w:ascii="Arial" w:hAnsi="Arial" w:cs="Arial"/>
          <w:b/>
        </w:rPr>
        <w:t>X</w:t>
      </w:r>
      <w:r w:rsidR="00631E49" w:rsidRPr="00A25A3C">
        <w:rPr>
          <w:rFonts w:ascii="Arial" w:hAnsi="Arial" w:cs="Arial"/>
          <w:b/>
        </w:rPr>
        <w:t> </w:t>
      </w:r>
      <w:r w:rsidRPr="00A25A3C">
        <w:rPr>
          <w:rFonts w:ascii="Arial" w:hAnsi="Arial" w:cs="Arial"/>
          <w:b/>
        </w:rPr>
        <w:t>factors</w:t>
      </w:r>
      <w:r w:rsidRPr="00A25A3C">
        <w:rPr>
          <w:rFonts w:ascii="Arial" w:hAnsi="Arial" w:cs="Arial"/>
        </w:rPr>
        <w:t xml:space="preserve"> sheet is where smoothed revenue </w:t>
      </w:r>
      <w:r w:rsidR="00631E49" w:rsidRPr="00A25A3C">
        <w:rPr>
          <w:rFonts w:ascii="Arial" w:hAnsi="Arial" w:cs="Arial"/>
        </w:rPr>
        <w:t xml:space="preserve">(MAR) </w:t>
      </w:r>
      <w:r w:rsidRPr="00A25A3C">
        <w:rPr>
          <w:rFonts w:ascii="Arial" w:hAnsi="Arial" w:cs="Arial"/>
        </w:rPr>
        <w:t>is derived from unsmoothed revenue. This process will require user input, as they numerically define the percentage change from year to year within the period (these values are labelled ‘X factors’).</w:t>
      </w:r>
      <w:r w:rsidR="00492A71" w:rsidRPr="00A25A3C">
        <w:rPr>
          <w:rStyle w:val="FootnoteReference"/>
          <w:rFonts w:ascii="Arial" w:hAnsi="Arial" w:cs="Arial"/>
        </w:rPr>
        <w:footnoteReference w:id="2"/>
      </w:r>
      <w:r w:rsidRPr="00A25A3C">
        <w:rPr>
          <w:rFonts w:ascii="Arial" w:hAnsi="Arial" w:cs="Arial"/>
        </w:rPr>
        <w:t xml:space="preserve"> This process is known as ‘smoothing’ and makes use of the inbuilt Excel programming language (</w:t>
      </w:r>
      <w:r w:rsidR="00631E49" w:rsidRPr="00A25A3C">
        <w:rPr>
          <w:rFonts w:ascii="Arial" w:hAnsi="Arial" w:cs="Arial"/>
        </w:rPr>
        <w:t>macros</w:t>
      </w:r>
      <w:r w:rsidRPr="00A25A3C">
        <w:rPr>
          <w:rFonts w:ascii="Arial" w:hAnsi="Arial" w:cs="Arial"/>
        </w:rPr>
        <w:t>).</w:t>
      </w:r>
      <w:r w:rsidRPr="00A25A3C">
        <w:rPr>
          <w:rStyle w:val="FootnoteReference"/>
          <w:rFonts w:ascii="Arial" w:hAnsi="Arial" w:cs="Arial"/>
        </w:rPr>
        <w:footnoteReference w:id="3"/>
      </w:r>
    </w:p>
    <w:p w:rsidR="006A462A" w:rsidRPr="00A25A3C" w:rsidRDefault="006A462A" w:rsidP="006A462A">
      <w:pPr>
        <w:pStyle w:val="AERbodytext"/>
        <w:rPr>
          <w:rFonts w:ascii="Arial" w:hAnsi="Arial" w:cs="Arial"/>
        </w:rPr>
      </w:pPr>
      <w:r w:rsidRPr="00A25A3C">
        <w:rPr>
          <w:rFonts w:ascii="Arial" w:hAnsi="Arial" w:cs="Arial"/>
        </w:rPr>
        <w:t>Finally, there are a number of presentation sheets which include summary output tables and graphs.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PTRM is configured to:</w:t>
      </w:r>
    </w:p>
    <w:p w:rsidR="007749FC" w:rsidRPr="00A25A3C" w:rsidRDefault="007749FC" w:rsidP="00BE218D">
      <w:pPr>
        <w:pStyle w:val="AERbulletlistfirststyle"/>
        <w:tabs>
          <w:tab w:val="clear" w:pos="357"/>
          <w:tab w:val="left" w:pos="426"/>
        </w:tabs>
        <w:ind w:left="426" w:hanging="426"/>
        <w:rPr>
          <w:rFonts w:ascii="Arial" w:hAnsi="Arial" w:cs="Arial"/>
        </w:rPr>
      </w:pPr>
      <w:r w:rsidRPr="00A25A3C">
        <w:rPr>
          <w:rFonts w:ascii="Arial" w:hAnsi="Arial" w:cs="Arial"/>
        </w:rPr>
        <w:t>perform interim calculations automatically whenever an input is recorded</w:t>
      </w:r>
    </w:p>
    <w:p w:rsidR="007749FC" w:rsidRPr="00A25A3C" w:rsidRDefault="007749FC" w:rsidP="00BE218D">
      <w:pPr>
        <w:pStyle w:val="AERbulletlistfirststyle"/>
        <w:tabs>
          <w:tab w:val="clear" w:pos="357"/>
          <w:tab w:val="left" w:pos="426"/>
        </w:tabs>
        <w:ind w:left="426" w:hanging="426"/>
        <w:rPr>
          <w:rFonts w:ascii="Arial" w:hAnsi="Arial" w:cs="Arial"/>
        </w:rPr>
      </w:pPr>
      <w:proofErr w:type="gramStart"/>
      <w:r w:rsidRPr="00A25A3C">
        <w:rPr>
          <w:rFonts w:ascii="Arial" w:hAnsi="Arial" w:cs="Arial"/>
        </w:rPr>
        <w:t>perform</w:t>
      </w:r>
      <w:proofErr w:type="gramEnd"/>
      <w:r w:rsidRPr="00A25A3C">
        <w:rPr>
          <w:rFonts w:ascii="Arial" w:hAnsi="Arial" w:cs="Arial"/>
        </w:rPr>
        <w:t xml:space="preserve"> revenue smoothing calculations and equity raising cost</w:t>
      </w:r>
      <w:r w:rsidR="00C84F02" w:rsidRPr="00A25A3C">
        <w:rPr>
          <w:rFonts w:ascii="Arial" w:hAnsi="Arial" w:cs="Arial"/>
        </w:rPr>
        <w:t>s</w:t>
      </w:r>
      <w:r w:rsidRPr="00A25A3C">
        <w:rPr>
          <w:rFonts w:ascii="Arial" w:hAnsi="Arial" w:cs="Arial"/>
        </w:rPr>
        <w:t xml:space="preserve"> updates manually via buttons that will trigger built in macros.</w:t>
      </w:r>
    </w:p>
    <w:p w:rsidR="003D7E29" w:rsidRPr="00A25A3C" w:rsidRDefault="003D7E29" w:rsidP="00BE218D">
      <w:pPr>
        <w:rPr>
          <w:rFonts w:ascii="Arial" w:hAnsi="Arial" w:cs="Arial"/>
        </w:rPr>
      </w:pPr>
      <w:r w:rsidRPr="00A25A3C">
        <w:rPr>
          <w:rFonts w:ascii="Arial" w:hAnsi="Arial" w:cs="Arial"/>
        </w:rPr>
        <w:t xml:space="preserve">The user should not alter the names of any sheets or defined name ranges within the PTRM. These PTRM components are used by macros and when automatically importing into the AER’s data management system (DMS). If these elements are changed, errors may occur. </w:t>
      </w:r>
    </w:p>
    <w:p w:rsidR="00C83D86" w:rsidRPr="00A25A3C" w:rsidRDefault="00C83D86" w:rsidP="007749FC">
      <w:pPr>
        <w:pStyle w:val="Heading2"/>
        <w:rPr>
          <w:rFonts w:ascii="Arial" w:hAnsi="Arial" w:cs="Arial"/>
        </w:rPr>
      </w:pPr>
      <w:bookmarkStart w:id="13" w:name="_Toc410223756"/>
      <w:r w:rsidRPr="00A25A3C">
        <w:rPr>
          <w:rFonts w:ascii="Arial" w:hAnsi="Arial" w:cs="Arial"/>
        </w:rPr>
        <w:t>DMS input sheet</w:t>
      </w:r>
      <w:bookmarkEnd w:id="13"/>
    </w:p>
    <w:p w:rsidR="003D7E29" w:rsidRPr="00A25A3C" w:rsidRDefault="00C83D86" w:rsidP="003D7E29">
      <w:pPr>
        <w:pStyle w:val="AERbodytext"/>
        <w:rPr>
          <w:rFonts w:ascii="Arial" w:hAnsi="Arial" w:cs="Arial"/>
        </w:rPr>
      </w:pPr>
      <w:r w:rsidRPr="00A25A3C">
        <w:rPr>
          <w:rFonts w:ascii="Arial" w:hAnsi="Arial" w:cs="Arial"/>
        </w:rPr>
        <w:t xml:space="preserve">The </w:t>
      </w:r>
      <w:r w:rsidRPr="00A25A3C">
        <w:rPr>
          <w:rFonts w:ascii="Arial" w:hAnsi="Arial" w:cs="Arial"/>
          <w:b/>
        </w:rPr>
        <w:t>DMS input</w:t>
      </w:r>
      <w:r w:rsidRPr="00A25A3C">
        <w:rPr>
          <w:rFonts w:ascii="Arial" w:hAnsi="Arial" w:cs="Arial"/>
        </w:rPr>
        <w:t xml:space="preserve"> sheet captures business specific, non-financial information that is required for the AER to import the PTRM into its DMS. </w:t>
      </w:r>
      <w:r w:rsidR="003D7E29" w:rsidRPr="00A25A3C">
        <w:rPr>
          <w:rFonts w:ascii="Arial" w:hAnsi="Arial" w:cs="Arial"/>
        </w:rPr>
        <w:t>To allow this automatic import to take place, this sheet has been locked (using the Excel ‘Protect sheet’ command) so that the layout of this sheet cannot be changed.</w:t>
      </w:r>
    </w:p>
    <w:p w:rsidR="003D7E29" w:rsidRPr="00A25A3C" w:rsidRDefault="003D7E29" w:rsidP="003D7E29">
      <w:pPr>
        <w:pStyle w:val="AERbodytext"/>
        <w:rPr>
          <w:rFonts w:ascii="Arial" w:hAnsi="Arial" w:cs="Arial"/>
        </w:rPr>
      </w:pPr>
      <w:r w:rsidRPr="00A25A3C">
        <w:rPr>
          <w:rFonts w:ascii="Arial" w:hAnsi="Arial" w:cs="Arial"/>
        </w:rPr>
        <w:t>Contact details for those responsible for preparing and submitting the PTRM are recorded in rows 14:31. These will be stored in the DMS</w:t>
      </w:r>
      <w:r w:rsidR="0082629A" w:rsidRPr="00A25A3C">
        <w:rPr>
          <w:rFonts w:ascii="Arial" w:hAnsi="Arial" w:cs="Arial"/>
        </w:rPr>
        <w:t xml:space="preserve">. These inputs </w:t>
      </w:r>
      <w:r w:rsidRPr="00A25A3C">
        <w:rPr>
          <w:rFonts w:ascii="Arial" w:hAnsi="Arial" w:cs="Arial"/>
        </w:rPr>
        <w:t>also control the headings displayed at the top of other sheets in the PTRM.</w:t>
      </w:r>
    </w:p>
    <w:p w:rsidR="00C83D86" w:rsidRPr="00A25A3C" w:rsidRDefault="003D7E29" w:rsidP="00C83D86">
      <w:pPr>
        <w:pStyle w:val="AERbodytext"/>
        <w:rPr>
          <w:rFonts w:ascii="Arial" w:hAnsi="Arial" w:cs="Arial"/>
        </w:rPr>
      </w:pPr>
      <w:r w:rsidRPr="00A25A3C">
        <w:rPr>
          <w:rFonts w:ascii="Arial" w:hAnsi="Arial" w:cs="Arial"/>
        </w:rPr>
        <w:t xml:space="preserve">Context details for the PTRM are recorded in the lower section. Many of these details (such as the dates of the regulatory control period) are automatically populated from the </w:t>
      </w:r>
      <w:r w:rsidRPr="00A25A3C">
        <w:rPr>
          <w:rFonts w:ascii="Arial" w:hAnsi="Arial" w:cs="Arial"/>
          <w:b/>
        </w:rPr>
        <w:t>PTRM input</w:t>
      </w:r>
      <w:r w:rsidRPr="00A25A3C">
        <w:rPr>
          <w:rFonts w:ascii="Arial" w:hAnsi="Arial" w:cs="Arial"/>
        </w:rPr>
        <w:t xml:space="preserve"> sheet and so </w:t>
      </w:r>
      <w:r w:rsidRPr="00A25A3C">
        <w:rPr>
          <w:rFonts w:ascii="Arial" w:hAnsi="Arial" w:cs="Arial"/>
        </w:rPr>
        <w:lastRenderedPageBreak/>
        <w:t>the cells here are hidden. The stage of the regulatory process is set in cell D46 using a drop down menu.</w:t>
      </w:r>
      <w:r w:rsidRPr="00A25A3C">
        <w:rPr>
          <w:rStyle w:val="FootnoteReference"/>
          <w:rFonts w:ascii="Arial" w:hAnsi="Arial" w:cs="Arial"/>
        </w:rPr>
        <w:footnoteReference w:id="4"/>
      </w:r>
      <w:r w:rsidRPr="00A25A3C">
        <w:rPr>
          <w:rFonts w:ascii="Arial" w:hAnsi="Arial" w:cs="Arial"/>
        </w:rPr>
        <w:t xml:space="preserve"> If this is not enough description to uniquely identify the PTRM submission, a description should be placed in cell C53 (for example, a resubmission of the Regulatory proposal PTRM with revised data values after an error was corrected).</w:t>
      </w:r>
    </w:p>
    <w:p w:rsidR="00C83D86" w:rsidRPr="00A25A3C" w:rsidRDefault="00C83D86" w:rsidP="00C83D86">
      <w:pPr>
        <w:pStyle w:val="AERbodytext"/>
        <w:rPr>
          <w:rFonts w:ascii="Arial" w:hAnsi="Arial" w:cs="Arial"/>
        </w:rPr>
      </w:pPr>
      <w:r w:rsidRPr="00A25A3C">
        <w:rPr>
          <w:rFonts w:ascii="Arial" w:hAnsi="Arial" w:cs="Arial"/>
        </w:rPr>
        <w:fldChar w:fldCharType="begin"/>
      </w:r>
      <w:r w:rsidRPr="00A25A3C">
        <w:rPr>
          <w:rFonts w:ascii="Arial" w:hAnsi="Arial" w:cs="Arial"/>
        </w:rPr>
        <w:instrText xml:space="preserve"> REF _Ref408484611 \h </w:instrText>
      </w:r>
      <w:r w:rsidR="00F042CC" w:rsidRPr="00A25A3C">
        <w:rPr>
          <w:rFonts w:ascii="Arial" w:hAnsi="Arial" w:cs="Arial"/>
        </w:rPr>
        <w:instrText xml:space="preserve">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 xml:space="preserve">Figure </w:t>
      </w:r>
      <w:r w:rsidR="00631E49" w:rsidRPr="00A25A3C">
        <w:rPr>
          <w:rFonts w:ascii="Arial" w:hAnsi="Arial" w:cs="Arial"/>
          <w:noProof/>
        </w:rPr>
        <w:t>2</w:t>
      </w:r>
      <w:r w:rsidRPr="00A25A3C">
        <w:rPr>
          <w:rFonts w:ascii="Arial" w:hAnsi="Arial" w:cs="Arial"/>
        </w:rPr>
        <w:fldChar w:fldCharType="end"/>
      </w:r>
      <w:r w:rsidRPr="00A25A3C">
        <w:rPr>
          <w:rFonts w:ascii="Arial" w:hAnsi="Arial" w:cs="Arial"/>
        </w:rPr>
        <w:t xml:space="preserve"> provides an example of the </w:t>
      </w:r>
      <w:r w:rsidRPr="00A25A3C">
        <w:rPr>
          <w:rFonts w:ascii="Arial" w:hAnsi="Arial" w:cs="Arial"/>
          <w:b/>
        </w:rPr>
        <w:t>DMS input</w:t>
      </w:r>
      <w:r w:rsidRPr="00A25A3C">
        <w:rPr>
          <w:rFonts w:ascii="Arial" w:hAnsi="Arial" w:cs="Arial"/>
        </w:rPr>
        <w:t xml:space="preserve"> sheet.</w:t>
      </w:r>
    </w:p>
    <w:p w:rsidR="00C83D86" w:rsidRPr="00A25A3C" w:rsidRDefault="00C83D86" w:rsidP="002E477F">
      <w:pPr>
        <w:pStyle w:val="Caption"/>
        <w:rPr>
          <w:rFonts w:ascii="Arial" w:hAnsi="Arial" w:cs="Arial"/>
        </w:rPr>
      </w:pPr>
      <w:bookmarkStart w:id="14" w:name="_Ref408484611"/>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2</w:t>
      </w:r>
      <w:r w:rsidRPr="00A25A3C">
        <w:rPr>
          <w:rFonts w:ascii="Arial" w:hAnsi="Arial" w:cs="Arial"/>
        </w:rPr>
        <w:fldChar w:fldCharType="end"/>
      </w:r>
      <w:bookmarkEnd w:id="14"/>
      <w:r w:rsidRPr="00A25A3C">
        <w:rPr>
          <w:rFonts w:ascii="Arial" w:hAnsi="Arial" w:cs="Arial"/>
        </w:rPr>
        <w:tab/>
        <w:t>DMS input sheet</w:t>
      </w:r>
    </w:p>
    <w:p w:rsidR="00C83D86" w:rsidRPr="00A25A3C" w:rsidRDefault="00204D19">
      <w:pPr>
        <w:pStyle w:val="AERbodytext"/>
        <w:rPr>
          <w:rFonts w:ascii="Arial" w:hAnsi="Arial" w:cs="Arial"/>
        </w:rPr>
      </w:pPr>
      <w:r w:rsidRPr="00A25A3C">
        <w:rPr>
          <w:noProof/>
          <w:lang w:eastAsia="en-AU"/>
        </w:rPr>
        <w:drawing>
          <wp:inline distT="0" distB="0" distL="0" distR="0" wp14:anchorId="19721434" wp14:editId="487DE0F0">
            <wp:extent cx="5731510" cy="44168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416814"/>
                    </a:xfrm>
                    <a:prstGeom prst="rect">
                      <a:avLst/>
                    </a:prstGeom>
                  </pic:spPr>
                </pic:pic>
              </a:graphicData>
            </a:graphic>
          </wp:inline>
        </w:drawing>
      </w:r>
    </w:p>
    <w:p w:rsidR="007749FC" w:rsidRPr="00A25A3C" w:rsidRDefault="00C83D86" w:rsidP="007749FC">
      <w:pPr>
        <w:pStyle w:val="Heading2"/>
        <w:rPr>
          <w:rFonts w:ascii="Arial" w:hAnsi="Arial" w:cs="Arial"/>
        </w:rPr>
      </w:pPr>
      <w:bookmarkStart w:id="15" w:name="_Toc410223757"/>
      <w:r w:rsidRPr="00A25A3C">
        <w:rPr>
          <w:rFonts w:ascii="Arial" w:hAnsi="Arial" w:cs="Arial"/>
        </w:rPr>
        <w:t>PTRM i</w:t>
      </w:r>
      <w:r w:rsidR="007749FC" w:rsidRPr="00A25A3C">
        <w:rPr>
          <w:rFonts w:ascii="Arial" w:hAnsi="Arial" w:cs="Arial"/>
        </w:rPr>
        <w:t>nput sheet</w:t>
      </w:r>
      <w:bookmarkEnd w:id="15"/>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00C83D86" w:rsidRPr="00A25A3C">
        <w:rPr>
          <w:rFonts w:ascii="Arial" w:hAnsi="Arial" w:cs="Arial"/>
          <w:b/>
        </w:rPr>
        <w:t>PTRM</w:t>
      </w:r>
      <w:r w:rsidR="00C83D86" w:rsidRPr="00A25A3C">
        <w:rPr>
          <w:rFonts w:ascii="Arial" w:hAnsi="Arial" w:cs="Arial"/>
        </w:rPr>
        <w:t xml:space="preserve"> </w:t>
      </w:r>
      <w:r w:rsidR="00C83D86"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provides for key input variables to be entered in the PTRM. They are automatically linked to corresponding cells in the relevant sheets. Values should be entered into each cell that has light blue shading. This sheet comprises of the following sections:</w:t>
      </w:r>
    </w:p>
    <w:p w:rsidR="007749FC" w:rsidRPr="00A25A3C" w:rsidRDefault="007749FC" w:rsidP="003C2D87">
      <w:pPr>
        <w:pStyle w:val="AERbulletlistfirststyle"/>
        <w:ind w:hanging="720"/>
        <w:rPr>
          <w:rFonts w:ascii="Arial" w:hAnsi="Arial" w:cs="Arial"/>
        </w:rPr>
      </w:pPr>
      <w:r w:rsidRPr="00A25A3C">
        <w:rPr>
          <w:rFonts w:ascii="Arial" w:hAnsi="Arial" w:cs="Arial"/>
        </w:rPr>
        <w:t>opening regulatory asset base (RAB) and opening tax asset base (TAB)</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capex—as-incurred</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asset disposals—as-incurred</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net capex—as-incurred</w:t>
      </w:r>
    </w:p>
    <w:p w:rsidR="007749FC" w:rsidRPr="00A25A3C" w:rsidRDefault="007749FC" w:rsidP="003C2D87">
      <w:pPr>
        <w:pStyle w:val="AERbulletlistfirststyle"/>
        <w:ind w:hanging="720"/>
        <w:rPr>
          <w:rFonts w:ascii="Arial" w:hAnsi="Arial" w:cs="Arial"/>
        </w:rPr>
      </w:pPr>
      <w:r w:rsidRPr="00A25A3C">
        <w:rPr>
          <w:rFonts w:ascii="Arial" w:hAnsi="Arial" w:cs="Arial"/>
        </w:rPr>
        <w:lastRenderedPageBreak/>
        <w:t>forecast real capex—as commissioned</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asset disposals—as-de-commissioned</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net capex—as-commissioned</w:t>
      </w:r>
    </w:p>
    <w:p w:rsidR="007749FC" w:rsidRPr="00A25A3C" w:rsidRDefault="007749FC" w:rsidP="003C2D87">
      <w:pPr>
        <w:pStyle w:val="AERbulletlistfirststyle"/>
        <w:ind w:hanging="720"/>
        <w:rPr>
          <w:rFonts w:ascii="Arial" w:hAnsi="Arial" w:cs="Arial"/>
        </w:rPr>
      </w:pPr>
      <w:r w:rsidRPr="00A25A3C">
        <w:rPr>
          <w:rFonts w:ascii="Arial" w:hAnsi="Arial" w:cs="Arial"/>
        </w:rPr>
        <w:t>forecast real operating expenditure (</w:t>
      </w:r>
      <w:proofErr w:type="spellStart"/>
      <w:r w:rsidRPr="00A25A3C">
        <w:rPr>
          <w:rFonts w:ascii="Arial" w:hAnsi="Arial" w:cs="Arial"/>
        </w:rPr>
        <w:t>opex</w:t>
      </w:r>
      <w:proofErr w:type="spellEnd"/>
      <w:r w:rsidRPr="00A25A3C">
        <w:rPr>
          <w:rFonts w:ascii="Arial" w:hAnsi="Arial" w:cs="Arial"/>
        </w:rPr>
        <w:t>)</w:t>
      </w:r>
    </w:p>
    <w:p w:rsidR="007749FC" w:rsidRPr="00A25A3C" w:rsidRDefault="007749FC" w:rsidP="003C2D87">
      <w:pPr>
        <w:pStyle w:val="AERbulletlistfirststyle"/>
        <w:ind w:hanging="720"/>
        <w:rPr>
          <w:rFonts w:ascii="Arial" w:hAnsi="Arial" w:cs="Arial"/>
        </w:rPr>
      </w:pPr>
      <w:r w:rsidRPr="00A25A3C">
        <w:rPr>
          <w:rFonts w:ascii="Arial" w:hAnsi="Arial" w:cs="Arial"/>
        </w:rPr>
        <w:t>revenue adjustments from other use of prescribed transmission assets</w:t>
      </w:r>
    </w:p>
    <w:p w:rsidR="007749FC" w:rsidRPr="00A25A3C" w:rsidRDefault="007749FC" w:rsidP="003C2D87">
      <w:pPr>
        <w:pStyle w:val="AERbulletlistfirststyle"/>
        <w:ind w:hanging="720"/>
        <w:rPr>
          <w:rFonts w:ascii="Arial" w:hAnsi="Arial" w:cs="Arial"/>
        </w:rPr>
      </w:pPr>
      <w:r w:rsidRPr="00A25A3C">
        <w:rPr>
          <w:rFonts w:ascii="Arial" w:hAnsi="Arial" w:cs="Arial"/>
        </w:rPr>
        <w:t>expected taxation rate</w:t>
      </w:r>
    </w:p>
    <w:p w:rsidR="007749FC" w:rsidRPr="00A25A3C" w:rsidRDefault="007749FC" w:rsidP="003C2D87">
      <w:pPr>
        <w:pStyle w:val="AERbulletlistfirststyle"/>
        <w:ind w:hanging="720"/>
        <w:rPr>
          <w:rFonts w:ascii="Arial" w:hAnsi="Arial" w:cs="Arial"/>
        </w:rPr>
      </w:pPr>
      <w:r w:rsidRPr="00A25A3C">
        <w:rPr>
          <w:rFonts w:ascii="Arial" w:hAnsi="Arial" w:cs="Arial"/>
        </w:rPr>
        <w:t>cost of capital</w:t>
      </w:r>
    </w:p>
    <w:p w:rsidR="007749FC" w:rsidRPr="00A25A3C" w:rsidRDefault="007749FC" w:rsidP="003C2D87">
      <w:pPr>
        <w:pStyle w:val="AERbulletlistfirststyle"/>
        <w:ind w:hanging="720"/>
        <w:rPr>
          <w:rFonts w:ascii="Arial" w:hAnsi="Arial" w:cs="Arial"/>
        </w:rPr>
      </w:pPr>
      <w:r w:rsidRPr="00A25A3C">
        <w:rPr>
          <w:rFonts w:ascii="Arial" w:hAnsi="Arial" w:cs="Arial"/>
        </w:rPr>
        <w:t>debt and equity raising costs—transaction costs</w:t>
      </w:r>
    </w:p>
    <w:p w:rsidR="007749FC" w:rsidRPr="00A25A3C" w:rsidRDefault="007749FC" w:rsidP="003C2D87">
      <w:pPr>
        <w:pStyle w:val="AERbulletlistfirststyle"/>
        <w:ind w:hanging="720"/>
        <w:rPr>
          <w:rFonts w:ascii="Arial" w:hAnsi="Arial" w:cs="Arial"/>
        </w:rPr>
      </w:pPr>
      <w:r w:rsidRPr="00A25A3C">
        <w:rPr>
          <w:rFonts w:ascii="Arial" w:hAnsi="Arial" w:cs="Arial"/>
        </w:rPr>
        <w:t>MAR for the current year</w:t>
      </w:r>
    </w:p>
    <w:p w:rsidR="007749FC" w:rsidRPr="00A25A3C" w:rsidRDefault="007749FC" w:rsidP="003C2D87">
      <w:pPr>
        <w:pStyle w:val="AERbulletlistfirststyle"/>
        <w:ind w:hanging="720"/>
        <w:rPr>
          <w:rFonts w:ascii="Arial" w:hAnsi="Arial" w:cs="Arial"/>
        </w:rPr>
      </w:pPr>
      <w:proofErr w:type="gramStart"/>
      <w:r w:rsidRPr="00A25A3C">
        <w:rPr>
          <w:rFonts w:ascii="Arial" w:hAnsi="Arial" w:cs="Arial"/>
        </w:rPr>
        <w:t>energy</w:t>
      </w:r>
      <w:proofErr w:type="gramEnd"/>
      <w:r w:rsidRPr="00A25A3C">
        <w:rPr>
          <w:rFonts w:ascii="Arial" w:hAnsi="Arial" w:cs="Arial"/>
        </w:rPr>
        <w:t xml:space="preserve"> delivered forecast.</w:t>
      </w:r>
    </w:p>
    <w:p w:rsidR="000538DF" w:rsidRPr="00270A6F" w:rsidRDefault="000538DF" w:rsidP="007749FC">
      <w:pPr>
        <w:pStyle w:val="AERbodytext"/>
        <w:numPr>
          <w:ilvl w:val="0"/>
          <w:numId w:val="9"/>
        </w:numPr>
        <w:rPr>
          <w:rFonts w:ascii="Arial" w:hAnsi="Arial" w:cs="Arial"/>
        </w:rPr>
      </w:pPr>
      <w:r w:rsidRPr="00270A6F">
        <w:rPr>
          <w:rFonts w:ascii="Arial" w:hAnsi="Arial" w:cs="Arial"/>
        </w:rPr>
        <w:t xml:space="preserve">The only </w:t>
      </w:r>
      <w:r w:rsidR="007749FC" w:rsidRPr="00270A6F">
        <w:rPr>
          <w:rFonts w:ascii="Arial" w:hAnsi="Arial" w:cs="Arial"/>
        </w:rPr>
        <w:t xml:space="preserve">inputs specified outside of the </w:t>
      </w:r>
      <w:r w:rsidR="00C83D86" w:rsidRPr="00BD2EBF">
        <w:rPr>
          <w:rFonts w:ascii="Arial" w:hAnsi="Arial" w:cs="Arial"/>
          <w:b/>
        </w:rPr>
        <w:t>PTRM</w:t>
      </w:r>
      <w:r w:rsidR="00C83D86" w:rsidRPr="00270A6F">
        <w:rPr>
          <w:rFonts w:ascii="Arial" w:hAnsi="Arial" w:cs="Arial"/>
        </w:rPr>
        <w:t xml:space="preserve"> </w:t>
      </w:r>
      <w:r w:rsidR="00C83D86" w:rsidRPr="00270A6F">
        <w:rPr>
          <w:rFonts w:ascii="Arial" w:hAnsi="Arial" w:cs="Arial"/>
          <w:b/>
        </w:rPr>
        <w:t>i</w:t>
      </w:r>
      <w:r w:rsidR="007749FC" w:rsidRPr="00270A6F">
        <w:rPr>
          <w:rFonts w:ascii="Arial" w:hAnsi="Arial" w:cs="Arial"/>
          <w:b/>
        </w:rPr>
        <w:t xml:space="preserve">nput </w:t>
      </w:r>
      <w:r w:rsidR="007749FC" w:rsidRPr="00270A6F">
        <w:rPr>
          <w:rFonts w:ascii="Arial" w:hAnsi="Arial" w:cs="Arial"/>
        </w:rPr>
        <w:t xml:space="preserve">sheet </w:t>
      </w:r>
      <w:r w:rsidRPr="00270A6F">
        <w:rPr>
          <w:rFonts w:ascii="Arial" w:hAnsi="Arial" w:cs="Arial"/>
        </w:rPr>
        <w:t>are:</w:t>
      </w:r>
    </w:p>
    <w:p w:rsidR="000538DF" w:rsidRPr="00A25A3C" w:rsidRDefault="000538DF" w:rsidP="003C2D87">
      <w:pPr>
        <w:pStyle w:val="AERbulletlistfirststyle"/>
        <w:ind w:hanging="720"/>
        <w:rPr>
          <w:rFonts w:ascii="Arial" w:hAnsi="Arial" w:cs="Arial"/>
        </w:rPr>
      </w:pPr>
      <w:r w:rsidRPr="00A25A3C">
        <w:rPr>
          <w:rFonts w:ascii="Arial" w:hAnsi="Arial" w:cs="Arial"/>
        </w:rPr>
        <w:t xml:space="preserve">inputs related to the automatic import into the DMS (on the </w:t>
      </w:r>
      <w:r w:rsidRPr="00A25A3C">
        <w:rPr>
          <w:rFonts w:ascii="Arial" w:hAnsi="Arial" w:cs="Arial"/>
          <w:b/>
        </w:rPr>
        <w:t xml:space="preserve">DMS </w:t>
      </w:r>
      <w:r w:rsidR="00B52F1E" w:rsidRPr="00A25A3C">
        <w:rPr>
          <w:rFonts w:ascii="Arial" w:hAnsi="Arial" w:cs="Arial"/>
          <w:b/>
        </w:rPr>
        <w:t>i</w:t>
      </w:r>
      <w:r w:rsidRPr="00A25A3C">
        <w:rPr>
          <w:rFonts w:ascii="Arial" w:hAnsi="Arial" w:cs="Arial"/>
          <w:b/>
        </w:rPr>
        <w:t>nput</w:t>
      </w:r>
      <w:r w:rsidRPr="00A25A3C">
        <w:rPr>
          <w:rFonts w:ascii="Arial" w:hAnsi="Arial" w:cs="Arial"/>
        </w:rPr>
        <w:t xml:space="preserve"> sheet)</w:t>
      </w:r>
    </w:p>
    <w:p w:rsidR="000538DF" w:rsidRPr="00A25A3C" w:rsidRDefault="000538DF" w:rsidP="003C2D87">
      <w:pPr>
        <w:pStyle w:val="AERbulletlistfirststyle"/>
        <w:ind w:hanging="720"/>
        <w:rPr>
          <w:rFonts w:ascii="Arial" w:hAnsi="Arial" w:cs="Arial"/>
        </w:rPr>
      </w:pPr>
      <w:proofErr w:type="gramStart"/>
      <w:r w:rsidRPr="00A25A3C">
        <w:rPr>
          <w:rFonts w:ascii="Arial" w:hAnsi="Arial" w:cs="Arial"/>
        </w:rPr>
        <w:t>inputs</w:t>
      </w:r>
      <w:proofErr w:type="gramEnd"/>
      <w:r w:rsidRPr="00A25A3C">
        <w:rPr>
          <w:rFonts w:ascii="Arial" w:hAnsi="Arial" w:cs="Arial"/>
        </w:rPr>
        <w:t xml:space="preserve"> used when deriving smoothed revenue (on the </w:t>
      </w:r>
      <w:r w:rsidRPr="00A25A3C">
        <w:rPr>
          <w:rFonts w:ascii="Arial" w:hAnsi="Arial" w:cs="Arial"/>
          <w:b/>
        </w:rPr>
        <w:t>X factors</w:t>
      </w:r>
      <w:r w:rsidRPr="00A25A3C">
        <w:rPr>
          <w:rFonts w:ascii="Arial" w:hAnsi="Arial" w:cs="Arial"/>
        </w:rPr>
        <w:t xml:space="preserve"> sheet)</w:t>
      </w:r>
      <w:r w:rsidR="003C2D87" w:rsidRPr="00A25A3C">
        <w:rPr>
          <w:rFonts w:ascii="Arial" w:hAnsi="Arial" w:cs="Arial"/>
        </w:rPr>
        <w:t>.</w:t>
      </w:r>
    </w:p>
    <w:p w:rsidR="007749FC" w:rsidRPr="00270A6F" w:rsidRDefault="007749FC" w:rsidP="007749FC">
      <w:pPr>
        <w:pStyle w:val="AERbodytext"/>
        <w:numPr>
          <w:ilvl w:val="0"/>
          <w:numId w:val="9"/>
        </w:numPr>
        <w:rPr>
          <w:rFonts w:ascii="Arial" w:hAnsi="Arial" w:cs="Arial"/>
        </w:rPr>
      </w:pPr>
      <w:r w:rsidRPr="00270A6F">
        <w:rPr>
          <w:rFonts w:ascii="Arial" w:hAnsi="Arial" w:cs="Arial"/>
        </w:rPr>
        <w:t>These cells are also marked with light blue shading and are addressed when they arise.</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_Ref398112069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3</w:t>
      </w:r>
      <w:r w:rsidRPr="00A25A3C">
        <w:rPr>
          <w:rFonts w:ascii="Arial" w:hAnsi="Arial" w:cs="Arial"/>
        </w:rPr>
        <w:fldChar w:fldCharType="end"/>
      </w:r>
      <w:r w:rsidR="00387ADA" w:rsidRPr="00A25A3C">
        <w:rPr>
          <w:rFonts w:ascii="Arial" w:hAnsi="Arial" w:cs="Arial"/>
        </w:rPr>
        <w:t>,</w:t>
      </w:r>
      <w:r w:rsidRPr="00A25A3C">
        <w:rPr>
          <w:rFonts w:ascii="Arial" w:hAnsi="Arial" w:cs="Arial"/>
        </w:rPr>
        <w:t xml:space="preserve"> </w:t>
      </w:r>
      <w:r w:rsidRPr="00A25A3C">
        <w:rPr>
          <w:rFonts w:ascii="Arial" w:hAnsi="Arial" w:cs="Arial"/>
        </w:rPr>
        <w:fldChar w:fldCharType="begin"/>
      </w:r>
      <w:r w:rsidRPr="00A25A3C">
        <w:rPr>
          <w:rFonts w:ascii="Arial" w:hAnsi="Arial" w:cs="Arial"/>
        </w:rPr>
        <w:instrText xml:space="preserve"> REF _Ref398815797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4</w:t>
      </w:r>
      <w:r w:rsidRPr="00A25A3C">
        <w:rPr>
          <w:rFonts w:ascii="Arial" w:hAnsi="Arial" w:cs="Arial"/>
        </w:rPr>
        <w:fldChar w:fldCharType="end"/>
      </w:r>
      <w:r w:rsidR="00387ADA" w:rsidRPr="00A25A3C">
        <w:rPr>
          <w:rFonts w:ascii="Arial" w:hAnsi="Arial" w:cs="Arial"/>
        </w:rPr>
        <w:t xml:space="preserve"> and </w:t>
      </w:r>
      <w:r w:rsidR="00B52F1E" w:rsidRPr="00A25A3C">
        <w:rPr>
          <w:rFonts w:ascii="Arial" w:hAnsi="Arial" w:cs="Arial"/>
        </w:rPr>
        <w:fldChar w:fldCharType="begin"/>
      </w:r>
      <w:r w:rsidR="00B52F1E" w:rsidRPr="00A25A3C">
        <w:rPr>
          <w:rFonts w:ascii="Arial" w:hAnsi="Arial" w:cs="Arial"/>
        </w:rPr>
        <w:instrText xml:space="preserve"> REF _Ref409528841 \h </w:instrText>
      </w:r>
      <w:r w:rsidR="00A25A3C">
        <w:rPr>
          <w:rFonts w:ascii="Arial" w:hAnsi="Arial" w:cs="Arial"/>
        </w:rPr>
        <w:instrText xml:space="preserve"> \* MERGEFORMAT </w:instrText>
      </w:r>
      <w:r w:rsidR="00B52F1E" w:rsidRPr="00A25A3C">
        <w:rPr>
          <w:rFonts w:ascii="Arial" w:hAnsi="Arial" w:cs="Arial"/>
        </w:rPr>
      </w:r>
      <w:r w:rsidR="00B52F1E" w:rsidRPr="00A25A3C">
        <w:rPr>
          <w:rFonts w:ascii="Arial" w:hAnsi="Arial" w:cs="Arial"/>
        </w:rPr>
        <w:fldChar w:fldCharType="separate"/>
      </w:r>
      <w:r w:rsidR="00631E49" w:rsidRPr="00A25A3C">
        <w:rPr>
          <w:rFonts w:ascii="Arial" w:hAnsi="Arial" w:cs="Arial"/>
        </w:rPr>
        <w:t xml:space="preserve">Figure </w:t>
      </w:r>
      <w:r w:rsidR="00631E49" w:rsidRPr="00A25A3C">
        <w:rPr>
          <w:rFonts w:ascii="Arial" w:hAnsi="Arial" w:cs="Arial"/>
          <w:noProof/>
        </w:rPr>
        <w:t>5</w:t>
      </w:r>
      <w:r w:rsidR="00B52F1E" w:rsidRPr="00A25A3C">
        <w:rPr>
          <w:rFonts w:ascii="Arial" w:hAnsi="Arial" w:cs="Arial"/>
        </w:rPr>
        <w:fldChar w:fldCharType="end"/>
      </w:r>
      <w:r w:rsidRPr="00A25A3C">
        <w:rPr>
          <w:rFonts w:ascii="Arial" w:hAnsi="Arial" w:cs="Arial"/>
        </w:rPr>
        <w:t xml:space="preserve"> provide examples of the </w:t>
      </w:r>
      <w:r w:rsidR="00C83D86" w:rsidRPr="00A25A3C">
        <w:rPr>
          <w:rFonts w:ascii="Arial" w:hAnsi="Arial" w:cs="Arial"/>
          <w:b/>
        </w:rPr>
        <w:t>PTRM</w:t>
      </w:r>
      <w:r w:rsidR="00C83D86" w:rsidRPr="00A25A3C">
        <w:rPr>
          <w:rFonts w:ascii="Arial" w:hAnsi="Arial" w:cs="Arial"/>
        </w:rPr>
        <w:t xml:space="preserve"> </w:t>
      </w:r>
      <w:r w:rsidR="00C83D86"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16" w:name="_Ref398112069"/>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3</w:t>
      </w:r>
      <w:r w:rsidRPr="00A25A3C">
        <w:rPr>
          <w:rFonts w:ascii="Arial" w:hAnsi="Arial" w:cs="Arial"/>
        </w:rPr>
        <w:fldChar w:fldCharType="end"/>
      </w:r>
      <w:bookmarkEnd w:id="16"/>
      <w:r w:rsidRPr="00A25A3C">
        <w:rPr>
          <w:rFonts w:ascii="Arial" w:hAnsi="Arial" w:cs="Arial"/>
        </w:rPr>
        <w:tab/>
      </w:r>
      <w:r w:rsidR="00C83D86" w:rsidRPr="00A25A3C">
        <w:rPr>
          <w:rFonts w:ascii="Arial" w:hAnsi="Arial" w:cs="Arial"/>
        </w:rPr>
        <w:t>PTRM i</w:t>
      </w:r>
      <w:r w:rsidRPr="00A25A3C">
        <w:rPr>
          <w:rFonts w:ascii="Arial" w:hAnsi="Arial" w:cs="Arial"/>
        </w:rPr>
        <w:t>nput sheet–first screenshot</w:t>
      </w:r>
    </w:p>
    <w:p w:rsidR="007749FC" w:rsidRPr="00A25A3C" w:rsidRDefault="00204D19" w:rsidP="007749FC">
      <w:pPr>
        <w:pStyle w:val="AERbodytext"/>
        <w:numPr>
          <w:ilvl w:val="0"/>
          <w:numId w:val="9"/>
        </w:numPr>
        <w:rPr>
          <w:rFonts w:ascii="Arial" w:hAnsi="Arial" w:cs="Arial"/>
        </w:rPr>
      </w:pPr>
      <w:r w:rsidRPr="00A25A3C">
        <w:rPr>
          <w:noProof/>
          <w:lang w:eastAsia="en-AU"/>
        </w:rPr>
        <w:drawing>
          <wp:inline distT="0" distB="0" distL="0" distR="0" wp14:anchorId="202B2D0F" wp14:editId="336C5212">
            <wp:extent cx="5731510" cy="27236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723692"/>
                    </a:xfrm>
                    <a:prstGeom prst="rect">
                      <a:avLst/>
                    </a:prstGeom>
                  </pic:spPr>
                </pic:pic>
              </a:graphicData>
            </a:graphic>
          </wp:inline>
        </w:drawing>
      </w:r>
    </w:p>
    <w:p w:rsidR="007749FC" w:rsidRPr="00A25A3C" w:rsidRDefault="007749FC" w:rsidP="007749FC">
      <w:pPr>
        <w:pStyle w:val="Caption"/>
        <w:rPr>
          <w:rFonts w:ascii="Arial" w:hAnsi="Arial" w:cs="Arial"/>
        </w:rPr>
      </w:pPr>
      <w:bookmarkStart w:id="17" w:name="_Ref398815797"/>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4</w:t>
      </w:r>
      <w:r w:rsidRPr="00A25A3C">
        <w:rPr>
          <w:rFonts w:ascii="Arial" w:hAnsi="Arial" w:cs="Arial"/>
        </w:rPr>
        <w:fldChar w:fldCharType="end"/>
      </w:r>
      <w:bookmarkEnd w:id="17"/>
      <w:r w:rsidRPr="00A25A3C">
        <w:rPr>
          <w:rFonts w:ascii="Arial" w:hAnsi="Arial" w:cs="Arial"/>
        </w:rPr>
        <w:tab/>
      </w:r>
      <w:r w:rsidR="00C83D86" w:rsidRPr="00A25A3C">
        <w:rPr>
          <w:rFonts w:ascii="Arial" w:hAnsi="Arial" w:cs="Arial"/>
        </w:rPr>
        <w:t>PTRM i</w:t>
      </w:r>
      <w:r w:rsidRPr="00A25A3C">
        <w:rPr>
          <w:rFonts w:ascii="Arial" w:hAnsi="Arial" w:cs="Arial"/>
        </w:rPr>
        <w:t>nput sheet–second screenshot</w:t>
      </w:r>
    </w:p>
    <w:p w:rsidR="00BF79C0" w:rsidRPr="00A25A3C" w:rsidRDefault="00204D19" w:rsidP="007749FC">
      <w:pPr>
        <w:pStyle w:val="AERbodytext"/>
        <w:numPr>
          <w:ilvl w:val="0"/>
          <w:numId w:val="9"/>
        </w:numPr>
        <w:rPr>
          <w:rFonts w:ascii="Arial" w:hAnsi="Arial" w:cs="Arial"/>
        </w:rPr>
      </w:pPr>
      <w:r w:rsidRPr="00A25A3C">
        <w:rPr>
          <w:noProof/>
          <w:lang w:eastAsia="en-AU"/>
        </w:rPr>
        <w:drawing>
          <wp:inline distT="0" distB="0" distL="0" distR="0" wp14:anchorId="5D954A2A" wp14:editId="434B0DFE">
            <wp:extent cx="5731510" cy="26857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685727"/>
                    </a:xfrm>
                    <a:prstGeom prst="rect">
                      <a:avLst/>
                    </a:prstGeom>
                  </pic:spPr>
                </pic:pic>
              </a:graphicData>
            </a:graphic>
          </wp:inline>
        </w:drawing>
      </w:r>
    </w:p>
    <w:p w:rsidR="00BF79C0" w:rsidRPr="00A25A3C" w:rsidRDefault="006406AA" w:rsidP="002E477F">
      <w:pPr>
        <w:pStyle w:val="Caption"/>
        <w:rPr>
          <w:rFonts w:ascii="Arial" w:hAnsi="Arial" w:cs="Arial"/>
        </w:rPr>
      </w:pPr>
      <w:bookmarkStart w:id="18" w:name="_Ref409528841"/>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5</w:t>
      </w:r>
      <w:r w:rsidRPr="00A25A3C">
        <w:rPr>
          <w:rFonts w:ascii="Arial" w:hAnsi="Arial" w:cs="Arial"/>
        </w:rPr>
        <w:fldChar w:fldCharType="end"/>
      </w:r>
      <w:bookmarkEnd w:id="18"/>
      <w:r w:rsidR="00BF79C0" w:rsidRPr="00A25A3C">
        <w:rPr>
          <w:rFonts w:ascii="Arial" w:hAnsi="Arial" w:cs="Arial"/>
        </w:rPr>
        <w:tab/>
        <w:t>PTRM input sheet—third screenshot</w:t>
      </w:r>
    </w:p>
    <w:p w:rsidR="007749FC" w:rsidRPr="00A25A3C" w:rsidRDefault="00204D19" w:rsidP="002E477F">
      <w:pPr>
        <w:pStyle w:val="Caption"/>
        <w:rPr>
          <w:rFonts w:ascii="Arial" w:hAnsi="Arial" w:cs="Arial"/>
        </w:rPr>
      </w:pPr>
      <w:r w:rsidRPr="00A25A3C">
        <w:rPr>
          <w:noProof/>
          <w:lang w:eastAsia="en-AU"/>
        </w:rPr>
        <w:drawing>
          <wp:inline distT="0" distB="0" distL="0" distR="0" wp14:anchorId="31648FDB" wp14:editId="79EFA271">
            <wp:extent cx="5731510" cy="19613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961328"/>
                    </a:xfrm>
                    <a:prstGeom prst="rect">
                      <a:avLst/>
                    </a:prstGeom>
                  </pic:spPr>
                </pic:pic>
              </a:graphicData>
            </a:graphic>
          </wp:inline>
        </w:drawing>
      </w:r>
      <w:r w:rsidR="00BF79C0" w:rsidRPr="00A25A3C">
        <w:rPr>
          <w:rFonts w:ascii="Arial" w:hAnsi="Arial" w:cs="Arial"/>
        </w:rPr>
        <w:tab/>
      </w:r>
    </w:p>
    <w:p w:rsidR="007749FC" w:rsidRPr="00270A6F" w:rsidRDefault="007749FC" w:rsidP="007749FC">
      <w:pPr>
        <w:pStyle w:val="AERbodytext"/>
        <w:numPr>
          <w:ilvl w:val="0"/>
          <w:numId w:val="9"/>
        </w:numPr>
        <w:rPr>
          <w:rFonts w:ascii="Arial" w:hAnsi="Arial" w:cs="Arial"/>
        </w:rPr>
      </w:pPr>
      <w:r w:rsidRPr="00270A6F">
        <w:rPr>
          <w:rFonts w:ascii="Arial" w:hAnsi="Arial" w:cs="Arial"/>
        </w:rPr>
        <w:t xml:space="preserve">The PTRM can accommodate input data for up to a 10-year regulatory control period. Input cells outside of the relevant regulatory control period should be left blank.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PTRM is configured to use the straight-line method as the default position for calculating depreciation for regulatory and tax purposes. </w:t>
      </w:r>
      <w:r w:rsidR="00AE5294" w:rsidRPr="00A25A3C">
        <w:rPr>
          <w:rFonts w:ascii="Arial" w:hAnsi="Arial" w:cs="Arial"/>
        </w:rPr>
        <w:t>If</w:t>
      </w:r>
      <w:r w:rsidRPr="00A25A3C">
        <w:rPr>
          <w:rFonts w:ascii="Arial" w:hAnsi="Arial" w:cs="Arial"/>
        </w:rPr>
        <w:t xml:space="preserve"> TNSPs </w:t>
      </w:r>
      <w:r w:rsidR="00AE5294" w:rsidRPr="00A25A3C">
        <w:rPr>
          <w:rFonts w:ascii="Arial" w:hAnsi="Arial" w:cs="Arial"/>
        </w:rPr>
        <w:t>intend to</w:t>
      </w:r>
      <w:r w:rsidRPr="00A25A3C">
        <w:rPr>
          <w:rFonts w:ascii="Arial" w:hAnsi="Arial" w:cs="Arial"/>
        </w:rPr>
        <w:t xml:space="preserve"> propose </w:t>
      </w:r>
      <w:r w:rsidR="00AE5294" w:rsidRPr="00A25A3C">
        <w:rPr>
          <w:rFonts w:ascii="Arial" w:hAnsi="Arial" w:cs="Arial"/>
        </w:rPr>
        <w:t>using other</w:t>
      </w:r>
      <w:r w:rsidRPr="00A25A3C">
        <w:rPr>
          <w:rFonts w:ascii="Arial" w:hAnsi="Arial" w:cs="Arial"/>
        </w:rPr>
        <w:t xml:space="preserve"> depreciation profiles</w:t>
      </w:r>
      <w:r w:rsidR="00AE5294" w:rsidRPr="00A25A3C">
        <w:rPr>
          <w:rFonts w:ascii="Arial" w:hAnsi="Arial" w:cs="Arial"/>
        </w:rPr>
        <w:t>, it is recommended that they raise this</w:t>
      </w:r>
      <w:r w:rsidRPr="00A25A3C">
        <w:rPr>
          <w:rFonts w:ascii="Arial" w:hAnsi="Arial" w:cs="Arial"/>
        </w:rPr>
        <w:t xml:space="preserve"> as part of pre-lodgement discussions</w:t>
      </w:r>
      <w:r w:rsidR="00AE5294" w:rsidRPr="00A25A3C">
        <w:rPr>
          <w:rFonts w:ascii="Arial" w:hAnsi="Arial" w:cs="Arial"/>
        </w:rPr>
        <w:t>.</w:t>
      </w:r>
      <w:r w:rsidR="00AE5294" w:rsidRPr="00A25A3C">
        <w:rPr>
          <w:rStyle w:val="FootnoteReference"/>
          <w:rFonts w:ascii="Arial" w:hAnsi="Arial" w:cs="Arial"/>
        </w:rPr>
        <w:footnoteReference w:id="5"/>
      </w:r>
      <w:r w:rsidRPr="00A25A3C">
        <w:rPr>
          <w:rFonts w:ascii="Arial" w:hAnsi="Arial" w:cs="Arial"/>
        </w:rPr>
        <w:t xml:space="preserve"> </w:t>
      </w:r>
      <w:r w:rsidR="00AE5294" w:rsidRPr="00A25A3C">
        <w:rPr>
          <w:rFonts w:ascii="Arial" w:hAnsi="Arial" w:cs="Arial"/>
        </w:rPr>
        <w:t>For example, this could take place during the framework and approach process for a determination</w:t>
      </w:r>
      <w:r w:rsidRPr="00A25A3C">
        <w:rPr>
          <w:rFonts w:ascii="Arial" w:hAnsi="Arial" w:cs="Arial"/>
        </w:rPr>
        <w:t>.</w:t>
      </w:r>
      <w:r w:rsidR="00AE5294" w:rsidRPr="00A25A3C">
        <w:rPr>
          <w:rStyle w:val="FootnoteReference"/>
          <w:rFonts w:ascii="Arial" w:hAnsi="Arial" w:cs="Arial"/>
        </w:rPr>
        <w:footnoteReference w:id="6"/>
      </w:r>
      <w:r w:rsidRPr="00A25A3C">
        <w:rPr>
          <w:rFonts w:ascii="Arial" w:hAnsi="Arial" w:cs="Arial"/>
        </w:rPr>
        <w:t xml:space="preserve"> </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PTRM is also configured to recognise capex on a partially as-incurred (hybrid) approach.</w:t>
      </w:r>
      <w:r w:rsidRPr="00A25A3C">
        <w:rPr>
          <w:rStyle w:val="FootnoteReference"/>
          <w:rFonts w:ascii="Arial" w:hAnsi="Arial" w:cs="Arial"/>
        </w:rPr>
        <w:footnoteReference w:id="7"/>
      </w:r>
      <w:r w:rsidRPr="00A25A3C">
        <w:rPr>
          <w:rFonts w:ascii="Arial" w:hAnsi="Arial" w:cs="Arial"/>
        </w:rPr>
        <w:t xml:space="preserve"> As such, two RABs determined on the basis of as-incurred capex and as-commissioned capex are required to calculate the return on capital and the return of capital respectively.</w:t>
      </w:r>
    </w:p>
    <w:p w:rsidR="007749FC" w:rsidRPr="00A25A3C" w:rsidRDefault="007749FC" w:rsidP="007749FC">
      <w:pPr>
        <w:pStyle w:val="Heading3"/>
        <w:rPr>
          <w:rFonts w:ascii="Arial" w:hAnsi="Arial" w:cs="Arial"/>
        </w:rPr>
      </w:pPr>
      <w:bookmarkStart w:id="19" w:name="_Toc410223758"/>
      <w:r w:rsidRPr="00A25A3C">
        <w:rPr>
          <w:rFonts w:ascii="Arial" w:hAnsi="Arial" w:cs="Arial"/>
        </w:rPr>
        <w:lastRenderedPageBreak/>
        <w:t>Opening regulatory asset base and opening tax base</w:t>
      </w:r>
      <w:bookmarkEnd w:id="19"/>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opening RAB is the value of assets on which a return will be earned. The opening TAB is used to calculate depreciation for tax purposes. The </w:t>
      </w:r>
      <w:r w:rsidR="00607148" w:rsidRPr="00A25A3C">
        <w:rPr>
          <w:rFonts w:ascii="Arial" w:hAnsi="Arial" w:cs="Arial"/>
          <w:b/>
        </w:rPr>
        <w:t xml:space="preserve">PTRM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requires values for the opening RAB (broken into asset classes in rows 7 to 56) and opening TAB at the start of the first year of the next regulatory control period.</w:t>
      </w:r>
      <w:r w:rsidRPr="00A25A3C">
        <w:rPr>
          <w:rStyle w:val="FootnoteReference"/>
          <w:rFonts w:ascii="Arial" w:hAnsi="Arial" w:cs="Arial"/>
        </w:rPr>
        <w:footnoteReference w:id="8"/>
      </w:r>
      <w:r w:rsidRPr="00A25A3C">
        <w:rPr>
          <w:rFonts w:ascii="Arial" w:hAnsi="Arial" w:cs="Arial"/>
        </w:rPr>
        <w:t xml:space="preserve"> The RAB and TAB will differ each year to reflect forecast capex (as-incurred for the RAB or as-commissioned for the TAB), asset disposals and regulatory depreciation (for the RAB) or tax depreciation (for the TAB).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recorded input values are linked to the </w:t>
      </w:r>
      <w:r w:rsidRPr="00A25A3C">
        <w:rPr>
          <w:rStyle w:val="AERtextbold"/>
          <w:rFonts w:ascii="Arial" w:hAnsi="Arial" w:cs="Arial"/>
        </w:rPr>
        <w:t>Assets</w:t>
      </w:r>
      <w:r w:rsidRPr="00A25A3C">
        <w:rPr>
          <w:rFonts w:ascii="Arial" w:hAnsi="Arial" w:cs="Arial"/>
        </w:rPr>
        <w:t xml:space="preserve"> sheet, which also calculates depreciation for the next regulatory control period. Notes have also been included for various cells with specific comments and explanations about the relevance of the inputs.</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Asset class name</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asset classes/names are recorded in column G. It is important that the number of asset classes recorded in the RAB section matches the number of asset classes identified in the capex section. This allows the PTRM to model consistent depreciation across the asset classes. </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PTRM is configured to accommodate up to 50 asset classes.</w:t>
      </w:r>
      <w:r w:rsidRPr="00A25A3C">
        <w:rPr>
          <w:rStyle w:val="FootnoteReference"/>
          <w:rFonts w:ascii="Arial" w:hAnsi="Arial" w:cs="Arial"/>
        </w:rPr>
        <w:footnoteReference w:id="9"/>
      </w:r>
      <w:r w:rsidRPr="00A25A3C">
        <w:rPr>
          <w:rFonts w:ascii="Arial" w:hAnsi="Arial" w:cs="Arial"/>
        </w:rPr>
        <w:t xml:space="preserve">  The number of asset classes used in the PTRM will vary between businesses.</w:t>
      </w:r>
      <w:r w:rsidRPr="00A25A3C">
        <w:rPr>
          <w:rStyle w:val="FootnoteReference"/>
          <w:rFonts w:ascii="Arial" w:hAnsi="Arial" w:cs="Arial"/>
        </w:rPr>
        <w:footnoteReference w:id="10"/>
      </w:r>
      <w:r w:rsidRPr="00A25A3C">
        <w:rPr>
          <w:rFonts w:ascii="Arial" w:hAnsi="Arial" w:cs="Arial"/>
        </w:rPr>
        <w:t xml:space="preserve"> However, for each business the number of asset classes used in the PTRM must be consistent with that used in the AER’s roll forward model (RFM) to allow the closing RAB values determined in the RFM to be used as inputs to the opening RAB values in the PTRM. </w:t>
      </w:r>
      <w:r w:rsidRPr="00270A6F">
        <w:rPr>
          <w:rFonts w:ascii="Arial" w:hAnsi="Arial" w:cs="Arial"/>
        </w:rPr>
        <w:t>RAB values by asset class derived from the RFM may be aggregated or disaggregated when forming inputs for the PTRM where this demonstrably improves the accuracy or administrative convenience of asset calculations.</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Opening asset value (partially as-incurred)</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opening asset values for each asset class are recorded in column J and are manually sourced from the closing asset values (partially as-incurred) for each asset class determined in the RFM.</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Opening asset value (as commissioned)</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opening asset values for each asset class are recorded in column K and are manually sourced from the closing asset values (as-commissioned) for each asset class determined in the RFM.</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Average remaining life</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average remaining lives of each asset class are recorded in column L, based on the economic lives of the assets, and are manually sourced from the closing remaining lives for each asset class determined in the RFM (using a weighted average method). </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Standard life</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standard lives of each asset class are recorded in column M and measure how long the infrastructure would physically last had it just been built.</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lastRenderedPageBreak/>
        <w:t>Opening tax asset value</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opening tax asset values for each asset class are manually sourced from the closing tax asset values which have been determined in the RFM and are recorded in column N.</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Average tax remaining life</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average tax remaining lives of each asset class for taxation purposes are recorded in column O based on the tax lives specified by the Australian Tax Office (ATO) for the category of assets and commissioning dates.</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Tax standard life</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tax standard lives of each asset class are recorded in column P.</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Base regulatory year</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regulatory year for the start of the next regulatory control period is recorded in cell Q7.</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Length of regulatory control period</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number of years in the next regulatory control period is recorded in cell R7.</w:t>
      </w:r>
    </w:p>
    <w:p w:rsidR="007749FC" w:rsidRPr="00A25A3C" w:rsidRDefault="007749FC" w:rsidP="007749FC">
      <w:pPr>
        <w:pStyle w:val="Heading3"/>
        <w:rPr>
          <w:rFonts w:ascii="Arial" w:hAnsi="Arial" w:cs="Arial"/>
        </w:rPr>
      </w:pPr>
      <w:bookmarkStart w:id="20" w:name="_Toc410223759"/>
      <w:r w:rsidRPr="00A25A3C">
        <w:rPr>
          <w:rFonts w:ascii="Arial" w:hAnsi="Arial" w:cs="Arial"/>
        </w:rPr>
        <w:t>Forecast real capital expenditure—as-incurred</w:t>
      </w:r>
      <w:bookmarkEnd w:id="20"/>
    </w:p>
    <w:p w:rsidR="007749FC" w:rsidRPr="00A25A3C" w:rsidRDefault="007749FC" w:rsidP="007749FC">
      <w:pPr>
        <w:pStyle w:val="AERbodytext"/>
        <w:numPr>
          <w:ilvl w:val="0"/>
          <w:numId w:val="9"/>
        </w:numPr>
        <w:rPr>
          <w:rFonts w:ascii="Arial" w:hAnsi="Arial" w:cs="Arial"/>
        </w:rPr>
      </w:pPr>
      <w:r w:rsidRPr="00A25A3C">
        <w:rPr>
          <w:rFonts w:ascii="Arial" w:hAnsi="Arial" w:cs="Arial"/>
        </w:rPr>
        <w:t>The forecast capex (as-incurred) values for the next regulatory control period are recorded for each year in rows 61 to 110 (by asset class).</w:t>
      </w:r>
      <w:r w:rsidRPr="00A25A3C">
        <w:rPr>
          <w:rStyle w:val="FootnoteReference"/>
          <w:rFonts w:ascii="Arial" w:hAnsi="Arial" w:cs="Arial"/>
        </w:rPr>
        <w:footnoteReference w:id="11"/>
      </w:r>
      <w:r w:rsidRPr="00A25A3C">
        <w:rPr>
          <w:rFonts w:ascii="Arial" w:hAnsi="Arial" w:cs="Arial"/>
        </w:rPr>
        <w:t xml:space="preserve"> Capex is rolled into the RAB when spending is incurred. Generally, capex falls into three broad categories:</w:t>
      </w:r>
    </w:p>
    <w:p w:rsidR="007749FC" w:rsidRPr="00A25A3C" w:rsidRDefault="007749FC" w:rsidP="003C2D87">
      <w:pPr>
        <w:pStyle w:val="AERbulletlistfirststyle"/>
        <w:ind w:hanging="720"/>
        <w:rPr>
          <w:rFonts w:ascii="Arial" w:hAnsi="Arial" w:cs="Arial"/>
        </w:rPr>
      </w:pPr>
      <w:r w:rsidRPr="00A25A3C">
        <w:rPr>
          <w:rFonts w:ascii="Arial" w:hAnsi="Arial" w:cs="Arial"/>
        </w:rPr>
        <w:t>asset augmentation (e.g. works to enlarge a network or to increase the capability of a network)</w:t>
      </w:r>
    </w:p>
    <w:p w:rsidR="007749FC" w:rsidRPr="00A25A3C" w:rsidRDefault="007749FC" w:rsidP="003C2D87">
      <w:pPr>
        <w:pStyle w:val="AERbulletlistfirststyle"/>
        <w:ind w:hanging="720"/>
        <w:rPr>
          <w:rFonts w:ascii="Arial" w:hAnsi="Arial" w:cs="Arial"/>
        </w:rPr>
      </w:pPr>
      <w:r w:rsidRPr="00A25A3C">
        <w:rPr>
          <w:rFonts w:ascii="Arial" w:hAnsi="Arial" w:cs="Arial"/>
        </w:rPr>
        <w:t>asset replacement (e.g. replacing assets that have passed their useful lives)</w:t>
      </w:r>
    </w:p>
    <w:p w:rsidR="007749FC" w:rsidRPr="00A25A3C" w:rsidRDefault="007749FC" w:rsidP="003C2D87">
      <w:pPr>
        <w:pStyle w:val="AERbulletlistfirststyle"/>
        <w:ind w:hanging="720"/>
        <w:rPr>
          <w:rFonts w:ascii="Arial" w:hAnsi="Arial" w:cs="Arial"/>
        </w:rPr>
      </w:pPr>
      <w:r w:rsidRPr="00A25A3C">
        <w:rPr>
          <w:rFonts w:ascii="Arial" w:hAnsi="Arial" w:cs="Arial"/>
        </w:rPr>
        <w:t>non-network asset (e.g. support the business expenditure)</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These inputs must be reported in real terms based on start of year one dollar terms. </w:t>
      </w:r>
    </w:p>
    <w:p w:rsidR="007749FC" w:rsidRPr="00A25A3C" w:rsidRDefault="007749FC" w:rsidP="007749FC">
      <w:pPr>
        <w:pStyle w:val="Heading3"/>
        <w:rPr>
          <w:rFonts w:ascii="Arial" w:hAnsi="Arial" w:cs="Arial"/>
        </w:rPr>
      </w:pPr>
      <w:bookmarkStart w:id="21" w:name="_Toc410223760"/>
      <w:r w:rsidRPr="00A25A3C">
        <w:rPr>
          <w:rFonts w:ascii="Arial" w:hAnsi="Arial" w:cs="Arial"/>
        </w:rPr>
        <w:t>Forecast real asset disposals—as-incurred</w:t>
      </w:r>
      <w:bookmarkEnd w:id="21"/>
    </w:p>
    <w:p w:rsidR="007749FC" w:rsidRPr="00A25A3C" w:rsidRDefault="007749FC" w:rsidP="007749FC">
      <w:pPr>
        <w:pStyle w:val="AERbodytext"/>
        <w:numPr>
          <w:ilvl w:val="0"/>
          <w:numId w:val="9"/>
        </w:numPr>
        <w:rPr>
          <w:rFonts w:ascii="Arial" w:hAnsi="Arial" w:cs="Arial"/>
        </w:rPr>
      </w:pPr>
      <w:r w:rsidRPr="00A25A3C">
        <w:rPr>
          <w:rFonts w:ascii="Arial" w:hAnsi="Arial" w:cs="Arial"/>
        </w:rPr>
        <w:t>The forecast asset disposal (as-incurred) values are recorded for the year in which the disposal is expected to take place, in rows 115 to 164 (by asset class). These inputs must be reported in real terms based on start of year one dollar terms.</w:t>
      </w:r>
    </w:p>
    <w:p w:rsidR="007749FC" w:rsidRPr="00A25A3C" w:rsidRDefault="007749FC" w:rsidP="007749FC">
      <w:pPr>
        <w:pStyle w:val="Heading3"/>
        <w:rPr>
          <w:rFonts w:ascii="Arial" w:hAnsi="Arial" w:cs="Arial"/>
        </w:rPr>
      </w:pPr>
      <w:bookmarkStart w:id="22" w:name="_Toc410223761"/>
      <w:r w:rsidRPr="00A25A3C">
        <w:rPr>
          <w:rFonts w:ascii="Arial" w:hAnsi="Arial" w:cs="Arial"/>
        </w:rPr>
        <w:t>Forecast real net capital expenditure—as-incurred</w:t>
      </w:r>
      <w:bookmarkEnd w:id="22"/>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This section on forecast net capex does not require inputs to be recorded. For each asset class, forecast net capex is calculated based on the recorded forecast capex less forecast asset disposals. Forecast net capex (as-incurred) values are displayed in rows 169 to 218 and form part of the roll forward of projecting the RAB in the </w:t>
      </w:r>
      <w:r w:rsidRPr="00A25A3C">
        <w:rPr>
          <w:rStyle w:val="AERtextbold"/>
          <w:rFonts w:ascii="Arial" w:hAnsi="Arial" w:cs="Arial"/>
        </w:rPr>
        <w:t>Assets</w:t>
      </w:r>
      <w:r w:rsidRPr="00A25A3C">
        <w:rPr>
          <w:rFonts w:ascii="Arial" w:hAnsi="Arial" w:cs="Arial"/>
        </w:rPr>
        <w:t xml:space="preserve"> sheet. These inputs are assumed to be in real terms based on start of year one dollar terms.</w:t>
      </w:r>
    </w:p>
    <w:p w:rsidR="007749FC" w:rsidRPr="00A25A3C" w:rsidRDefault="007749FC" w:rsidP="007749FC">
      <w:pPr>
        <w:pStyle w:val="Heading3"/>
        <w:rPr>
          <w:rFonts w:ascii="Arial" w:hAnsi="Arial" w:cs="Arial"/>
        </w:rPr>
      </w:pPr>
      <w:bookmarkStart w:id="23" w:name="_Toc410223762"/>
      <w:r w:rsidRPr="00A25A3C">
        <w:rPr>
          <w:rFonts w:ascii="Arial" w:hAnsi="Arial" w:cs="Arial"/>
        </w:rPr>
        <w:lastRenderedPageBreak/>
        <w:t>Forecast real capital expenditure—as-commissioned</w:t>
      </w:r>
      <w:bookmarkEnd w:id="23"/>
    </w:p>
    <w:p w:rsidR="007749FC" w:rsidRPr="00A25A3C" w:rsidRDefault="007749FC" w:rsidP="007749FC">
      <w:pPr>
        <w:pStyle w:val="AERbodytext"/>
        <w:numPr>
          <w:ilvl w:val="0"/>
          <w:numId w:val="9"/>
        </w:numPr>
        <w:rPr>
          <w:rFonts w:ascii="Arial" w:hAnsi="Arial" w:cs="Arial"/>
        </w:rPr>
      </w:pPr>
      <w:r w:rsidRPr="00A25A3C">
        <w:rPr>
          <w:rFonts w:ascii="Arial" w:hAnsi="Arial" w:cs="Arial"/>
        </w:rPr>
        <w:t>The forecast capex (as-commissioned) values are recorded for each year in rows 223 to 272 (by asset class). These inputs must be reported in real terms based on start of year one dollar terms.</w:t>
      </w:r>
    </w:p>
    <w:p w:rsidR="007749FC" w:rsidRPr="00A25A3C" w:rsidRDefault="007749FC" w:rsidP="007749FC">
      <w:pPr>
        <w:pStyle w:val="Heading3"/>
        <w:rPr>
          <w:rFonts w:ascii="Arial" w:hAnsi="Arial" w:cs="Arial"/>
        </w:rPr>
      </w:pPr>
      <w:bookmarkStart w:id="24" w:name="_Toc410223763"/>
      <w:r w:rsidRPr="00A25A3C">
        <w:rPr>
          <w:rFonts w:ascii="Arial" w:hAnsi="Arial" w:cs="Arial"/>
        </w:rPr>
        <w:t>Forecast real asset disposals—as de-commissioned</w:t>
      </w:r>
      <w:bookmarkEnd w:id="24"/>
    </w:p>
    <w:p w:rsidR="007749FC" w:rsidRPr="00A25A3C" w:rsidRDefault="007749FC" w:rsidP="007749FC">
      <w:pPr>
        <w:pStyle w:val="AERbodytext"/>
        <w:numPr>
          <w:ilvl w:val="0"/>
          <w:numId w:val="9"/>
        </w:numPr>
        <w:rPr>
          <w:rFonts w:ascii="Arial" w:hAnsi="Arial" w:cs="Arial"/>
        </w:rPr>
      </w:pPr>
      <w:r w:rsidRPr="00A25A3C">
        <w:rPr>
          <w:rFonts w:ascii="Arial" w:hAnsi="Arial" w:cs="Arial"/>
        </w:rPr>
        <w:t>The forecast de-commissioned asset disposal values are recorded for each year in rows 277 to 326 (by asset class). These inputs must be reported in real terms based on start of year one dollar terms.</w:t>
      </w:r>
    </w:p>
    <w:p w:rsidR="007749FC" w:rsidRPr="00A25A3C" w:rsidRDefault="007749FC" w:rsidP="007749FC">
      <w:pPr>
        <w:pStyle w:val="Heading3"/>
        <w:rPr>
          <w:rFonts w:ascii="Arial" w:hAnsi="Arial" w:cs="Arial"/>
        </w:rPr>
      </w:pPr>
      <w:bookmarkStart w:id="25" w:name="_Toc410223764"/>
      <w:r w:rsidRPr="00A25A3C">
        <w:rPr>
          <w:rFonts w:ascii="Arial" w:hAnsi="Arial" w:cs="Arial"/>
        </w:rPr>
        <w:t>Forecast real net capital expenditure—as-commissioned</w:t>
      </w:r>
      <w:bookmarkEnd w:id="25"/>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This section on forecast net capex does not require inputs to be recorded. For each asset class, forecast net capex is calculated based on the recorded forecast capex less the value of de-commissioned assets. Forecast net capex (as-commissioned) values are displayed in rows 331 to 380 and are used to calculate depreciation in the </w:t>
      </w:r>
      <w:r w:rsidRPr="00A25A3C">
        <w:rPr>
          <w:rStyle w:val="AERtextbold"/>
          <w:rFonts w:ascii="Arial" w:hAnsi="Arial" w:cs="Arial"/>
        </w:rPr>
        <w:t>Assets</w:t>
      </w:r>
      <w:r w:rsidRPr="00A25A3C">
        <w:rPr>
          <w:rFonts w:ascii="Arial" w:hAnsi="Arial" w:cs="Arial"/>
        </w:rPr>
        <w:t xml:space="preserve"> sheet. These inputs are assumed to be in real terms based on start of year one dollar terms.</w:t>
      </w:r>
    </w:p>
    <w:p w:rsidR="007749FC" w:rsidRPr="00A25A3C" w:rsidRDefault="007749FC" w:rsidP="007749FC">
      <w:pPr>
        <w:pStyle w:val="Heading3"/>
        <w:rPr>
          <w:rFonts w:ascii="Arial" w:hAnsi="Arial" w:cs="Arial"/>
        </w:rPr>
      </w:pPr>
      <w:bookmarkStart w:id="26" w:name="_Toc410223765"/>
      <w:r w:rsidRPr="00A25A3C">
        <w:rPr>
          <w:rFonts w:ascii="Arial" w:hAnsi="Arial" w:cs="Arial"/>
        </w:rPr>
        <w:t>Forecast real operating expenditure</w:t>
      </w:r>
      <w:bookmarkEnd w:id="26"/>
    </w:p>
    <w:p w:rsidR="007749FC" w:rsidRPr="00A25A3C" w:rsidRDefault="007749FC" w:rsidP="007749FC">
      <w:pPr>
        <w:pStyle w:val="AERbodytext"/>
        <w:numPr>
          <w:ilvl w:val="0"/>
          <w:numId w:val="9"/>
        </w:numPr>
        <w:rPr>
          <w:rFonts w:ascii="Arial" w:hAnsi="Arial" w:cs="Arial"/>
        </w:rPr>
      </w:pPr>
      <w:proofErr w:type="spellStart"/>
      <w:r w:rsidRPr="00A25A3C">
        <w:rPr>
          <w:rFonts w:ascii="Arial" w:hAnsi="Arial" w:cs="Arial"/>
        </w:rPr>
        <w:t>Opex</w:t>
      </w:r>
      <w:proofErr w:type="spellEnd"/>
      <w:r w:rsidRPr="00A25A3C">
        <w:rPr>
          <w:rFonts w:ascii="Arial" w:hAnsi="Arial" w:cs="Arial"/>
        </w:rPr>
        <w:t xml:space="preserve"> typically includes items such as wages and salaries, leasing costs, costs associated with maintaining transmission assets, input costs and other service contract expenses paid to third parties. The forecast </w:t>
      </w:r>
      <w:proofErr w:type="spellStart"/>
      <w:r w:rsidRPr="00A25A3C">
        <w:rPr>
          <w:rFonts w:ascii="Arial" w:hAnsi="Arial" w:cs="Arial"/>
        </w:rPr>
        <w:t>opex</w:t>
      </w:r>
      <w:proofErr w:type="spellEnd"/>
      <w:r w:rsidRPr="00A25A3C">
        <w:rPr>
          <w:rFonts w:ascii="Arial" w:hAnsi="Arial" w:cs="Arial"/>
        </w:rPr>
        <w:t xml:space="preserve"> values for each year are recorded in rows 385 to 3</w:t>
      </w:r>
      <w:r w:rsidR="0077754B" w:rsidRPr="00A25A3C">
        <w:rPr>
          <w:rFonts w:ascii="Arial" w:hAnsi="Arial" w:cs="Arial"/>
        </w:rPr>
        <w:t>93</w:t>
      </w:r>
      <w:r w:rsidRPr="00A25A3C">
        <w:rPr>
          <w:rFonts w:ascii="Arial" w:hAnsi="Arial" w:cs="Arial"/>
        </w:rPr>
        <w:t>, including any carryover amounts determined according to the efficiency benefit sharing scheme developed by the AER. Row 39</w:t>
      </w:r>
      <w:r w:rsidR="00BA0DCA" w:rsidRPr="00A25A3C">
        <w:rPr>
          <w:rFonts w:ascii="Arial" w:hAnsi="Arial" w:cs="Arial"/>
        </w:rPr>
        <w:t>4</w:t>
      </w:r>
      <w:r w:rsidRPr="00A25A3C">
        <w:rPr>
          <w:rFonts w:ascii="Arial" w:hAnsi="Arial" w:cs="Arial"/>
        </w:rPr>
        <w:t xml:space="preserve"> displays benchmark debt raising cost</w:t>
      </w:r>
      <w:r w:rsidR="00C84F02" w:rsidRPr="00A25A3C">
        <w:rPr>
          <w:rFonts w:ascii="Arial" w:hAnsi="Arial" w:cs="Arial"/>
        </w:rPr>
        <w:t>s</w:t>
      </w:r>
      <w:r w:rsidRPr="00A25A3C">
        <w:rPr>
          <w:rFonts w:ascii="Arial" w:hAnsi="Arial" w:cs="Arial"/>
        </w:rPr>
        <w:t xml:space="preserve"> and does not require inputs to be recorded because the calculation is formula-driven, and is based on the practice of treating the allowance as an </w:t>
      </w:r>
      <w:proofErr w:type="spellStart"/>
      <w:r w:rsidRPr="00A25A3C">
        <w:rPr>
          <w:rFonts w:ascii="Arial" w:hAnsi="Arial" w:cs="Arial"/>
        </w:rPr>
        <w:t>opex</w:t>
      </w:r>
      <w:proofErr w:type="spellEnd"/>
      <w:r w:rsidRPr="00A25A3C">
        <w:rPr>
          <w:rFonts w:ascii="Arial" w:hAnsi="Arial" w:cs="Arial"/>
        </w:rPr>
        <w:t xml:space="preserve"> line item. Additional </w:t>
      </w:r>
      <w:proofErr w:type="spellStart"/>
      <w:r w:rsidRPr="00A25A3C">
        <w:rPr>
          <w:rFonts w:ascii="Arial" w:hAnsi="Arial" w:cs="Arial"/>
        </w:rPr>
        <w:t>opex</w:t>
      </w:r>
      <w:proofErr w:type="spellEnd"/>
      <w:r w:rsidRPr="00A25A3C">
        <w:rPr>
          <w:rFonts w:ascii="Arial" w:hAnsi="Arial" w:cs="Arial"/>
        </w:rPr>
        <w:t xml:space="preserve"> inputs can be recorded by adding rows to this section—click on the button labelled </w:t>
      </w:r>
      <w:r w:rsidRPr="00316E7B">
        <w:rPr>
          <w:rFonts w:ascii="Arial" w:hAnsi="Arial" w:cs="Arial"/>
          <w:b/>
        </w:rPr>
        <w:t>'</w:t>
      </w:r>
      <w:r w:rsidRPr="00316E7B">
        <w:rPr>
          <w:rStyle w:val="AERtextbold"/>
          <w:rFonts w:ascii="Arial" w:hAnsi="Arial" w:cs="Arial"/>
          <w:b w:val="0"/>
        </w:rPr>
        <w:t xml:space="preserve">Insert new </w:t>
      </w:r>
      <w:proofErr w:type="spellStart"/>
      <w:r w:rsidRPr="00316E7B">
        <w:rPr>
          <w:rStyle w:val="AERtextbold"/>
          <w:rFonts w:ascii="Arial" w:hAnsi="Arial" w:cs="Arial"/>
          <w:b w:val="0"/>
        </w:rPr>
        <w:t>opex</w:t>
      </w:r>
      <w:proofErr w:type="spellEnd"/>
      <w:r w:rsidRPr="00316E7B">
        <w:rPr>
          <w:rStyle w:val="AERtextbold"/>
          <w:rFonts w:ascii="Arial" w:hAnsi="Arial" w:cs="Arial"/>
          <w:b w:val="0"/>
        </w:rPr>
        <w:t xml:space="preserve"> row'</w:t>
      </w:r>
      <w:r w:rsidRPr="00A25A3C">
        <w:rPr>
          <w:rFonts w:ascii="Arial" w:hAnsi="Arial" w:cs="Arial"/>
        </w:rPr>
        <w:t xml:space="preserve">. </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These inputs must be reported in real terms based on start of year one dollar terms.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for</w:t>
      </w:r>
      <w:r w:rsidR="00BA0DCA" w:rsidRPr="00A25A3C">
        <w:rPr>
          <w:rFonts w:ascii="Arial" w:hAnsi="Arial" w:cs="Arial"/>
        </w:rPr>
        <w:t xml:space="preserve">ecast total </w:t>
      </w:r>
      <w:proofErr w:type="spellStart"/>
      <w:r w:rsidR="00BA0DCA" w:rsidRPr="00A25A3C">
        <w:rPr>
          <w:rFonts w:ascii="Arial" w:hAnsi="Arial" w:cs="Arial"/>
        </w:rPr>
        <w:t>opex</w:t>
      </w:r>
      <w:proofErr w:type="spellEnd"/>
      <w:r w:rsidR="00BA0DCA" w:rsidRPr="00A25A3C">
        <w:rPr>
          <w:rFonts w:ascii="Arial" w:hAnsi="Arial" w:cs="Arial"/>
        </w:rPr>
        <w:t xml:space="preserve"> values (row 395</w:t>
      </w:r>
      <w:r w:rsidRPr="00A25A3C">
        <w:rPr>
          <w:rFonts w:ascii="Arial" w:hAnsi="Arial" w:cs="Arial"/>
        </w:rPr>
        <w:t xml:space="preserve">) are linked to the </w:t>
      </w:r>
      <w:r w:rsidRPr="00A25A3C">
        <w:rPr>
          <w:rStyle w:val="AERtextbold"/>
          <w:rFonts w:ascii="Arial" w:hAnsi="Arial" w:cs="Arial"/>
        </w:rPr>
        <w:t>Analysis</w:t>
      </w:r>
      <w:r w:rsidRPr="00A25A3C">
        <w:rPr>
          <w:rFonts w:ascii="Arial" w:hAnsi="Arial" w:cs="Arial"/>
        </w:rPr>
        <w:t xml:space="preserve"> sheet to calculate the ABBRR.</w:t>
      </w:r>
    </w:p>
    <w:p w:rsidR="007749FC" w:rsidRPr="00270A6F" w:rsidRDefault="007749FC" w:rsidP="007749FC">
      <w:pPr>
        <w:pStyle w:val="Heading3"/>
        <w:rPr>
          <w:rFonts w:ascii="Arial" w:hAnsi="Arial" w:cs="Arial"/>
        </w:rPr>
      </w:pPr>
      <w:bookmarkStart w:id="27" w:name="_Toc410223766"/>
      <w:r w:rsidRPr="00270A6F">
        <w:rPr>
          <w:rFonts w:ascii="Arial" w:hAnsi="Arial" w:cs="Arial"/>
        </w:rPr>
        <w:t>Revenue adjustments</w:t>
      </w:r>
      <w:bookmarkEnd w:id="27"/>
      <w:r w:rsidRPr="00270A6F">
        <w:rPr>
          <w:rFonts w:ascii="Arial" w:hAnsi="Arial" w:cs="Arial"/>
        </w:rPr>
        <w:t xml:space="preserve"> </w:t>
      </w:r>
    </w:p>
    <w:p w:rsidR="00BA0DCA" w:rsidRPr="00A25A3C" w:rsidRDefault="00BA0DCA" w:rsidP="006A462A">
      <w:pPr>
        <w:pStyle w:val="AERbodytext"/>
        <w:numPr>
          <w:ilvl w:val="0"/>
          <w:numId w:val="9"/>
        </w:numPr>
        <w:rPr>
          <w:rFonts w:ascii="Arial" w:hAnsi="Arial" w:cs="Arial"/>
        </w:rPr>
      </w:pPr>
      <w:r w:rsidRPr="00A25A3C">
        <w:rPr>
          <w:rFonts w:ascii="Arial" w:hAnsi="Arial" w:cs="Arial"/>
        </w:rPr>
        <w:t xml:space="preserve">Any additional revenue adjustments </w:t>
      </w:r>
      <w:r w:rsidR="008103BA" w:rsidRPr="00A25A3C">
        <w:rPr>
          <w:rFonts w:ascii="Arial" w:hAnsi="Arial" w:cs="Arial"/>
        </w:rPr>
        <w:t xml:space="preserve">applying to this regulatory control period </w:t>
      </w:r>
      <w:r w:rsidRPr="00A25A3C">
        <w:rPr>
          <w:rFonts w:ascii="Arial" w:hAnsi="Arial" w:cs="Arial"/>
        </w:rPr>
        <w:t>are recorded in rows</w:t>
      </w:r>
      <w:r w:rsidR="00B52F1E" w:rsidRPr="00A25A3C">
        <w:rPr>
          <w:rFonts w:ascii="Arial" w:hAnsi="Arial" w:cs="Arial"/>
        </w:rPr>
        <w:t> </w:t>
      </w:r>
      <w:r w:rsidRPr="00A25A3C">
        <w:rPr>
          <w:rFonts w:ascii="Arial" w:hAnsi="Arial" w:cs="Arial"/>
        </w:rPr>
        <w:t>399 to 408.</w:t>
      </w:r>
      <w:r w:rsidR="008103BA" w:rsidRPr="00A25A3C">
        <w:rPr>
          <w:rFonts w:ascii="Arial" w:hAnsi="Arial" w:cs="Arial"/>
          <w:vertAlign w:val="superscript"/>
        </w:rPr>
        <w:footnoteReference w:id="12"/>
      </w:r>
      <w:r w:rsidRPr="00A25A3C">
        <w:rPr>
          <w:rFonts w:ascii="Arial" w:hAnsi="Arial" w:cs="Arial"/>
        </w:rPr>
        <w:t xml:space="preserve"> These are linked to the total building block revenue calculations in the </w:t>
      </w:r>
      <w:r w:rsidRPr="001A3FE5">
        <w:rPr>
          <w:rFonts w:ascii="Arial" w:hAnsi="Arial" w:cs="Arial"/>
          <w:b/>
        </w:rPr>
        <w:t>Analysis</w:t>
      </w:r>
      <w:r w:rsidRPr="00A25A3C">
        <w:rPr>
          <w:rFonts w:ascii="Arial" w:hAnsi="Arial" w:cs="Arial"/>
        </w:rPr>
        <w:t xml:space="preserve"> sheet. Each line item in this section can be set to be treated as a tax income and/or a tax expense. These settings are determined by the drop down options in cells R</w:t>
      </w:r>
      <w:r w:rsidR="0082629A" w:rsidRPr="00A25A3C">
        <w:rPr>
          <w:rFonts w:ascii="Arial" w:hAnsi="Arial" w:cs="Arial"/>
        </w:rPr>
        <w:t>399</w:t>
      </w:r>
      <w:r w:rsidRPr="00A25A3C">
        <w:rPr>
          <w:rFonts w:ascii="Arial" w:hAnsi="Arial" w:cs="Arial"/>
        </w:rPr>
        <w:t>:S</w:t>
      </w:r>
      <w:r w:rsidR="0082629A" w:rsidRPr="00A25A3C">
        <w:rPr>
          <w:rFonts w:ascii="Arial" w:hAnsi="Arial" w:cs="Arial"/>
        </w:rPr>
        <w:t>408</w:t>
      </w:r>
      <w:r w:rsidRPr="00A25A3C">
        <w:rPr>
          <w:rFonts w:ascii="Arial" w:hAnsi="Arial" w:cs="Arial"/>
        </w:rPr>
        <w:t>. Totals for each combination of tax income and tax expense settings are in rows 409:413.</w:t>
      </w:r>
    </w:p>
    <w:p w:rsidR="007749FC" w:rsidRPr="00A25A3C" w:rsidRDefault="0082629A" w:rsidP="007749FC">
      <w:pPr>
        <w:pStyle w:val="Heading3"/>
        <w:rPr>
          <w:rFonts w:ascii="Arial" w:hAnsi="Arial" w:cs="Arial"/>
        </w:rPr>
      </w:pPr>
      <w:bookmarkStart w:id="28" w:name="_Toc410223767"/>
      <w:r w:rsidRPr="00A25A3C">
        <w:rPr>
          <w:rFonts w:ascii="Arial" w:hAnsi="Arial" w:cs="Arial"/>
        </w:rPr>
        <w:t>Tax</w:t>
      </w:r>
      <w:bookmarkEnd w:id="28"/>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expected corporate tax rates are </w:t>
      </w:r>
      <w:r w:rsidR="009468D2" w:rsidRPr="00A25A3C">
        <w:rPr>
          <w:rFonts w:ascii="Arial" w:hAnsi="Arial" w:cs="Arial"/>
        </w:rPr>
        <w:t>recorded for each year in row 417</w:t>
      </w:r>
      <w:r w:rsidRPr="00A25A3C">
        <w:rPr>
          <w:rFonts w:ascii="Arial" w:hAnsi="Arial" w:cs="Arial"/>
        </w:rPr>
        <w:t xml:space="preserve">. The tax rates are linked to the </w:t>
      </w:r>
      <w:r w:rsidRPr="00A25A3C">
        <w:rPr>
          <w:rStyle w:val="AERtextbold"/>
          <w:rFonts w:ascii="Arial" w:hAnsi="Arial" w:cs="Arial"/>
        </w:rPr>
        <w:t>WACC</w:t>
      </w:r>
      <w:r w:rsidRPr="00A25A3C">
        <w:rPr>
          <w:rFonts w:ascii="Arial" w:hAnsi="Arial" w:cs="Arial"/>
        </w:rPr>
        <w:t xml:space="preserve"> sheet to calculate the average tax rate and to the </w:t>
      </w:r>
      <w:r w:rsidRPr="00A25A3C">
        <w:rPr>
          <w:rStyle w:val="AERtextbold"/>
          <w:rFonts w:ascii="Arial" w:hAnsi="Arial" w:cs="Arial"/>
        </w:rPr>
        <w:t>Analysis</w:t>
      </w:r>
      <w:r w:rsidRPr="00A25A3C">
        <w:rPr>
          <w:rFonts w:ascii="Arial" w:hAnsi="Arial" w:cs="Arial"/>
        </w:rPr>
        <w:t xml:space="preserve"> sheet to estimate the tax payable, as part of calculating the ABBRR.</w:t>
      </w:r>
    </w:p>
    <w:p w:rsidR="0082629A" w:rsidRPr="00270A6F" w:rsidRDefault="0082629A" w:rsidP="0082629A">
      <w:pPr>
        <w:pStyle w:val="AERbodytext"/>
        <w:numPr>
          <w:ilvl w:val="0"/>
          <w:numId w:val="9"/>
        </w:numPr>
        <w:rPr>
          <w:rFonts w:ascii="Arial" w:hAnsi="Arial" w:cs="Arial"/>
        </w:rPr>
      </w:pPr>
      <w:r w:rsidRPr="00270A6F">
        <w:rPr>
          <w:rFonts w:ascii="Arial" w:hAnsi="Arial" w:cs="Arial"/>
        </w:rPr>
        <w:t>Any tax losses carried forward from the previous period are included in cell F420.</w:t>
      </w:r>
    </w:p>
    <w:p w:rsidR="007749FC" w:rsidRPr="00A25A3C" w:rsidRDefault="007749FC" w:rsidP="007749FC">
      <w:pPr>
        <w:pStyle w:val="Heading3"/>
        <w:rPr>
          <w:rFonts w:ascii="Arial" w:hAnsi="Arial" w:cs="Arial"/>
        </w:rPr>
      </w:pPr>
      <w:bookmarkStart w:id="29" w:name="_Toc410223768"/>
      <w:r w:rsidRPr="00A25A3C">
        <w:rPr>
          <w:rFonts w:ascii="Arial" w:hAnsi="Arial" w:cs="Arial"/>
        </w:rPr>
        <w:lastRenderedPageBreak/>
        <w:t>Cost of capital</w:t>
      </w:r>
      <w:bookmarkEnd w:id="29"/>
    </w:p>
    <w:p w:rsidR="007749FC" w:rsidRPr="00A25A3C" w:rsidRDefault="007749FC" w:rsidP="007749FC">
      <w:pPr>
        <w:pStyle w:val="AERbodytext"/>
        <w:numPr>
          <w:ilvl w:val="0"/>
          <w:numId w:val="9"/>
        </w:numPr>
        <w:rPr>
          <w:rFonts w:ascii="Arial" w:hAnsi="Arial" w:cs="Arial"/>
        </w:rPr>
      </w:pPr>
      <w:r w:rsidRPr="00A25A3C">
        <w:rPr>
          <w:rFonts w:ascii="Arial" w:hAnsi="Arial" w:cs="Arial"/>
        </w:rPr>
        <w:t>The cost of capital section (rows 4</w:t>
      </w:r>
      <w:r w:rsidR="009468D2" w:rsidRPr="00A25A3C">
        <w:rPr>
          <w:rFonts w:ascii="Arial" w:hAnsi="Arial" w:cs="Arial"/>
        </w:rPr>
        <w:t>24</w:t>
      </w:r>
      <w:r w:rsidRPr="00A25A3C">
        <w:rPr>
          <w:rFonts w:ascii="Arial" w:hAnsi="Arial" w:cs="Arial"/>
        </w:rPr>
        <w:t xml:space="preserve"> to 4</w:t>
      </w:r>
      <w:r w:rsidR="009468D2" w:rsidRPr="00A25A3C">
        <w:rPr>
          <w:rFonts w:ascii="Arial" w:hAnsi="Arial" w:cs="Arial"/>
        </w:rPr>
        <w:t>27</w:t>
      </w:r>
      <w:r w:rsidRPr="00A25A3C">
        <w:rPr>
          <w:rFonts w:ascii="Arial" w:hAnsi="Arial" w:cs="Arial"/>
        </w:rPr>
        <w:t xml:space="preserve"> and row 4</w:t>
      </w:r>
      <w:r w:rsidR="009468D2" w:rsidRPr="00A25A3C">
        <w:rPr>
          <w:rFonts w:ascii="Arial" w:hAnsi="Arial" w:cs="Arial"/>
        </w:rPr>
        <w:t>30</w:t>
      </w:r>
      <w:r w:rsidRPr="00A25A3C">
        <w:rPr>
          <w:rFonts w:ascii="Arial" w:hAnsi="Arial" w:cs="Arial"/>
        </w:rPr>
        <w:t xml:space="preserve">) records the following parameters: </w:t>
      </w:r>
    </w:p>
    <w:p w:rsidR="007749FC" w:rsidRPr="00A25A3C" w:rsidRDefault="007749FC" w:rsidP="003C2D87">
      <w:pPr>
        <w:pStyle w:val="AERbulletlistfirststyle"/>
        <w:ind w:hanging="720"/>
        <w:rPr>
          <w:rFonts w:ascii="Arial" w:hAnsi="Arial" w:cs="Arial"/>
        </w:rPr>
      </w:pPr>
      <w:r w:rsidRPr="00A25A3C">
        <w:rPr>
          <w:rFonts w:ascii="Arial" w:hAnsi="Arial" w:cs="Arial"/>
        </w:rPr>
        <w:t>inflation rate</w:t>
      </w:r>
      <w:r w:rsidRPr="00A25A3C">
        <w:rPr>
          <w:rStyle w:val="FootnoteReference"/>
          <w:rFonts w:ascii="Arial" w:hAnsi="Arial" w:cs="Arial"/>
        </w:rPr>
        <w:footnoteReference w:id="13"/>
      </w:r>
    </w:p>
    <w:p w:rsidR="007749FC" w:rsidRPr="00270A6F" w:rsidRDefault="007749FC" w:rsidP="003C2D87">
      <w:pPr>
        <w:pStyle w:val="AERbulletlistfirststyle"/>
        <w:ind w:hanging="720"/>
        <w:rPr>
          <w:rFonts w:ascii="Arial" w:hAnsi="Arial" w:cs="Arial"/>
        </w:rPr>
      </w:pPr>
      <w:r w:rsidRPr="00270A6F">
        <w:rPr>
          <w:rFonts w:ascii="Arial" w:hAnsi="Arial" w:cs="Arial"/>
        </w:rPr>
        <w:t>return on equity</w:t>
      </w:r>
    </w:p>
    <w:p w:rsidR="007749FC" w:rsidRPr="00A25A3C" w:rsidRDefault="007749FC" w:rsidP="003C2D87">
      <w:pPr>
        <w:pStyle w:val="AERbulletlistfirststyle"/>
        <w:ind w:hanging="720"/>
        <w:rPr>
          <w:rFonts w:ascii="Arial" w:hAnsi="Arial" w:cs="Arial"/>
        </w:rPr>
      </w:pPr>
      <w:r w:rsidRPr="00A25A3C">
        <w:rPr>
          <w:rFonts w:ascii="Arial" w:hAnsi="Arial" w:cs="Arial"/>
        </w:rPr>
        <w:t xml:space="preserve">gamma—value of imputation (franking) credits </w:t>
      </w:r>
    </w:p>
    <w:p w:rsidR="007749FC" w:rsidRPr="00A25A3C" w:rsidRDefault="007749FC" w:rsidP="003C2D87">
      <w:pPr>
        <w:pStyle w:val="AERbulletlistfirststyle"/>
        <w:ind w:hanging="720"/>
        <w:rPr>
          <w:rFonts w:ascii="Arial" w:hAnsi="Arial" w:cs="Arial"/>
        </w:rPr>
      </w:pPr>
      <w:r w:rsidRPr="00A25A3C">
        <w:rPr>
          <w:rFonts w:ascii="Arial" w:hAnsi="Arial" w:cs="Arial"/>
        </w:rPr>
        <w:t>proportion of debt funding</w:t>
      </w:r>
    </w:p>
    <w:p w:rsidR="007749FC" w:rsidRPr="00270A6F" w:rsidRDefault="007749FC" w:rsidP="003C2D87">
      <w:pPr>
        <w:pStyle w:val="AERbulletlistfirststyle"/>
        <w:ind w:hanging="720"/>
        <w:rPr>
          <w:rFonts w:ascii="Arial" w:hAnsi="Arial" w:cs="Arial"/>
        </w:rPr>
      </w:pPr>
      <w:proofErr w:type="gramStart"/>
      <w:r w:rsidRPr="00270A6F">
        <w:rPr>
          <w:rFonts w:ascii="Arial" w:hAnsi="Arial" w:cs="Arial"/>
        </w:rPr>
        <w:t>trailing</w:t>
      </w:r>
      <w:proofErr w:type="gramEnd"/>
      <w:r w:rsidRPr="00270A6F">
        <w:rPr>
          <w:rFonts w:ascii="Arial" w:hAnsi="Arial" w:cs="Arial"/>
        </w:rPr>
        <w:t xml:space="preserve"> average portfolio return on debt for each year of the regulatory control period.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Each of these parameters is linked to the </w:t>
      </w:r>
      <w:r w:rsidRPr="00A25A3C">
        <w:rPr>
          <w:rStyle w:val="AERtextbold"/>
          <w:rFonts w:ascii="Arial" w:hAnsi="Arial" w:cs="Arial"/>
        </w:rPr>
        <w:t>WACC</w:t>
      </w:r>
      <w:r w:rsidRPr="00A25A3C">
        <w:rPr>
          <w:rFonts w:ascii="Arial" w:hAnsi="Arial" w:cs="Arial"/>
        </w:rPr>
        <w:t xml:space="preserve"> sheet to calculate the weighted average cost of capital (WACC). The approach or method for determining each parameter is specified in clause 6A.6.2 of the NER or the AER </w:t>
      </w:r>
      <w:r w:rsidRPr="00A25A3C">
        <w:rPr>
          <w:rStyle w:val="AERtextitalic"/>
          <w:rFonts w:ascii="Arial" w:hAnsi="Arial" w:cs="Arial"/>
        </w:rPr>
        <w:t>Rate of return guideline</w:t>
      </w:r>
      <w:r w:rsidRPr="00A25A3C">
        <w:rPr>
          <w:rFonts w:ascii="Arial" w:hAnsi="Arial" w:cs="Arial"/>
        </w:rPr>
        <w:t>.</w:t>
      </w:r>
      <w:r w:rsidRPr="00A25A3C">
        <w:rPr>
          <w:rStyle w:val="FootnoteReference"/>
          <w:rFonts w:ascii="Arial" w:hAnsi="Arial" w:cs="Arial"/>
        </w:rPr>
        <w:footnoteReference w:id="14"/>
      </w:r>
      <w:r w:rsidRPr="00A25A3C">
        <w:rPr>
          <w:rFonts w:ascii="Arial" w:hAnsi="Arial" w:cs="Arial"/>
        </w:rPr>
        <w:t xml:space="preserve"> </w:t>
      </w:r>
      <w:r w:rsidRPr="00270A6F">
        <w:rPr>
          <w:rFonts w:ascii="Arial" w:hAnsi="Arial" w:cs="Arial"/>
        </w:rPr>
        <w:t>Rows 4</w:t>
      </w:r>
      <w:r w:rsidR="009468D2" w:rsidRPr="00270A6F">
        <w:rPr>
          <w:rFonts w:ascii="Arial" w:hAnsi="Arial" w:cs="Arial"/>
        </w:rPr>
        <w:t>31</w:t>
      </w:r>
      <w:r w:rsidRPr="00270A6F">
        <w:rPr>
          <w:rFonts w:ascii="Arial" w:hAnsi="Arial" w:cs="Arial"/>
        </w:rPr>
        <w:t xml:space="preserve"> to 4</w:t>
      </w:r>
      <w:r w:rsidR="009468D2" w:rsidRPr="00270A6F">
        <w:rPr>
          <w:rFonts w:ascii="Arial" w:hAnsi="Arial" w:cs="Arial"/>
        </w:rPr>
        <w:t>32</w:t>
      </w:r>
      <w:r w:rsidRPr="00270A6F">
        <w:rPr>
          <w:rFonts w:ascii="Arial" w:hAnsi="Arial" w:cs="Arial"/>
        </w:rPr>
        <w:t xml:space="preserve"> contain content driven help which will display cautions or guidance based on input to this sheet and the </w:t>
      </w:r>
      <w:r w:rsidRPr="00270A6F">
        <w:rPr>
          <w:rFonts w:ascii="Arial" w:hAnsi="Arial" w:cs="Arial"/>
          <w:b/>
        </w:rPr>
        <w:t>X factors</w:t>
      </w:r>
      <w:r w:rsidRPr="00270A6F">
        <w:rPr>
          <w:rFonts w:ascii="Arial" w:hAnsi="Arial" w:cs="Arial"/>
        </w:rPr>
        <w:t xml:space="preserve"> sheet.</w:t>
      </w:r>
    </w:p>
    <w:p w:rsidR="007749FC" w:rsidRPr="00A25A3C" w:rsidRDefault="007749FC" w:rsidP="007749FC">
      <w:pPr>
        <w:pStyle w:val="Heading3"/>
        <w:rPr>
          <w:rFonts w:ascii="Arial" w:hAnsi="Arial" w:cs="Arial"/>
        </w:rPr>
      </w:pPr>
      <w:bookmarkStart w:id="30" w:name="_Toc410223769"/>
      <w:r w:rsidRPr="00A25A3C">
        <w:rPr>
          <w:rFonts w:ascii="Arial" w:hAnsi="Arial" w:cs="Arial"/>
        </w:rPr>
        <w:t>Debt and equity raising costs—transaction costs</w:t>
      </w:r>
      <w:bookmarkEnd w:id="30"/>
      <w:r w:rsidRPr="00A25A3C">
        <w:rPr>
          <w:rFonts w:ascii="Arial" w:hAnsi="Arial" w:cs="Arial"/>
        </w:rPr>
        <w:t xml:space="preserve"> </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transaction cost of financing section (rows 4</w:t>
      </w:r>
      <w:r w:rsidR="009468D2" w:rsidRPr="00A25A3C">
        <w:rPr>
          <w:rFonts w:ascii="Arial" w:hAnsi="Arial" w:cs="Arial"/>
        </w:rPr>
        <w:t>37</w:t>
      </w:r>
      <w:r w:rsidRPr="00A25A3C">
        <w:rPr>
          <w:rFonts w:ascii="Arial" w:hAnsi="Arial" w:cs="Arial"/>
        </w:rPr>
        <w:t xml:space="preserve"> to 4</w:t>
      </w:r>
      <w:r w:rsidR="009468D2" w:rsidRPr="00A25A3C">
        <w:rPr>
          <w:rFonts w:ascii="Arial" w:hAnsi="Arial" w:cs="Arial"/>
        </w:rPr>
        <w:t>41</w:t>
      </w:r>
      <w:r w:rsidRPr="00A25A3C">
        <w:rPr>
          <w:rFonts w:ascii="Arial" w:hAnsi="Arial" w:cs="Arial"/>
        </w:rPr>
        <w:t xml:space="preserve">) records the following parameters: </w:t>
      </w:r>
    </w:p>
    <w:p w:rsidR="007749FC" w:rsidRPr="00A25A3C" w:rsidRDefault="007749FC" w:rsidP="003C2D87">
      <w:pPr>
        <w:pStyle w:val="AERbulletlistfirststyle"/>
        <w:ind w:hanging="720"/>
        <w:rPr>
          <w:rFonts w:ascii="Arial" w:hAnsi="Arial" w:cs="Arial"/>
        </w:rPr>
      </w:pPr>
      <w:r w:rsidRPr="00A25A3C">
        <w:rPr>
          <w:rFonts w:ascii="Arial" w:hAnsi="Arial" w:cs="Arial"/>
        </w:rPr>
        <w:t>imputation credit payout ratio</w:t>
      </w:r>
    </w:p>
    <w:p w:rsidR="007749FC" w:rsidRPr="00A25A3C" w:rsidRDefault="007749FC" w:rsidP="003C2D87">
      <w:pPr>
        <w:pStyle w:val="AERbulletlistfirststyle"/>
        <w:ind w:hanging="720"/>
        <w:rPr>
          <w:rFonts w:ascii="Arial" w:hAnsi="Arial" w:cs="Arial"/>
        </w:rPr>
      </w:pPr>
      <w:r w:rsidRPr="00A25A3C">
        <w:rPr>
          <w:rFonts w:ascii="Arial" w:hAnsi="Arial" w:cs="Arial"/>
        </w:rPr>
        <w:t>subsequent equity raising cost</w:t>
      </w:r>
      <w:r w:rsidR="006406AA" w:rsidRPr="00A25A3C">
        <w:rPr>
          <w:rFonts w:ascii="Arial" w:hAnsi="Arial" w:cs="Arial"/>
        </w:rPr>
        <w:t>s</w:t>
      </w:r>
    </w:p>
    <w:p w:rsidR="007749FC" w:rsidRPr="00A25A3C" w:rsidRDefault="007749FC" w:rsidP="003C2D87">
      <w:pPr>
        <w:pStyle w:val="AERbulletlistfirststyle"/>
        <w:ind w:hanging="720"/>
        <w:rPr>
          <w:rFonts w:ascii="Arial" w:hAnsi="Arial" w:cs="Arial"/>
        </w:rPr>
      </w:pPr>
      <w:r w:rsidRPr="00A25A3C">
        <w:rPr>
          <w:rFonts w:ascii="Arial" w:hAnsi="Arial" w:cs="Arial"/>
        </w:rPr>
        <w:t>dividend reinvestment plan cost</w:t>
      </w:r>
      <w:r w:rsidR="006406AA" w:rsidRPr="00A25A3C">
        <w:rPr>
          <w:rFonts w:ascii="Arial" w:hAnsi="Arial" w:cs="Arial"/>
        </w:rPr>
        <w:t>s</w:t>
      </w:r>
    </w:p>
    <w:p w:rsidR="007749FC" w:rsidRPr="00A25A3C" w:rsidRDefault="007749FC" w:rsidP="003C2D87">
      <w:pPr>
        <w:pStyle w:val="AERbulletlistfirststyle"/>
        <w:ind w:hanging="720"/>
        <w:rPr>
          <w:rFonts w:ascii="Arial" w:hAnsi="Arial" w:cs="Arial"/>
        </w:rPr>
      </w:pPr>
      <w:r w:rsidRPr="00A25A3C">
        <w:rPr>
          <w:rFonts w:ascii="Arial" w:hAnsi="Arial" w:cs="Arial"/>
        </w:rPr>
        <w:t>dividend reinvestment plan take up</w:t>
      </w:r>
    </w:p>
    <w:p w:rsidR="007749FC" w:rsidRPr="00A25A3C" w:rsidRDefault="007749FC" w:rsidP="003C2D87">
      <w:pPr>
        <w:pStyle w:val="AERbulletlistfirststyle"/>
        <w:ind w:hanging="720"/>
        <w:rPr>
          <w:rFonts w:ascii="Arial" w:hAnsi="Arial" w:cs="Arial"/>
        </w:rPr>
      </w:pPr>
      <w:proofErr w:type="gramStart"/>
      <w:r w:rsidRPr="00A25A3C">
        <w:rPr>
          <w:rFonts w:ascii="Arial" w:hAnsi="Arial" w:cs="Arial"/>
        </w:rPr>
        <w:t>debt</w:t>
      </w:r>
      <w:proofErr w:type="gramEnd"/>
      <w:r w:rsidRPr="00A25A3C">
        <w:rPr>
          <w:rFonts w:ascii="Arial" w:hAnsi="Arial" w:cs="Arial"/>
        </w:rPr>
        <w:t xml:space="preserve"> raising cost</w:t>
      </w:r>
      <w:r w:rsidR="006406AA" w:rsidRPr="00A25A3C">
        <w:rPr>
          <w:rFonts w:ascii="Arial" w:hAnsi="Arial" w:cs="Arial"/>
        </w:rPr>
        <w:t>s</w:t>
      </w:r>
      <w:r w:rsidRPr="00A25A3C">
        <w:rPr>
          <w:rFonts w:ascii="Arial" w:hAnsi="Arial" w:cs="Arial"/>
        </w:rPr>
        <w:t>.</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values for the imputation credit payout ratio, equity raising and dividend reinvestment costs, and the dividend reinvestment take up are linked to the </w:t>
      </w:r>
      <w:r w:rsidRPr="00A25A3C">
        <w:rPr>
          <w:rStyle w:val="AERtextbold"/>
          <w:rFonts w:ascii="Arial" w:hAnsi="Arial" w:cs="Arial"/>
        </w:rPr>
        <w:t>Equity raising cos</w:t>
      </w:r>
      <w:r w:rsidR="00C84F02" w:rsidRPr="00A25A3C">
        <w:rPr>
          <w:rStyle w:val="AERtextbold"/>
          <w:rFonts w:ascii="Arial" w:hAnsi="Arial" w:cs="Arial"/>
        </w:rPr>
        <w:t>ts</w:t>
      </w:r>
      <w:r w:rsidRPr="00A25A3C">
        <w:rPr>
          <w:rFonts w:ascii="Arial" w:hAnsi="Arial" w:cs="Arial"/>
        </w:rPr>
        <w:t xml:space="preserve"> sheet to calculate the allowance for benchmark equity raising costs associated with capex. The debt raising cost</w:t>
      </w:r>
      <w:r w:rsidR="006406AA" w:rsidRPr="00A25A3C">
        <w:rPr>
          <w:rFonts w:ascii="Arial" w:hAnsi="Arial" w:cs="Arial"/>
        </w:rPr>
        <w:t>s</w:t>
      </w:r>
      <w:r w:rsidRPr="00A25A3C">
        <w:rPr>
          <w:rFonts w:ascii="Arial" w:hAnsi="Arial" w:cs="Arial"/>
        </w:rPr>
        <w:t xml:space="preserve"> value represents the unit al</w:t>
      </w:r>
      <w:r w:rsidR="009468D2" w:rsidRPr="00A25A3C">
        <w:rPr>
          <w:rFonts w:ascii="Arial" w:hAnsi="Arial" w:cs="Arial"/>
        </w:rPr>
        <w:t>lowance and is linked to row 394</w:t>
      </w:r>
      <w:r w:rsidRPr="00A25A3C">
        <w:rPr>
          <w:rFonts w:ascii="Arial" w:hAnsi="Arial" w:cs="Arial"/>
        </w:rPr>
        <w:t xml:space="preserve"> of the </w:t>
      </w:r>
      <w:r w:rsidR="00607148" w:rsidRPr="00A25A3C">
        <w:rPr>
          <w:rFonts w:ascii="Arial" w:hAnsi="Arial" w:cs="Arial"/>
          <w:b/>
        </w:rPr>
        <w:t>PTRM</w:t>
      </w:r>
      <w:r w:rsidR="00607148"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 xml:space="preserve">nput </w:t>
      </w:r>
      <w:r w:rsidRPr="00A25A3C">
        <w:rPr>
          <w:rFonts w:ascii="Arial" w:hAnsi="Arial" w:cs="Arial"/>
        </w:rPr>
        <w:t xml:space="preserve">sheet to calculate the overall benchmark debt raising costs to be included in the </w:t>
      </w:r>
      <w:proofErr w:type="spellStart"/>
      <w:r w:rsidRPr="00A25A3C">
        <w:rPr>
          <w:rFonts w:ascii="Arial" w:hAnsi="Arial" w:cs="Arial"/>
        </w:rPr>
        <w:t>opex</w:t>
      </w:r>
      <w:proofErr w:type="spellEnd"/>
      <w:r w:rsidRPr="00A25A3C">
        <w:rPr>
          <w:rFonts w:ascii="Arial" w:hAnsi="Arial" w:cs="Arial"/>
        </w:rPr>
        <w:t xml:space="preserve"> allowance.</w:t>
      </w:r>
    </w:p>
    <w:p w:rsidR="007749FC" w:rsidRPr="00A25A3C" w:rsidRDefault="007749FC" w:rsidP="007749FC">
      <w:pPr>
        <w:pStyle w:val="Heading3"/>
        <w:rPr>
          <w:rFonts w:ascii="Arial" w:hAnsi="Arial" w:cs="Arial"/>
        </w:rPr>
      </w:pPr>
      <w:bookmarkStart w:id="31" w:name="_Toc410223770"/>
      <w:r w:rsidRPr="00A25A3C">
        <w:rPr>
          <w:rFonts w:ascii="Arial" w:hAnsi="Arial" w:cs="Arial"/>
        </w:rPr>
        <w:t>Maximum allowed revenue for the current year</w:t>
      </w:r>
      <w:bookmarkEnd w:id="31"/>
    </w:p>
    <w:p w:rsidR="007749FC" w:rsidRPr="00A25A3C" w:rsidRDefault="007749FC" w:rsidP="007749FC">
      <w:pPr>
        <w:pStyle w:val="AERbodytext"/>
        <w:numPr>
          <w:ilvl w:val="0"/>
          <w:numId w:val="9"/>
        </w:numPr>
        <w:rPr>
          <w:rFonts w:ascii="Arial" w:hAnsi="Arial" w:cs="Arial"/>
        </w:rPr>
      </w:pPr>
      <w:r w:rsidRPr="00A25A3C">
        <w:rPr>
          <w:rFonts w:ascii="Arial" w:hAnsi="Arial" w:cs="Arial"/>
        </w:rPr>
        <w:t>Ce</w:t>
      </w:r>
      <w:r w:rsidR="006F0D39" w:rsidRPr="00A25A3C">
        <w:rPr>
          <w:rFonts w:ascii="Arial" w:hAnsi="Arial" w:cs="Arial"/>
        </w:rPr>
        <w:t>ll G445</w:t>
      </w:r>
      <w:r w:rsidRPr="00A25A3C">
        <w:rPr>
          <w:rFonts w:ascii="Arial" w:hAnsi="Arial" w:cs="Arial"/>
        </w:rPr>
        <w:t xml:space="preserve"> records the current MAR for a TNSP. It is linked to the </w:t>
      </w:r>
      <w:r w:rsidRPr="00A25A3C">
        <w:rPr>
          <w:rStyle w:val="AERtextbold"/>
          <w:rFonts w:ascii="Arial" w:hAnsi="Arial" w:cs="Arial"/>
        </w:rPr>
        <w:t>X factors</w:t>
      </w:r>
      <w:r w:rsidRPr="00A25A3C">
        <w:rPr>
          <w:rFonts w:ascii="Arial" w:hAnsi="Arial" w:cs="Arial"/>
        </w:rPr>
        <w:t xml:space="preserve"> and </w:t>
      </w:r>
      <w:r w:rsidRPr="00A25A3C">
        <w:rPr>
          <w:rStyle w:val="AERtextbold"/>
          <w:rFonts w:ascii="Arial" w:hAnsi="Arial" w:cs="Arial"/>
        </w:rPr>
        <w:t>Revenue summary</w:t>
      </w:r>
      <w:r w:rsidRPr="00A25A3C">
        <w:rPr>
          <w:rFonts w:ascii="Arial" w:hAnsi="Arial" w:cs="Arial"/>
        </w:rPr>
        <w:t xml:space="preserve"> sheets, and helps provide historical comparisons for forecast revenues over the next regulatory control period.</w:t>
      </w:r>
    </w:p>
    <w:p w:rsidR="007749FC" w:rsidRPr="00A25A3C" w:rsidRDefault="007749FC" w:rsidP="007749FC">
      <w:pPr>
        <w:pStyle w:val="Heading3"/>
        <w:rPr>
          <w:rFonts w:ascii="Arial" w:hAnsi="Arial" w:cs="Arial"/>
        </w:rPr>
      </w:pPr>
      <w:bookmarkStart w:id="32" w:name="_Toc410223771"/>
      <w:r w:rsidRPr="00A25A3C">
        <w:rPr>
          <w:rFonts w:ascii="Arial" w:hAnsi="Arial" w:cs="Arial"/>
        </w:rPr>
        <w:t>Energy delivered forecast</w:t>
      </w:r>
      <w:bookmarkEnd w:id="32"/>
    </w:p>
    <w:p w:rsidR="007749FC" w:rsidRPr="00A25A3C" w:rsidRDefault="007749FC" w:rsidP="007749FC">
      <w:pPr>
        <w:rPr>
          <w:rFonts w:ascii="Arial" w:hAnsi="Arial" w:cs="Arial"/>
        </w:rPr>
      </w:pPr>
      <w:r w:rsidRPr="00A25A3C">
        <w:rPr>
          <w:rFonts w:ascii="Arial" w:hAnsi="Arial" w:cs="Arial"/>
        </w:rPr>
        <w:t>The energy delivered forecas</w:t>
      </w:r>
      <w:r w:rsidR="006F0D39" w:rsidRPr="00A25A3C">
        <w:rPr>
          <w:rFonts w:ascii="Arial" w:hAnsi="Arial" w:cs="Arial"/>
        </w:rPr>
        <w:t>t values are recorded in row 449</w:t>
      </w:r>
      <w:r w:rsidRPr="00A25A3C">
        <w:rPr>
          <w:rFonts w:ascii="Arial" w:hAnsi="Arial" w:cs="Arial"/>
        </w:rPr>
        <w:t xml:space="preserve"> and are linked to the </w:t>
      </w:r>
      <w:r w:rsidRPr="00A25A3C">
        <w:rPr>
          <w:rStyle w:val="AERtextbold"/>
          <w:rFonts w:ascii="Arial" w:hAnsi="Arial" w:cs="Arial"/>
        </w:rPr>
        <w:t>X factors</w:t>
      </w:r>
      <w:r w:rsidRPr="00A25A3C">
        <w:rPr>
          <w:rFonts w:ascii="Arial" w:hAnsi="Arial" w:cs="Arial"/>
        </w:rPr>
        <w:t xml:space="preserve"> and </w:t>
      </w:r>
      <w:r w:rsidRPr="00A25A3C">
        <w:rPr>
          <w:rStyle w:val="AERtextbold"/>
          <w:rFonts w:ascii="Arial" w:hAnsi="Arial" w:cs="Arial"/>
        </w:rPr>
        <w:t>Revenue summary</w:t>
      </w:r>
      <w:r w:rsidRPr="00A25A3C">
        <w:rPr>
          <w:rFonts w:ascii="Arial" w:hAnsi="Arial" w:cs="Arial"/>
        </w:rPr>
        <w:t xml:space="preserve"> sheets. Energy delivered forecasts may be obtained from the most recent </w:t>
      </w:r>
      <w:r w:rsidRPr="00A25A3C">
        <w:rPr>
          <w:rFonts w:ascii="Arial" w:hAnsi="Arial" w:cs="Arial"/>
        </w:rPr>
        <w:lastRenderedPageBreak/>
        <w:t xml:space="preserve">Australian Energy Market Operator’s </w:t>
      </w:r>
      <w:r w:rsidRPr="00A25A3C">
        <w:rPr>
          <w:rStyle w:val="AERtextitalic"/>
          <w:rFonts w:ascii="Arial" w:hAnsi="Arial" w:cs="Arial"/>
        </w:rPr>
        <w:t>National electricity forecasting report</w:t>
      </w:r>
      <w:r w:rsidRPr="00A25A3C">
        <w:rPr>
          <w:rFonts w:ascii="Arial" w:hAnsi="Arial" w:cs="Arial"/>
        </w:rPr>
        <w:t>, a TNSP’s annual planning report or other relevant industry sources.</w:t>
      </w:r>
    </w:p>
    <w:p w:rsidR="007749FC" w:rsidRPr="00A25A3C" w:rsidRDefault="007749FC" w:rsidP="007749FC">
      <w:pPr>
        <w:pStyle w:val="Heading2"/>
        <w:rPr>
          <w:rFonts w:ascii="Arial" w:hAnsi="Arial" w:cs="Arial"/>
        </w:rPr>
      </w:pPr>
      <w:bookmarkStart w:id="33" w:name="_Toc410223772"/>
      <w:r w:rsidRPr="00A25A3C">
        <w:rPr>
          <w:rFonts w:ascii="Arial" w:hAnsi="Arial" w:cs="Arial"/>
        </w:rPr>
        <w:t>WACC sheet</w:t>
      </w:r>
      <w:bookmarkEnd w:id="33"/>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Pr="00A25A3C">
        <w:rPr>
          <w:rStyle w:val="AERtextbold"/>
          <w:rFonts w:ascii="Arial" w:hAnsi="Arial" w:cs="Arial"/>
        </w:rPr>
        <w:t>WACC</w:t>
      </w:r>
      <w:r w:rsidRPr="00A25A3C">
        <w:rPr>
          <w:rFonts w:ascii="Arial" w:hAnsi="Arial" w:cs="Arial"/>
        </w:rPr>
        <w:t xml:space="preserve"> sheet determines for each year of the next regulatory control period the required return on equity, return on debt and the WACC using the relevant cost of capital parameters from the </w:t>
      </w:r>
      <w:r w:rsidR="00607148" w:rsidRPr="00A25A3C">
        <w:rPr>
          <w:rFonts w:ascii="Arial" w:hAnsi="Arial" w:cs="Arial"/>
          <w:b/>
        </w:rPr>
        <w:t>PTRM</w:t>
      </w:r>
      <w:r w:rsidR="00607148"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w:t>
      </w:r>
      <w:r w:rsidRPr="00270A6F">
        <w:rPr>
          <w:rFonts w:ascii="Arial" w:hAnsi="Arial" w:cs="Arial"/>
        </w:rPr>
        <w:t xml:space="preserve">Some of these will be constant across the regulatory control period, </w:t>
      </w:r>
      <w:r w:rsidR="006406AA" w:rsidRPr="00270A6F">
        <w:rPr>
          <w:rFonts w:ascii="Arial" w:hAnsi="Arial" w:cs="Arial"/>
        </w:rPr>
        <w:t xml:space="preserve">but </w:t>
      </w:r>
      <w:r w:rsidRPr="00270A6F">
        <w:rPr>
          <w:rFonts w:ascii="Arial" w:hAnsi="Arial" w:cs="Arial"/>
        </w:rPr>
        <w:t>the return on debt (and therefore the overall WACC) may now vary year-by year.</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effective tax rates derived from the cash-flow analysis are also reported in the </w:t>
      </w:r>
      <w:r w:rsidRPr="00A25A3C">
        <w:rPr>
          <w:rStyle w:val="AERtextbold"/>
          <w:rFonts w:ascii="Arial" w:hAnsi="Arial" w:cs="Arial"/>
        </w:rPr>
        <w:t>WACC</w:t>
      </w:r>
      <w:r w:rsidRPr="00A25A3C">
        <w:rPr>
          <w:rFonts w:ascii="Arial" w:hAnsi="Arial" w:cs="Arial"/>
        </w:rPr>
        <w:t xml:space="preserve"> sheet, including various measures of the WACC calculated from the forecast cash-flows in the </w:t>
      </w:r>
      <w:r w:rsidRPr="001A3FE5">
        <w:rPr>
          <w:rFonts w:ascii="Arial" w:hAnsi="Arial" w:cs="Arial"/>
          <w:b/>
        </w:rPr>
        <w:t>Analysis</w:t>
      </w:r>
      <w:r w:rsidRPr="00A25A3C">
        <w:rPr>
          <w:rFonts w:ascii="Arial" w:hAnsi="Arial" w:cs="Arial"/>
        </w:rPr>
        <w:t xml:space="preserve"> sheet.</w:t>
      </w:r>
      <w:r w:rsidR="006406AA" w:rsidRPr="00A25A3C">
        <w:rPr>
          <w:rStyle w:val="FootnoteReference"/>
          <w:rFonts w:ascii="Arial" w:hAnsi="Arial" w:cs="Arial"/>
        </w:rPr>
        <w:footnoteReference w:id="15"/>
      </w:r>
      <w:r w:rsidRPr="00A25A3C">
        <w:rPr>
          <w:rFonts w:ascii="Arial" w:hAnsi="Arial" w:cs="Arial"/>
        </w:rPr>
        <w:t xml:space="preserve"> The nomina</w:t>
      </w:r>
      <w:r w:rsidR="002D14CA" w:rsidRPr="00A25A3C">
        <w:rPr>
          <w:rFonts w:ascii="Arial" w:hAnsi="Arial" w:cs="Arial"/>
        </w:rPr>
        <w:t>l pre-tax return on debt (row 14</w:t>
      </w:r>
      <w:r w:rsidRPr="00A25A3C">
        <w:rPr>
          <w:rFonts w:ascii="Arial" w:hAnsi="Arial" w:cs="Arial"/>
        </w:rPr>
        <w:t>) and the nominal</w:t>
      </w:r>
      <w:r w:rsidR="002D14CA" w:rsidRPr="00A25A3C">
        <w:rPr>
          <w:rFonts w:ascii="Arial" w:hAnsi="Arial" w:cs="Arial"/>
        </w:rPr>
        <w:t xml:space="preserve"> post-tax cost of equity (row 10</w:t>
      </w:r>
      <w:r w:rsidRPr="00A25A3C">
        <w:rPr>
          <w:rFonts w:ascii="Arial" w:hAnsi="Arial" w:cs="Arial"/>
        </w:rPr>
        <w:t>) are multiplied by the debt and equity components of the RAB (partially as-incurred) to determine the return on capital building block.</w:t>
      </w:r>
      <w:r w:rsidRPr="00A25A3C">
        <w:rPr>
          <w:rStyle w:val="FootnoteReference"/>
          <w:rFonts w:ascii="Arial" w:hAnsi="Arial" w:cs="Arial"/>
        </w:rPr>
        <w:footnoteReference w:id="16"/>
      </w:r>
      <w:r w:rsidRPr="00A25A3C">
        <w:rPr>
          <w:rFonts w:ascii="Arial" w:hAnsi="Arial" w:cs="Arial"/>
        </w:rPr>
        <w:t xml:space="preserve">  </w:t>
      </w:r>
    </w:p>
    <w:p w:rsidR="007749FC" w:rsidRPr="00270A6F" w:rsidRDefault="007749FC" w:rsidP="007749FC">
      <w:pPr>
        <w:pStyle w:val="AERbodytext"/>
        <w:numPr>
          <w:ilvl w:val="0"/>
          <w:numId w:val="9"/>
        </w:numPr>
        <w:rPr>
          <w:rFonts w:ascii="Arial" w:hAnsi="Arial" w:cs="Arial"/>
        </w:rPr>
      </w:pPr>
      <w:r w:rsidRPr="00270A6F">
        <w:rPr>
          <w:rFonts w:ascii="Arial" w:hAnsi="Arial" w:cs="Arial"/>
        </w:rPr>
        <w:t xml:space="preserve">In addition, there is a button labelled 'Set </w:t>
      </w:r>
      <w:proofErr w:type="spellStart"/>
      <w:r w:rsidRPr="00270A6F">
        <w:rPr>
          <w:rFonts w:ascii="Arial" w:hAnsi="Arial" w:cs="Arial"/>
        </w:rPr>
        <w:t>Te</w:t>
      </w:r>
      <w:proofErr w:type="spellEnd"/>
      <w:r w:rsidRPr="00270A6F">
        <w:rPr>
          <w:rFonts w:ascii="Arial" w:hAnsi="Arial" w:cs="Arial"/>
        </w:rPr>
        <w:t xml:space="preserve"> and Td' which is linked to a macro that should be pressed after all inputs have been finalised for establishing the ABBRR at the start of the next regulatory control period. This will copy the cash-flow derived effective tax rates for equity and debt from the </w:t>
      </w:r>
      <w:r w:rsidRPr="00270A6F">
        <w:rPr>
          <w:rFonts w:ascii="Arial" w:hAnsi="Arial" w:cs="Arial"/>
          <w:b/>
        </w:rPr>
        <w:t>Analysis</w:t>
      </w:r>
      <w:r w:rsidRPr="00270A6F">
        <w:rPr>
          <w:rFonts w:ascii="Arial" w:hAnsi="Arial" w:cs="Arial"/>
        </w:rPr>
        <w:t xml:space="preserve"> sheet to the appropriate location in the </w:t>
      </w:r>
      <w:r w:rsidRPr="00270A6F">
        <w:rPr>
          <w:rFonts w:ascii="Arial" w:hAnsi="Arial" w:cs="Arial"/>
          <w:b/>
        </w:rPr>
        <w:t>WACC</w:t>
      </w:r>
      <w:r w:rsidR="002D14CA" w:rsidRPr="00270A6F">
        <w:rPr>
          <w:rFonts w:ascii="Arial" w:hAnsi="Arial" w:cs="Arial"/>
        </w:rPr>
        <w:t xml:space="preserve"> sheet (cells G27</w:t>
      </w:r>
      <w:r w:rsidRPr="00270A6F">
        <w:rPr>
          <w:rFonts w:ascii="Arial" w:hAnsi="Arial" w:cs="Arial"/>
        </w:rPr>
        <w:t xml:space="preserve"> and G2</w:t>
      </w:r>
      <w:r w:rsidR="002D14CA" w:rsidRPr="00270A6F">
        <w:rPr>
          <w:rFonts w:ascii="Arial" w:hAnsi="Arial" w:cs="Arial"/>
        </w:rPr>
        <w:t>8</w:t>
      </w:r>
      <w:r w:rsidRPr="00270A6F">
        <w:rPr>
          <w:rFonts w:ascii="Arial" w:hAnsi="Arial" w:cs="Arial"/>
        </w:rPr>
        <w:t xml:space="preserve">). The cash-flow derived rates shown in column R are designed as checks to ensure certain parameters are internally consistent with those derived by formula at the time of the final decision. Because the cash-flow derived rates are based on the use of a constant WACC, there is no need to press the 'Set </w:t>
      </w:r>
      <w:proofErr w:type="spellStart"/>
      <w:r w:rsidRPr="00270A6F">
        <w:rPr>
          <w:rFonts w:ascii="Arial" w:hAnsi="Arial" w:cs="Arial"/>
        </w:rPr>
        <w:t>Te</w:t>
      </w:r>
      <w:proofErr w:type="spellEnd"/>
      <w:r w:rsidRPr="00270A6F">
        <w:rPr>
          <w:rFonts w:ascii="Arial" w:hAnsi="Arial" w:cs="Arial"/>
        </w:rPr>
        <w:t xml:space="preserve"> and Td' button again as part of the annual return on debt update process during the regulatory control period. This process is discussed further in chapter 3. </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_Ref398112091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6</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WACC</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34" w:name="_Ref398112091"/>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6</w:t>
      </w:r>
      <w:r w:rsidRPr="00A25A3C">
        <w:rPr>
          <w:rFonts w:ascii="Arial" w:hAnsi="Arial" w:cs="Arial"/>
        </w:rPr>
        <w:fldChar w:fldCharType="end"/>
      </w:r>
      <w:bookmarkEnd w:id="34"/>
      <w:r w:rsidRPr="00A25A3C">
        <w:rPr>
          <w:rFonts w:ascii="Arial" w:hAnsi="Arial" w:cs="Arial"/>
        </w:rPr>
        <w:tab/>
        <w:t>WACC sheet</w:t>
      </w:r>
    </w:p>
    <w:p w:rsidR="007749FC" w:rsidRPr="00A25A3C" w:rsidRDefault="00E431C4" w:rsidP="007749FC">
      <w:pPr>
        <w:pStyle w:val="AERbodytext"/>
        <w:numPr>
          <w:ilvl w:val="0"/>
          <w:numId w:val="9"/>
        </w:numPr>
        <w:rPr>
          <w:rFonts w:ascii="Arial" w:hAnsi="Arial" w:cs="Arial"/>
        </w:rPr>
      </w:pPr>
      <w:r w:rsidRPr="00A25A3C">
        <w:rPr>
          <w:noProof/>
          <w:lang w:eastAsia="en-AU"/>
        </w:rPr>
        <w:drawing>
          <wp:inline distT="0" distB="0" distL="0" distR="0" wp14:anchorId="7937B9BD" wp14:editId="69DD8F0E">
            <wp:extent cx="5731510" cy="27653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765331"/>
                    </a:xfrm>
                    <a:prstGeom prst="rect">
                      <a:avLst/>
                    </a:prstGeom>
                  </pic:spPr>
                </pic:pic>
              </a:graphicData>
            </a:graphic>
          </wp:inline>
        </w:drawing>
      </w:r>
    </w:p>
    <w:p w:rsidR="007749FC" w:rsidRPr="00A25A3C" w:rsidRDefault="007749FC" w:rsidP="007749FC">
      <w:pPr>
        <w:pStyle w:val="Heading2"/>
        <w:rPr>
          <w:rFonts w:ascii="Arial" w:hAnsi="Arial" w:cs="Arial"/>
        </w:rPr>
      </w:pPr>
      <w:bookmarkStart w:id="35" w:name="_Toc410223773"/>
      <w:r w:rsidRPr="00A25A3C">
        <w:rPr>
          <w:rFonts w:ascii="Arial" w:hAnsi="Arial" w:cs="Arial"/>
        </w:rPr>
        <w:lastRenderedPageBreak/>
        <w:t>Assets sheet</w:t>
      </w:r>
      <w:bookmarkEnd w:id="35"/>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Pr="00A25A3C">
        <w:rPr>
          <w:rStyle w:val="AERtextbold"/>
          <w:rFonts w:ascii="Arial" w:hAnsi="Arial" w:cs="Arial"/>
        </w:rPr>
        <w:t>Assets</w:t>
      </w:r>
      <w:r w:rsidRPr="00A25A3C">
        <w:rPr>
          <w:rFonts w:ascii="Arial" w:hAnsi="Arial" w:cs="Arial"/>
        </w:rPr>
        <w:t xml:space="preserve"> sheet calculates the value of the RAB for each year of the next regulatory control period in real (start of year one) and nominal dollar terms. It also calculates both regulatory and tax depreciation. The </w:t>
      </w:r>
      <w:r w:rsidRPr="00A25A3C">
        <w:rPr>
          <w:rStyle w:val="AERtextbold"/>
          <w:rFonts w:ascii="Arial" w:hAnsi="Arial" w:cs="Arial"/>
        </w:rPr>
        <w:t>Assets</w:t>
      </w:r>
      <w:r w:rsidRPr="00A25A3C">
        <w:rPr>
          <w:rFonts w:ascii="Arial" w:hAnsi="Arial" w:cs="Arial"/>
        </w:rPr>
        <w:t xml:space="preserve"> sheet displays 55 years of data so that the effective tax rate can be estimated. </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_Ref398112108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7</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Assets</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36" w:name="_Ref398112108"/>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7</w:t>
      </w:r>
      <w:r w:rsidRPr="00A25A3C">
        <w:rPr>
          <w:rFonts w:ascii="Arial" w:hAnsi="Arial" w:cs="Arial"/>
        </w:rPr>
        <w:fldChar w:fldCharType="end"/>
      </w:r>
      <w:bookmarkEnd w:id="36"/>
      <w:r w:rsidRPr="00A25A3C">
        <w:rPr>
          <w:rFonts w:ascii="Arial" w:hAnsi="Arial" w:cs="Arial"/>
        </w:rPr>
        <w:tab/>
        <w:t>Assets sheet</w:t>
      </w:r>
    </w:p>
    <w:p w:rsidR="007749FC" w:rsidRPr="00A25A3C" w:rsidRDefault="00E41949" w:rsidP="007749FC">
      <w:pPr>
        <w:pStyle w:val="AERbodytext"/>
        <w:numPr>
          <w:ilvl w:val="0"/>
          <w:numId w:val="9"/>
        </w:numPr>
        <w:rPr>
          <w:rFonts w:ascii="Arial" w:hAnsi="Arial" w:cs="Arial"/>
        </w:rPr>
      </w:pPr>
      <w:r w:rsidRPr="00A25A3C">
        <w:rPr>
          <w:noProof/>
          <w:lang w:eastAsia="en-AU"/>
        </w:rPr>
        <w:drawing>
          <wp:inline distT="0" distB="0" distL="0" distR="0" wp14:anchorId="73C5EE9D" wp14:editId="0B5FF7C5">
            <wp:extent cx="5731510" cy="56096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5609654"/>
                    </a:xfrm>
                    <a:prstGeom prst="rect">
                      <a:avLst/>
                    </a:prstGeom>
                  </pic:spPr>
                </pic:pic>
              </a:graphicData>
            </a:graphic>
          </wp:inline>
        </w:drawing>
      </w:r>
    </w:p>
    <w:p w:rsidR="007749FC" w:rsidRPr="00A25A3C" w:rsidRDefault="007749FC" w:rsidP="007749FC">
      <w:pPr>
        <w:pStyle w:val="Heading3"/>
        <w:rPr>
          <w:rFonts w:ascii="Arial" w:hAnsi="Arial" w:cs="Arial"/>
        </w:rPr>
      </w:pPr>
      <w:bookmarkStart w:id="37" w:name="_Toc410223774"/>
      <w:r w:rsidRPr="00A25A3C">
        <w:rPr>
          <w:rFonts w:ascii="Arial" w:hAnsi="Arial" w:cs="Arial"/>
        </w:rPr>
        <w:t>Rolling forward the RAB and depreciation</w:t>
      </w:r>
      <w:bookmarkEnd w:id="37"/>
    </w:p>
    <w:p w:rsidR="007749FC" w:rsidRPr="00A25A3C" w:rsidRDefault="007749FC" w:rsidP="007749FC">
      <w:pPr>
        <w:pStyle w:val="AERbodytext"/>
        <w:numPr>
          <w:ilvl w:val="0"/>
          <w:numId w:val="9"/>
        </w:numPr>
        <w:rPr>
          <w:rFonts w:ascii="Arial" w:hAnsi="Arial" w:cs="Arial"/>
        </w:rPr>
      </w:pPr>
      <w:r w:rsidRPr="00A25A3C">
        <w:rPr>
          <w:rFonts w:ascii="Arial" w:hAnsi="Arial" w:cs="Arial"/>
        </w:rPr>
        <w:t>For consistency, depreciation in a period must equal the difference between the asset value at the start and end of the period. Further, as depreciation is intended to represent the return of capital over the life of the asset, accumulated depreciation should not exceed the initial actual capital cost of the infrastructure.</w:t>
      </w:r>
    </w:p>
    <w:p w:rsidR="007749FC" w:rsidRPr="00A25A3C" w:rsidRDefault="007749FC" w:rsidP="007749FC">
      <w:pPr>
        <w:pStyle w:val="AERbodytext"/>
        <w:numPr>
          <w:ilvl w:val="0"/>
          <w:numId w:val="9"/>
        </w:numPr>
        <w:rPr>
          <w:rFonts w:ascii="Arial" w:hAnsi="Arial" w:cs="Arial"/>
        </w:rPr>
      </w:pPr>
      <w:r w:rsidRPr="00A25A3C">
        <w:rPr>
          <w:rFonts w:ascii="Arial" w:hAnsi="Arial" w:cs="Arial"/>
        </w:rPr>
        <w:lastRenderedPageBreak/>
        <w:t xml:space="preserve">The opening RAB (cell F9) and real forecast net capex (rows 10 to 60) values displayed in this sheet are sourced from the </w:t>
      </w:r>
      <w:r w:rsidR="00607148" w:rsidRPr="00A25A3C">
        <w:rPr>
          <w:rFonts w:ascii="Arial" w:hAnsi="Arial" w:cs="Arial"/>
          <w:b/>
        </w:rPr>
        <w:t>PTRM</w:t>
      </w:r>
      <w:r w:rsidR="00607148"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Nominal forecast net capex values are displayed in rows 61 to 111. The modelling of capex in the PTRM is based on a partially as-incurred approach. Under this approach the return on capital is calculated based on as-incurred forecast net capex and the return of capital (depreciation) is calculated based on as-commissioned forecast net capex. </w:t>
      </w:r>
    </w:p>
    <w:p w:rsidR="007749FC" w:rsidRPr="00A25A3C" w:rsidRDefault="007749FC" w:rsidP="007749FC">
      <w:pPr>
        <w:pStyle w:val="AERbodytext"/>
        <w:numPr>
          <w:ilvl w:val="0"/>
          <w:numId w:val="9"/>
        </w:numPr>
        <w:rPr>
          <w:rFonts w:ascii="Arial" w:hAnsi="Arial" w:cs="Arial"/>
        </w:rPr>
      </w:pPr>
      <w:r w:rsidRPr="00A25A3C">
        <w:rPr>
          <w:rFonts w:ascii="Arial" w:hAnsi="Arial" w:cs="Arial"/>
        </w:rPr>
        <w:t>Capex is assumed to be incurred evenly throughout the regulatory year and therefore a timing assumption is adopted that on average places capex half-way through the year. However, the PTRM calculates the return on capital based on the opening RAB for each year and capex is not added to the RAB until the end of the year in which the expenditure on the asset is incurred. To address this timing difference in modelling the real capex, a half-real vanilla WACC is provided (capitalised and recovered over the life of the assets) to compensate for the six-month period before capex is included in the RAB (rows 11 to 60).</w:t>
      </w:r>
      <w:r w:rsidRPr="00A25A3C">
        <w:rPr>
          <w:rStyle w:val="FootnoteReference"/>
          <w:rFonts w:ascii="Arial" w:hAnsi="Arial" w:cs="Arial"/>
        </w:rPr>
        <w:footnoteReference w:id="17"/>
      </w:r>
      <w:r w:rsidRPr="00A25A3C">
        <w:rPr>
          <w:rFonts w:ascii="Arial" w:hAnsi="Arial" w:cs="Arial"/>
        </w:rPr>
        <w:t xml:space="preserve"> This is calculated using the specific half-real vanilla WACC applying to the year in which the expenditure is incurred.</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Real asset values are displayed in rows 115 to 767. Real straight-line depreciation is calculated in rows 115 to 765. It uses the opening RAB, forecast capex (as-commissioned) values and asset lives from the </w:t>
      </w:r>
      <w:r w:rsidR="00607148" w:rsidRPr="00A25A3C">
        <w:rPr>
          <w:rFonts w:ascii="Arial" w:hAnsi="Arial" w:cs="Arial"/>
          <w:b/>
        </w:rPr>
        <w:t>PTRM</w:t>
      </w:r>
      <w:r w:rsidR="00607148"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The individual depreciation profiles for each asset class can be viewed by expanding rows 116 to 765. The roll forward of the closing RAB in real dollar terms (start of year one) for each year is calculated in row 766.</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Nominal asset values are displayed in rows 771 to 775. To compensate the TNSP for inflation, the residual value of the RAB at the end of each year is adjusted upwards for the amount of expected inflation in that year. This adjustment is calculated in row 771. The change in the nominal value of the RAB from year to year in nominal dollar terms is calculated by adjusting the closing RAB (row 774)  for forecast net capex (as-incurred) and the regulatory depreciation allowance. Regulatory depreciation (row 773) is calculated as the nominal straight-line depreciation (row 772), less the inflation adjustment on the opening RAB (row 771).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Depreciation for tax purposes and the tax asset value over time is calculated in rows 779 to 1430 based on the tax asset values, net capex (as-commissioned) values and tax asset lives from the </w:t>
      </w:r>
      <w:r w:rsidR="00607148" w:rsidRPr="00A25A3C">
        <w:rPr>
          <w:rFonts w:ascii="Arial" w:hAnsi="Arial" w:cs="Arial"/>
          <w:b/>
        </w:rPr>
        <w:t>PTRM</w:t>
      </w:r>
      <w:r w:rsidR="00607148"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The individual tax depreciation profiles for each asset class can be viewed by expanding rows 780 to 1429. Tax depreciation is calculated separately because asset values and asset lives for tax purposes generally differ from those for regulatory purposes.</w:t>
      </w:r>
    </w:p>
    <w:p w:rsidR="007749FC" w:rsidRPr="00A25A3C" w:rsidRDefault="007749FC" w:rsidP="007749FC">
      <w:pPr>
        <w:pStyle w:val="AERbodytext"/>
        <w:numPr>
          <w:ilvl w:val="0"/>
          <w:numId w:val="9"/>
        </w:numPr>
        <w:rPr>
          <w:rFonts w:ascii="Arial" w:hAnsi="Arial" w:cs="Arial"/>
        </w:rPr>
      </w:pPr>
      <w:r w:rsidRPr="00A25A3C">
        <w:rPr>
          <w:rFonts w:ascii="Arial" w:hAnsi="Arial" w:cs="Arial"/>
        </w:rPr>
        <w:t>A summary of the roll forward of the RAB is set out in rows 1434 to 1438.</w:t>
      </w:r>
      <w:r w:rsidR="00C475EE" w:rsidRPr="00A25A3C">
        <w:rPr>
          <w:rFonts w:ascii="Arial" w:hAnsi="Arial" w:cs="Arial"/>
        </w:rPr>
        <w:t xml:space="preserve"> A summary of the roll forward of the TAB is set out in rows 1443 to 1446.</w:t>
      </w:r>
    </w:p>
    <w:p w:rsidR="007749FC" w:rsidRPr="00A25A3C" w:rsidRDefault="007749FC" w:rsidP="007749FC">
      <w:pPr>
        <w:pStyle w:val="Heading2"/>
        <w:rPr>
          <w:rFonts w:ascii="Arial" w:hAnsi="Arial" w:cs="Arial"/>
        </w:rPr>
      </w:pPr>
      <w:bookmarkStart w:id="38" w:name="_Toc410223775"/>
      <w:r w:rsidRPr="00A25A3C">
        <w:rPr>
          <w:rFonts w:ascii="Arial" w:hAnsi="Arial" w:cs="Arial"/>
        </w:rPr>
        <w:t>Analysis sheet</w:t>
      </w:r>
      <w:bookmarkEnd w:id="38"/>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Pr="00A25A3C">
        <w:rPr>
          <w:rStyle w:val="AERtextbold"/>
          <w:rFonts w:ascii="Arial" w:hAnsi="Arial" w:cs="Arial"/>
        </w:rPr>
        <w:t>Analysis</w:t>
      </w:r>
      <w:r w:rsidRPr="00A25A3C">
        <w:rPr>
          <w:rFonts w:ascii="Arial" w:hAnsi="Arial" w:cs="Arial"/>
        </w:rPr>
        <w:t xml:space="preserve"> sheet itemises the basic costs, or building blocks of the TNSP, which are then added together to calculate the ABBRR. In other words, the </w:t>
      </w:r>
      <w:r w:rsidRPr="00A25A3C">
        <w:rPr>
          <w:rStyle w:val="AERtextbold"/>
          <w:rFonts w:ascii="Arial" w:hAnsi="Arial" w:cs="Arial"/>
        </w:rPr>
        <w:t>Analysis</w:t>
      </w:r>
      <w:r w:rsidRPr="00A25A3C">
        <w:rPr>
          <w:rFonts w:ascii="Arial" w:hAnsi="Arial" w:cs="Arial"/>
        </w:rPr>
        <w:t xml:space="preserve"> sheet is where the data from the</w:t>
      </w:r>
      <w:r w:rsidR="00607148" w:rsidRPr="00A25A3C">
        <w:rPr>
          <w:rFonts w:ascii="Arial" w:hAnsi="Arial" w:cs="Arial"/>
        </w:rPr>
        <w:t xml:space="preserve"> </w:t>
      </w:r>
      <w:r w:rsidR="00607148" w:rsidRPr="00A25A3C">
        <w:rPr>
          <w:rFonts w:ascii="Arial" w:hAnsi="Arial" w:cs="Arial"/>
          <w:b/>
        </w:rPr>
        <w:t>PTRM</w:t>
      </w:r>
      <w:r w:rsidRPr="00A25A3C">
        <w:rPr>
          <w:rFonts w:ascii="Arial" w:hAnsi="Arial" w:cs="Arial"/>
        </w:rPr>
        <w:t xml:space="preserve">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is combined with the calculations in the </w:t>
      </w:r>
      <w:r w:rsidRPr="00A25A3C">
        <w:rPr>
          <w:rStyle w:val="AERtextbold"/>
          <w:rFonts w:ascii="Arial" w:hAnsi="Arial" w:cs="Arial"/>
        </w:rPr>
        <w:t>Assets</w:t>
      </w:r>
      <w:r w:rsidRPr="00A25A3C">
        <w:rPr>
          <w:rFonts w:ascii="Arial" w:hAnsi="Arial" w:cs="Arial"/>
        </w:rPr>
        <w:t xml:space="preserve"> and </w:t>
      </w:r>
      <w:r w:rsidRPr="00A25A3C">
        <w:rPr>
          <w:rStyle w:val="AERtextbold"/>
          <w:rFonts w:ascii="Arial" w:hAnsi="Arial" w:cs="Arial"/>
        </w:rPr>
        <w:t>WACC</w:t>
      </w:r>
      <w:r w:rsidRPr="00A25A3C">
        <w:rPr>
          <w:rFonts w:ascii="Arial" w:hAnsi="Arial" w:cs="Arial"/>
        </w:rPr>
        <w:t xml:space="preserve"> sheets to estimate a TNSP’s revenue requirement. The </w:t>
      </w:r>
      <w:r w:rsidRPr="00A25A3C">
        <w:rPr>
          <w:rStyle w:val="AERtextbold"/>
          <w:rFonts w:ascii="Arial" w:hAnsi="Arial" w:cs="Arial"/>
        </w:rPr>
        <w:t>Analysis</w:t>
      </w:r>
      <w:r w:rsidRPr="00A25A3C">
        <w:rPr>
          <w:rFonts w:ascii="Arial" w:hAnsi="Arial" w:cs="Arial"/>
        </w:rPr>
        <w:t xml:space="preserve"> sheet displays 55 years of data so that the effective tax rate can be estimated.</w:t>
      </w:r>
    </w:p>
    <w:p w:rsidR="007749FC" w:rsidRPr="00A25A3C" w:rsidRDefault="007749FC" w:rsidP="007749FC">
      <w:pPr>
        <w:pStyle w:val="AERbodytext"/>
        <w:numPr>
          <w:ilvl w:val="0"/>
          <w:numId w:val="9"/>
        </w:numPr>
        <w:rPr>
          <w:rFonts w:ascii="Arial" w:hAnsi="Arial" w:cs="Arial"/>
        </w:rPr>
      </w:pPr>
      <w:r w:rsidRPr="00A25A3C">
        <w:rPr>
          <w:rFonts w:ascii="Arial" w:hAnsi="Arial" w:cs="Arial"/>
        </w:rPr>
        <w:lastRenderedPageBreak/>
        <w:t xml:space="preserve">The </w:t>
      </w:r>
      <w:r w:rsidRPr="00A25A3C">
        <w:rPr>
          <w:rStyle w:val="AERtextbold"/>
          <w:rFonts w:ascii="Arial" w:hAnsi="Arial" w:cs="Arial"/>
        </w:rPr>
        <w:t>Analysis</w:t>
      </w:r>
      <w:r w:rsidRPr="00A25A3C">
        <w:rPr>
          <w:rFonts w:ascii="Arial" w:hAnsi="Arial" w:cs="Arial"/>
        </w:rPr>
        <w:t xml:space="preserve"> sheet also includes an analysis of the forecast cash flows. This analysis provides rate of return measures estimated from forecast revenues and costs, including: expected pre and post-tax returns on equity, effective tax rates, the effective cost of debt and selected measures of the WACC.</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_Ref398112127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8</w:t>
      </w:r>
      <w:r w:rsidRPr="00A25A3C">
        <w:rPr>
          <w:rFonts w:ascii="Arial" w:hAnsi="Arial" w:cs="Arial"/>
        </w:rPr>
        <w:fldChar w:fldCharType="end"/>
      </w:r>
      <w:r w:rsidR="00C475EE" w:rsidRPr="00A25A3C">
        <w:rPr>
          <w:rFonts w:ascii="Arial" w:hAnsi="Arial" w:cs="Arial"/>
        </w:rPr>
        <w:t>,</w:t>
      </w:r>
      <w:r w:rsidRPr="00A25A3C">
        <w:rPr>
          <w:rFonts w:ascii="Arial" w:hAnsi="Arial" w:cs="Arial"/>
        </w:rPr>
        <w:t xml:space="preserve"> </w:t>
      </w:r>
      <w:r w:rsidRPr="00A25A3C">
        <w:rPr>
          <w:rFonts w:ascii="Arial" w:hAnsi="Arial" w:cs="Arial"/>
        </w:rPr>
        <w:fldChar w:fldCharType="begin"/>
      </w:r>
      <w:r w:rsidRPr="00A25A3C">
        <w:rPr>
          <w:rFonts w:ascii="Arial" w:hAnsi="Arial" w:cs="Arial"/>
        </w:rPr>
        <w:instrText xml:space="preserve"> REF _Ref398817136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9</w:t>
      </w:r>
      <w:r w:rsidRPr="00A25A3C">
        <w:rPr>
          <w:rFonts w:ascii="Arial" w:hAnsi="Arial" w:cs="Arial"/>
        </w:rPr>
        <w:fldChar w:fldCharType="end"/>
      </w:r>
      <w:r w:rsidRPr="00A25A3C">
        <w:rPr>
          <w:rFonts w:ascii="Arial" w:hAnsi="Arial" w:cs="Arial"/>
        </w:rPr>
        <w:t xml:space="preserve"> </w:t>
      </w:r>
      <w:r w:rsidR="00C475EE" w:rsidRPr="00A25A3C">
        <w:rPr>
          <w:rFonts w:ascii="Arial" w:hAnsi="Arial" w:cs="Arial"/>
        </w:rPr>
        <w:t xml:space="preserve">and </w:t>
      </w:r>
      <w:r w:rsidR="00BC3F0A" w:rsidRPr="00A25A3C">
        <w:rPr>
          <w:rFonts w:ascii="Arial" w:hAnsi="Arial" w:cs="Arial"/>
        </w:rPr>
        <w:fldChar w:fldCharType="begin"/>
      </w:r>
      <w:r w:rsidR="00BC3F0A" w:rsidRPr="00A25A3C">
        <w:rPr>
          <w:rFonts w:ascii="Arial" w:hAnsi="Arial" w:cs="Arial"/>
        </w:rPr>
        <w:instrText xml:space="preserve"> REF _Ref408928796 \h </w:instrText>
      </w:r>
      <w:r w:rsidR="00A25A3C">
        <w:rPr>
          <w:rFonts w:ascii="Arial" w:hAnsi="Arial" w:cs="Arial"/>
        </w:rPr>
        <w:instrText xml:space="preserve"> \* MERGEFORMAT </w:instrText>
      </w:r>
      <w:r w:rsidR="00BC3F0A" w:rsidRPr="00A25A3C">
        <w:rPr>
          <w:rFonts w:ascii="Arial" w:hAnsi="Arial" w:cs="Arial"/>
        </w:rPr>
      </w:r>
      <w:r w:rsidR="00BC3F0A" w:rsidRPr="00A25A3C">
        <w:rPr>
          <w:rFonts w:ascii="Arial" w:hAnsi="Arial" w:cs="Arial"/>
        </w:rPr>
        <w:fldChar w:fldCharType="separate"/>
      </w:r>
      <w:r w:rsidR="00631E49" w:rsidRPr="00A25A3C">
        <w:rPr>
          <w:rFonts w:ascii="Arial" w:hAnsi="Arial" w:cs="Arial"/>
        </w:rPr>
        <w:t xml:space="preserve">Figure </w:t>
      </w:r>
      <w:r w:rsidR="00631E49" w:rsidRPr="00A25A3C">
        <w:rPr>
          <w:rFonts w:ascii="Arial" w:hAnsi="Arial" w:cs="Arial"/>
          <w:noProof/>
        </w:rPr>
        <w:t>10</w:t>
      </w:r>
      <w:r w:rsidR="00BC3F0A" w:rsidRPr="00A25A3C">
        <w:rPr>
          <w:rFonts w:ascii="Arial" w:hAnsi="Arial" w:cs="Arial"/>
        </w:rPr>
        <w:fldChar w:fldCharType="end"/>
      </w:r>
      <w:r w:rsidR="00C475EE" w:rsidRPr="00A25A3C">
        <w:rPr>
          <w:rFonts w:ascii="Arial" w:hAnsi="Arial" w:cs="Arial"/>
        </w:rPr>
        <w:t xml:space="preserve"> </w:t>
      </w:r>
      <w:r w:rsidRPr="00A25A3C">
        <w:rPr>
          <w:rFonts w:ascii="Arial" w:hAnsi="Arial" w:cs="Arial"/>
        </w:rPr>
        <w:t xml:space="preserve">provide examples of the </w:t>
      </w:r>
      <w:r w:rsidRPr="00A25A3C">
        <w:rPr>
          <w:rStyle w:val="AERtextbold"/>
          <w:rFonts w:ascii="Arial" w:hAnsi="Arial" w:cs="Arial"/>
        </w:rPr>
        <w:t>Analysis</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39" w:name="_Ref398112127"/>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8</w:t>
      </w:r>
      <w:r w:rsidRPr="00A25A3C">
        <w:rPr>
          <w:rFonts w:ascii="Arial" w:hAnsi="Arial" w:cs="Arial"/>
        </w:rPr>
        <w:fldChar w:fldCharType="end"/>
      </w:r>
      <w:bookmarkEnd w:id="39"/>
      <w:r w:rsidRPr="00A25A3C">
        <w:rPr>
          <w:rFonts w:ascii="Arial" w:hAnsi="Arial" w:cs="Arial"/>
        </w:rPr>
        <w:tab/>
        <w:t>Analysis sheet–first screenshot</w:t>
      </w:r>
    </w:p>
    <w:p w:rsidR="007749FC" w:rsidRPr="00A25A3C" w:rsidRDefault="00E41949" w:rsidP="007749FC">
      <w:pPr>
        <w:pStyle w:val="AERbodytext"/>
        <w:numPr>
          <w:ilvl w:val="0"/>
          <w:numId w:val="9"/>
        </w:numPr>
        <w:rPr>
          <w:rFonts w:ascii="Arial" w:hAnsi="Arial" w:cs="Arial"/>
        </w:rPr>
      </w:pPr>
      <w:r w:rsidRPr="00A25A3C">
        <w:rPr>
          <w:noProof/>
          <w:lang w:eastAsia="en-AU"/>
        </w:rPr>
        <w:drawing>
          <wp:inline distT="0" distB="0" distL="0" distR="0" wp14:anchorId="7BB10845" wp14:editId="519738C0">
            <wp:extent cx="5731510" cy="62960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6296088"/>
                    </a:xfrm>
                    <a:prstGeom prst="rect">
                      <a:avLst/>
                    </a:prstGeom>
                  </pic:spPr>
                </pic:pic>
              </a:graphicData>
            </a:graphic>
          </wp:inline>
        </w:drawing>
      </w:r>
    </w:p>
    <w:p w:rsidR="007749FC" w:rsidRPr="00A25A3C" w:rsidRDefault="007749FC" w:rsidP="007749FC">
      <w:pPr>
        <w:pStyle w:val="Caption"/>
        <w:rPr>
          <w:rFonts w:ascii="Arial" w:hAnsi="Arial" w:cs="Arial"/>
        </w:rPr>
      </w:pPr>
      <w:bookmarkStart w:id="40" w:name="_Ref398817136"/>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9</w:t>
      </w:r>
      <w:r w:rsidRPr="00A25A3C">
        <w:rPr>
          <w:rFonts w:ascii="Arial" w:hAnsi="Arial" w:cs="Arial"/>
        </w:rPr>
        <w:fldChar w:fldCharType="end"/>
      </w:r>
      <w:bookmarkEnd w:id="40"/>
      <w:r w:rsidRPr="00A25A3C">
        <w:rPr>
          <w:rFonts w:ascii="Arial" w:hAnsi="Arial" w:cs="Arial"/>
        </w:rPr>
        <w:tab/>
        <w:t>Analysis sheet–second screenshot</w:t>
      </w:r>
    </w:p>
    <w:p w:rsidR="00145CBE" w:rsidRPr="00A25A3C" w:rsidRDefault="00E41949" w:rsidP="007749FC">
      <w:pPr>
        <w:pStyle w:val="AERbodytext"/>
        <w:numPr>
          <w:ilvl w:val="0"/>
          <w:numId w:val="9"/>
        </w:numPr>
        <w:rPr>
          <w:rFonts w:ascii="Arial" w:hAnsi="Arial" w:cs="Arial"/>
        </w:rPr>
      </w:pPr>
      <w:r w:rsidRPr="00A25A3C">
        <w:rPr>
          <w:noProof/>
          <w:lang w:eastAsia="en-AU"/>
        </w:rPr>
        <w:drawing>
          <wp:inline distT="0" distB="0" distL="0" distR="0" wp14:anchorId="3168F6FE" wp14:editId="22D82E90">
            <wp:extent cx="5731510" cy="71668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166837"/>
                    </a:xfrm>
                    <a:prstGeom prst="rect">
                      <a:avLst/>
                    </a:prstGeom>
                  </pic:spPr>
                </pic:pic>
              </a:graphicData>
            </a:graphic>
          </wp:inline>
        </w:drawing>
      </w:r>
    </w:p>
    <w:p w:rsidR="00145CBE" w:rsidRPr="00A25A3C" w:rsidRDefault="00BC3F0A" w:rsidP="002E477F">
      <w:pPr>
        <w:pStyle w:val="Caption"/>
        <w:rPr>
          <w:rFonts w:ascii="Arial" w:hAnsi="Arial" w:cs="Arial"/>
        </w:rPr>
      </w:pPr>
      <w:bookmarkStart w:id="41" w:name="_Ref408928796"/>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10</w:t>
      </w:r>
      <w:r w:rsidRPr="00A25A3C">
        <w:rPr>
          <w:rFonts w:ascii="Arial" w:hAnsi="Arial" w:cs="Arial"/>
        </w:rPr>
        <w:fldChar w:fldCharType="end"/>
      </w:r>
      <w:bookmarkStart w:id="42" w:name="_Ref408928786"/>
      <w:bookmarkEnd w:id="41"/>
      <w:r w:rsidR="00145CBE" w:rsidRPr="00A25A3C">
        <w:rPr>
          <w:rFonts w:ascii="Arial" w:hAnsi="Arial" w:cs="Arial"/>
        </w:rPr>
        <w:tab/>
        <w:t>Analysis sheet—third screenshot</w:t>
      </w:r>
      <w:bookmarkEnd w:id="42"/>
    </w:p>
    <w:p w:rsidR="007749FC" w:rsidRPr="00A25A3C" w:rsidRDefault="00E41949" w:rsidP="002E477F">
      <w:pPr>
        <w:pStyle w:val="Caption"/>
        <w:rPr>
          <w:rFonts w:ascii="Arial" w:hAnsi="Arial" w:cs="Arial"/>
        </w:rPr>
      </w:pPr>
      <w:r w:rsidRPr="00A25A3C">
        <w:rPr>
          <w:noProof/>
          <w:lang w:eastAsia="en-AU"/>
        </w:rPr>
        <w:drawing>
          <wp:inline distT="0" distB="0" distL="0" distR="0" wp14:anchorId="5A7F1E4E" wp14:editId="59BA87ED">
            <wp:extent cx="5731510" cy="429434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4294346"/>
                    </a:xfrm>
                    <a:prstGeom prst="rect">
                      <a:avLst/>
                    </a:prstGeom>
                  </pic:spPr>
                </pic:pic>
              </a:graphicData>
            </a:graphic>
          </wp:inline>
        </w:drawing>
      </w:r>
    </w:p>
    <w:p w:rsidR="007749FC" w:rsidRPr="00A25A3C" w:rsidRDefault="007749FC" w:rsidP="007749FC">
      <w:pPr>
        <w:pStyle w:val="Heading3"/>
        <w:rPr>
          <w:rFonts w:ascii="Arial" w:hAnsi="Arial" w:cs="Arial"/>
        </w:rPr>
      </w:pPr>
      <w:bookmarkStart w:id="43" w:name="_Toc410223776"/>
      <w:r w:rsidRPr="00A25A3C">
        <w:rPr>
          <w:rFonts w:ascii="Arial" w:hAnsi="Arial" w:cs="Arial"/>
        </w:rPr>
        <w:t>Building block approach to deriving cash flows</w:t>
      </w:r>
      <w:bookmarkEnd w:id="43"/>
    </w:p>
    <w:p w:rsidR="007749FC" w:rsidRPr="00A25A3C" w:rsidRDefault="007749FC" w:rsidP="007749FC">
      <w:pPr>
        <w:pStyle w:val="AERbodytext"/>
        <w:numPr>
          <w:ilvl w:val="0"/>
          <w:numId w:val="9"/>
        </w:numPr>
        <w:rPr>
          <w:rFonts w:ascii="Arial" w:hAnsi="Arial" w:cs="Arial"/>
        </w:rPr>
      </w:pPr>
      <w:r w:rsidRPr="00A25A3C">
        <w:rPr>
          <w:rFonts w:ascii="Arial" w:hAnsi="Arial" w:cs="Arial"/>
        </w:rPr>
        <w:t>Clause 6A.5.4 of the NER requires the AER to apply the building block approach to assess the revenues required by a TNSP to recover the full cost of providing the regulated transmission (prescribed) service. The revenue requirement includes a commercial return on its investment.</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key building blocks are:</w:t>
      </w:r>
    </w:p>
    <w:p w:rsidR="007749FC" w:rsidRPr="00A25A3C" w:rsidRDefault="007749FC" w:rsidP="003C2D87">
      <w:pPr>
        <w:pStyle w:val="AERbulletlistfirststyle"/>
        <w:tabs>
          <w:tab w:val="clear" w:pos="357"/>
          <w:tab w:val="left" w:pos="426"/>
        </w:tabs>
        <w:ind w:left="426" w:hanging="426"/>
        <w:rPr>
          <w:rFonts w:ascii="Arial" w:hAnsi="Arial" w:cs="Arial"/>
        </w:rPr>
      </w:pPr>
      <w:r w:rsidRPr="00A25A3C">
        <w:rPr>
          <w:rFonts w:ascii="Arial" w:hAnsi="Arial" w:cs="Arial"/>
        </w:rPr>
        <w:t>the return on capital comprising (row 23) :</w:t>
      </w:r>
    </w:p>
    <w:p w:rsidR="007749FC" w:rsidRPr="00A25A3C" w:rsidRDefault="007749FC" w:rsidP="003C2D87">
      <w:pPr>
        <w:pStyle w:val="AERbulletlistsecondstyle"/>
        <w:tabs>
          <w:tab w:val="left" w:pos="426"/>
        </w:tabs>
        <w:ind w:left="426" w:hanging="426"/>
        <w:rPr>
          <w:rFonts w:ascii="Arial" w:hAnsi="Arial" w:cs="Arial"/>
        </w:rPr>
      </w:pPr>
      <w:r w:rsidRPr="00A25A3C">
        <w:rPr>
          <w:rFonts w:ascii="Arial" w:hAnsi="Arial" w:cs="Arial"/>
        </w:rPr>
        <w:t xml:space="preserve">the post-tax return on equity (row 25) </w:t>
      </w:r>
    </w:p>
    <w:p w:rsidR="007749FC" w:rsidRPr="00A25A3C" w:rsidRDefault="007749FC" w:rsidP="003C2D87">
      <w:pPr>
        <w:pStyle w:val="AERbulletlistsecondstyle"/>
        <w:tabs>
          <w:tab w:val="left" w:pos="426"/>
        </w:tabs>
        <w:ind w:left="426" w:hanging="426"/>
        <w:rPr>
          <w:rFonts w:ascii="Arial" w:hAnsi="Arial" w:cs="Arial"/>
        </w:rPr>
      </w:pPr>
      <w:r w:rsidRPr="00A25A3C">
        <w:rPr>
          <w:rFonts w:ascii="Arial" w:hAnsi="Arial" w:cs="Arial"/>
        </w:rPr>
        <w:t xml:space="preserve">the return on debt (or the interest payments incurred) required to service borrowings (row 26) </w:t>
      </w:r>
    </w:p>
    <w:p w:rsidR="007749FC" w:rsidRPr="00A25A3C" w:rsidRDefault="007749FC" w:rsidP="003C2D87">
      <w:pPr>
        <w:pStyle w:val="AERbulletlistfirststyle"/>
        <w:tabs>
          <w:tab w:val="clear" w:pos="357"/>
          <w:tab w:val="left" w:pos="426"/>
        </w:tabs>
        <w:ind w:left="426" w:hanging="426"/>
        <w:rPr>
          <w:rFonts w:ascii="Arial" w:hAnsi="Arial" w:cs="Arial"/>
        </w:rPr>
      </w:pPr>
      <w:r w:rsidRPr="00A25A3C">
        <w:rPr>
          <w:rFonts w:ascii="Arial" w:hAnsi="Arial" w:cs="Arial"/>
        </w:rPr>
        <w:t>the regulatory depreciation or return of capital (row 28)</w:t>
      </w:r>
    </w:p>
    <w:p w:rsidR="007749FC" w:rsidRPr="00A25A3C" w:rsidRDefault="007749FC" w:rsidP="003C2D87">
      <w:pPr>
        <w:pStyle w:val="AERbulletlistfirststyle"/>
        <w:tabs>
          <w:tab w:val="clear" w:pos="357"/>
          <w:tab w:val="left" w:pos="426"/>
        </w:tabs>
        <w:ind w:left="426" w:hanging="426"/>
        <w:rPr>
          <w:rFonts w:ascii="Arial" w:hAnsi="Arial" w:cs="Arial"/>
        </w:rPr>
      </w:pPr>
      <w:proofErr w:type="spellStart"/>
      <w:r w:rsidRPr="00A25A3C">
        <w:rPr>
          <w:rFonts w:ascii="Arial" w:hAnsi="Arial" w:cs="Arial"/>
        </w:rPr>
        <w:t>opex</w:t>
      </w:r>
      <w:proofErr w:type="spellEnd"/>
      <w:r w:rsidRPr="00A25A3C">
        <w:rPr>
          <w:rFonts w:ascii="Arial" w:hAnsi="Arial" w:cs="Arial"/>
        </w:rPr>
        <w:t xml:space="preserve"> including carry-over amounts (row 30)</w:t>
      </w:r>
    </w:p>
    <w:p w:rsidR="00F525FE" w:rsidRPr="00A25A3C" w:rsidRDefault="00F525FE" w:rsidP="003C2D87">
      <w:pPr>
        <w:pStyle w:val="AERbulletlistfirststyle"/>
        <w:tabs>
          <w:tab w:val="clear" w:pos="357"/>
          <w:tab w:val="left" w:pos="426"/>
        </w:tabs>
        <w:ind w:left="426" w:hanging="426"/>
        <w:rPr>
          <w:rFonts w:ascii="Arial" w:hAnsi="Arial" w:cs="Arial"/>
        </w:rPr>
      </w:pPr>
      <w:r w:rsidRPr="00A25A3C">
        <w:rPr>
          <w:rFonts w:ascii="Arial" w:hAnsi="Arial" w:cs="Arial"/>
        </w:rPr>
        <w:t>revenue adjustments (row 32)</w:t>
      </w:r>
    </w:p>
    <w:p w:rsidR="007749FC" w:rsidRPr="00A25A3C" w:rsidRDefault="007749FC" w:rsidP="003C2D87">
      <w:pPr>
        <w:pStyle w:val="AERbulletlistfirststyle"/>
        <w:tabs>
          <w:tab w:val="clear" w:pos="357"/>
          <w:tab w:val="left" w:pos="426"/>
        </w:tabs>
        <w:ind w:left="426" w:hanging="426"/>
        <w:rPr>
          <w:rFonts w:ascii="Arial" w:hAnsi="Arial" w:cs="Arial"/>
        </w:rPr>
      </w:pPr>
      <w:r w:rsidRPr="00A25A3C">
        <w:rPr>
          <w:rFonts w:ascii="Arial" w:hAnsi="Arial" w:cs="Arial"/>
        </w:rPr>
        <w:t>net tax liabilities payable—the figure is net in the sense that it is the annual tax payable by the TNSP (row 3</w:t>
      </w:r>
      <w:r w:rsidR="008A5300" w:rsidRPr="00A25A3C">
        <w:rPr>
          <w:rFonts w:ascii="Arial" w:hAnsi="Arial" w:cs="Arial"/>
        </w:rPr>
        <w:t>4</w:t>
      </w:r>
      <w:r w:rsidRPr="00A25A3C">
        <w:rPr>
          <w:rFonts w:ascii="Arial" w:hAnsi="Arial" w:cs="Arial"/>
        </w:rPr>
        <w:t>) less the value of imputation credits available t</w:t>
      </w:r>
      <w:r w:rsidR="008A5300" w:rsidRPr="00A25A3C">
        <w:rPr>
          <w:rFonts w:ascii="Arial" w:hAnsi="Arial" w:cs="Arial"/>
        </w:rPr>
        <w:t>o investing shareholders (row 35</w:t>
      </w:r>
      <w:r w:rsidRPr="00A25A3C">
        <w:rPr>
          <w:rFonts w:ascii="Arial" w:hAnsi="Arial" w:cs="Arial"/>
        </w:rPr>
        <w:t>).</w:t>
      </w:r>
    </w:p>
    <w:p w:rsidR="007749FC" w:rsidRPr="00A25A3C" w:rsidRDefault="007749FC" w:rsidP="0026215E">
      <w:pPr>
        <w:pStyle w:val="AERbodytext"/>
        <w:rPr>
          <w:rFonts w:ascii="Arial" w:hAnsi="Arial" w:cs="Arial"/>
        </w:rPr>
      </w:pPr>
      <w:r w:rsidRPr="00A25A3C">
        <w:rPr>
          <w:rFonts w:ascii="Arial" w:hAnsi="Arial" w:cs="Arial"/>
        </w:rPr>
        <w:t xml:space="preserve">The costs are determined for each year of the next regulatory control period to derive the </w:t>
      </w:r>
      <w:r w:rsidR="0026215E" w:rsidRPr="00A25A3C">
        <w:rPr>
          <w:rFonts w:ascii="Arial" w:hAnsi="Arial" w:cs="Arial"/>
        </w:rPr>
        <w:t xml:space="preserve">building block </w:t>
      </w:r>
      <w:r w:rsidRPr="00A25A3C">
        <w:rPr>
          <w:rFonts w:ascii="Arial" w:hAnsi="Arial" w:cs="Arial"/>
        </w:rPr>
        <w:t>subtotal (row 3</w:t>
      </w:r>
      <w:r w:rsidR="0026215E" w:rsidRPr="00A25A3C">
        <w:rPr>
          <w:rFonts w:ascii="Arial" w:hAnsi="Arial" w:cs="Arial"/>
        </w:rPr>
        <w:t>7</w:t>
      </w:r>
      <w:r w:rsidRPr="00A25A3C">
        <w:rPr>
          <w:rFonts w:ascii="Arial" w:hAnsi="Arial" w:cs="Arial"/>
        </w:rPr>
        <w:t xml:space="preserve">). </w:t>
      </w:r>
      <w:r w:rsidRPr="00436E97">
        <w:rPr>
          <w:rFonts w:ascii="Arial" w:hAnsi="Arial" w:cs="Arial"/>
        </w:rPr>
        <w:t xml:space="preserve">There is an additional adjustment to reflect the taxation implications of </w:t>
      </w:r>
      <w:r w:rsidR="0074030B" w:rsidRPr="00436E97">
        <w:rPr>
          <w:rFonts w:ascii="Arial" w:hAnsi="Arial" w:cs="Arial"/>
        </w:rPr>
        <w:t>non-tax</w:t>
      </w:r>
      <w:r w:rsidR="0074030B">
        <w:rPr>
          <w:rFonts w:ascii="Arial" w:hAnsi="Arial" w:cs="Arial"/>
        </w:rPr>
        <w:t xml:space="preserve"> </w:t>
      </w:r>
      <w:r w:rsidR="0026215E" w:rsidRPr="00436E97">
        <w:rPr>
          <w:rFonts w:ascii="Arial" w:hAnsi="Arial" w:cs="Arial"/>
        </w:rPr>
        <w:t xml:space="preserve">income revenue adjustments (row 40). </w:t>
      </w:r>
      <w:r w:rsidRPr="00A25A3C">
        <w:rPr>
          <w:rFonts w:ascii="Arial" w:hAnsi="Arial" w:cs="Arial"/>
        </w:rPr>
        <w:t xml:space="preserve">Because the costs can fluctuate from year to year, the </w:t>
      </w:r>
      <w:r w:rsidRPr="00A25A3C">
        <w:rPr>
          <w:rFonts w:ascii="Arial" w:hAnsi="Arial" w:cs="Arial"/>
        </w:rPr>
        <w:lastRenderedPageBreak/>
        <w:t>ABBRR (which includes the additional revenue adjustments) is smoothed over the next regulatory control period to give the MAR (see section 2.</w:t>
      </w:r>
      <w:r w:rsidR="00236AA5">
        <w:rPr>
          <w:rFonts w:ascii="Arial" w:hAnsi="Arial" w:cs="Arial"/>
        </w:rPr>
        <w:t>7</w:t>
      </w:r>
      <w:r w:rsidRPr="00A25A3C">
        <w:rPr>
          <w:rFonts w:ascii="Arial" w:hAnsi="Arial" w:cs="Arial"/>
        </w:rPr>
        <w:t>).</w:t>
      </w:r>
    </w:p>
    <w:p w:rsidR="007749FC" w:rsidRPr="00A25A3C" w:rsidRDefault="007749FC" w:rsidP="007749FC">
      <w:pPr>
        <w:pStyle w:val="AERbodytext"/>
        <w:numPr>
          <w:ilvl w:val="0"/>
          <w:numId w:val="9"/>
        </w:numPr>
        <w:rPr>
          <w:rStyle w:val="AERtexthighlight"/>
          <w:rFonts w:ascii="Arial" w:hAnsi="Arial" w:cs="Arial"/>
        </w:rPr>
      </w:pPr>
      <w:r w:rsidRPr="00436E97">
        <w:rPr>
          <w:rFonts w:ascii="Arial" w:hAnsi="Arial" w:cs="Arial"/>
        </w:rPr>
        <w:t>As a result of the PTRM’s particular timing assumptions, i.e. all cash flows with exception of capex are assumed to occur at the end of each regulatory year, there is no need to provide TNSPs an allowance for working capital in the modelling.</w:t>
      </w:r>
      <w:r w:rsidRPr="00A25A3C">
        <w:rPr>
          <w:rStyle w:val="AERsuperscript"/>
          <w:rFonts w:ascii="Arial" w:hAnsi="Arial" w:cs="Arial"/>
        </w:rPr>
        <w:footnoteReference w:id="18"/>
      </w:r>
      <w:r w:rsidRPr="00A25A3C">
        <w:rPr>
          <w:rStyle w:val="AERtexthighlight"/>
          <w:rFonts w:ascii="Arial" w:hAnsi="Arial" w:cs="Arial"/>
        </w:rPr>
        <w:t xml:space="preserve"> </w:t>
      </w:r>
    </w:p>
    <w:p w:rsidR="007749FC" w:rsidRPr="00A25A3C" w:rsidRDefault="007749FC" w:rsidP="007749FC">
      <w:pPr>
        <w:pStyle w:val="Heading3"/>
        <w:rPr>
          <w:rFonts w:ascii="Arial" w:hAnsi="Arial" w:cs="Arial"/>
        </w:rPr>
      </w:pPr>
      <w:bookmarkStart w:id="44" w:name="_Toc410223777"/>
      <w:r w:rsidRPr="00A25A3C">
        <w:rPr>
          <w:rFonts w:ascii="Arial" w:hAnsi="Arial" w:cs="Arial"/>
        </w:rPr>
        <w:t>Taxation and related costs and benefits</w:t>
      </w:r>
      <w:bookmarkEnd w:id="44"/>
    </w:p>
    <w:p w:rsidR="007749FC" w:rsidRPr="00A25A3C" w:rsidRDefault="007749FC" w:rsidP="007749FC">
      <w:pPr>
        <w:pStyle w:val="AERbodytext"/>
        <w:numPr>
          <w:ilvl w:val="0"/>
          <w:numId w:val="9"/>
        </w:numPr>
        <w:rPr>
          <w:rFonts w:ascii="Arial" w:hAnsi="Arial" w:cs="Arial"/>
        </w:rPr>
      </w:pPr>
      <w:r w:rsidRPr="00A25A3C">
        <w:rPr>
          <w:rFonts w:ascii="Arial" w:hAnsi="Arial" w:cs="Arial"/>
        </w:rPr>
        <w:t>Tax is payable on revenue less tax costs recognised by the ATO. Tax-deductible costs include interest or debt servicing, depreciation allowances</w:t>
      </w:r>
      <w:r w:rsidR="00A44918" w:rsidRPr="00A25A3C">
        <w:rPr>
          <w:rFonts w:ascii="Arial" w:hAnsi="Arial" w:cs="Arial"/>
        </w:rPr>
        <w:t xml:space="preserve">, </w:t>
      </w:r>
      <w:proofErr w:type="spellStart"/>
      <w:r w:rsidRPr="00A25A3C">
        <w:rPr>
          <w:rFonts w:ascii="Arial" w:hAnsi="Arial" w:cs="Arial"/>
        </w:rPr>
        <w:t>opex</w:t>
      </w:r>
      <w:proofErr w:type="spellEnd"/>
      <w:r w:rsidR="00A44918" w:rsidRPr="00A25A3C">
        <w:rPr>
          <w:rFonts w:ascii="Arial" w:hAnsi="Arial" w:cs="Arial"/>
        </w:rPr>
        <w:t xml:space="preserve"> and tax expense revenue adjustments (rows 45</w:t>
      </w:r>
      <w:r w:rsidRPr="00A25A3C">
        <w:rPr>
          <w:rFonts w:ascii="Arial" w:hAnsi="Arial" w:cs="Arial"/>
        </w:rPr>
        <w:t xml:space="preserve"> to 4</w:t>
      </w:r>
      <w:r w:rsidR="00A44918" w:rsidRPr="00A25A3C">
        <w:rPr>
          <w:rFonts w:ascii="Arial" w:hAnsi="Arial" w:cs="Arial"/>
        </w:rPr>
        <w:t>8</w:t>
      </w:r>
      <w:r w:rsidRPr="00A25A3C">
        <w:rPr>
          <w:rFonts w:ascii="Arial" w:hAnsi="Arial" w:cs="Arial"/>
        </w:rPr>
        <w:t>).</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Spreadsheet calculations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Tax payable by the TNSP for e</w:t>
      </w:r>
      <w:r w:rsidR="00A44918" w:rsidRPr="00A25A3C">
        <w:rPr>
          <w:rFonts w:ascii="Arial" w:hAnsi="Arial" w:cs="Arial"/>
        </w:rPr>
        <w:t>ach year is calculated in rows 40</w:t>
      </w:r>
      <w:r w:rsidRPr="00A25A3C">
        <w:rPr>
          <w:rFonts w:ascii="Arial" w:hAnsi="Arial" w:cs="Arial"/>
        </w:rPr>
        <w:t xml:space="preserve"> to 53, in three steps:</w:t>
      </w:r>
    </w:p>
    <w:p w:rsidR="007749FC" w:rsidRPr="00236AA5" w:rsidRDefault="00A44918" w:rsidP="00236AA5">
      <w:pPr>
        <w:pStyle w:val="AERnumberedlistfirststyle"/>
        <w:rPr>
          <w:rFonts w:ascii="Arial" w:hAnsi="Arial" w:cs="Arial"/>
        </w:rPr>
      </w:pPr>
      <w:r w:rsidRPr="00236AA5">
        <w:rPr>
          <w:rFonts w:ascii="Arial" w:hAnsi="Arial" w:cs="Arial"/>
        </w:rPr>
        <w:t>Pre-tax income (row 54</w:t>
      </w:r>
      <w:r w:rsidR="007749FC" w:rsidRPr="00236AA5">
        <w:rPr>
          <w:rFonts w:ascii="Arial" w:hAnsi="Arial" w:cs="Arial"/>
        </w:rPr>
        <w:t xml:space="preserve">) is calculated as the </w:t>
      </w:r>
      <w:r w:rsidR="00A10961" w:rsidRPr="00236AA5">
        <w:rPr>
          <w:rFonts w:ascii="Arial" w:hAnsi="Arial" w:cs="Arial"/>
        </w:rPr>
        <w:t xml:space="preserve">revenue </w:t>
      </w:r>
      <w:r w:rsidR="007749FC" w:rsidRPr="00236AA5">
        <w:rPr>
          <w:rFonts w:ascii="Arial" w:hAnsi="Arial" w:cs="Arial"/>
        </w:rPr>
        <w:t xml:space="preserve">subtotal </w:t>
      </w:r>
      <w:r w:rsidR="00A10961" w:rsidRPr="00236AA5">
        <w:rPr>
          <w:rFonts w:ascii="Arial" w:hAnsi="Arial" w:cs="Arial"/>
        </w:rPr>
        <w:t xml:space="preserve">less </w:t>
      </w:r>
      <w:r w:rsidRPr="00236AA5">
        <w:rPr>
          <w:rFonts w:ascii="Arial" w:hAnsi="Arial" w:cs="Arial"/>
        </w:rPr>
        <w:t>non-tax income revenue adjustments (row 40) less total tax expenses (row 49)</w:t>
      </w:r>
      <w:r w:rsidR="00236AA5" w:rsidRPr="00236AA5">
        <w:rPr>
          <w:rFonts w:ascii="Arial" w:hAnsi="Arial" w:cs="Arial"/>
        </w:rPr>
        <w:t>.</w:t>
      </w:r>
    </w:p>
    <w:p w:rsidR="007749FC" w:rsidRPr="00236AA5" w:rsidRDefault="007749FC" w:rsidP="00236AA5">
      <w:pPr>
        <w:pStyle w:val="AERnumberedlistfirststyle"/>
        <w:rPr>
          <w:rFonts w:ascii="Arial" w:hAnsi="Arial" w:cs="Arial"/>
        </w:rPr>
      </w:pPr>
      <w:r w:rsidRPr="00236AA5">
        <w:rPr>
          <w:rFonts w:ascii="Arial" w:hAnsi="Arial" w:cs="Arial"/>
        </w:rPr>
        <w:t>Tax loss carried forward is calculated (row 5</w:t>
      </w:r>
      <w:r w:rsidR="00A44918" w:rsidRPr="00236AA5">
        <w:rPr>
          <w:rFonts w:ascii="Arial" w:hAnsi="Arial" w:cs="Arial"/>
        </w:rPr>
        <w:t>5</w:t>
      </w:r>
      <w:r w:rsidRPr="00236AA5">
        <w:rPr>
          <w:rFonts w:ascii="Arial" w:hAnsi="Arial" w:cs="Arial"/>
        </w:rPr>
        <w:t>).</w:t>
      </w:r>
    </w:p>
    <w:p w:rsidR="007749FC" w:rsidRPr="00236AA5" w:rsidRDefault="00A44918" w:rsidP="00236AA5">
      <w:pPr>
        <w:pStyle w:val="AERnumberedlistfirststyle"/>
        <w:rPr>
          <w:rFonts w:ascii="Arial" w:hAnsi="Arial" w:cs="Arial"/>
        </w:rPr>
      </w:pPr>
      <w:r w:rsidRPr="00236AA5">
        <w:rPr>
          <w:rFonts w:ascii="Arial" w:hAnsi="Arial" w:cs="Arial"/>
        </w:rPr>
        <w:t>Taxable income (row 53</w:t>
      </w:r>
      <w:r w:rsidR="007749FC" w:rsidRPr="00236AA5">
        <w:rPr>
          <w:rFonts w:ascii="Arial" w:hAnsi="Arial" w:cs="Arial"/>
        </w:rPr>
        <w:t>) is then the sum of the above.</w:t>
      </w:r>
    </w:p>
    <w:p w:rsidR="007749FC" w:rsidRPr="00A25A3C" w:rsidRDefault="00A44918" w:rsidP="00A44918">
      <w:pPr>
        <w:pStyle w:val="AERbodytext"/>
        <w:rPr>
          <w:rFonts w:ascii="Arial" w:hAnsi="Arial" w:cs="Arial"/>
        </w:rPr>
      </w:pPr>
      <w:r w:rsidRPr="00A25A3C">
        <w:rPr>
          <w:rFonts w:ascii="Arial" w:hAnsi="Arial" w:cs="Arial"/>
        </w:rPr>
        <w:t>The tax costs (rows 45</w:t>
      </w:r>
      <w:r w:rsidR="007749FC" w:rsidRPr="00A25A3C">
        <w:rPr>
          <w:rFonts w:ascii="Arial" w:hAnsi="Arial" w:cs="Arial"/>
        </w:rPr>
        <w:t xml:space="preserve"> t</w:t>
      </w:r>
      <w:r w:rsidRPr="00A25A3C">
        <w:rPr>
          <w:rFonts w:ascii="Arial" w:hAnsi="Arial" w:cs="Arial"/>
        </w:rPr>
        <w:t>o 48</w:t>
      </w:r>
      <w:r w:rsidR="007749FC" w:rsidRPr="00A25A3C">
        <w:rPr>
          <w:rFonts w:ascii="Arial" w:hAnsi="Arial" w:cs="Arial"/>
        </w:rPr>
        <w:t xml:space="preserve">) used in calculating the pre-tax income for the year are the same as those in the building blocks (rows 26 </w:t>
      </w:r>
      <w:r w:rsidR="00D25E58" w:rsidRPr="00A25A3C">
        <w:rPr>
          <w:rFonts w:ascii="Arial" w:hAnsi="Arial" w:cs="Arial"/>
        </w:rPr>
        <w:t>to 32</w:t>
      </w:r>
      <w:r w:rsidR="007749FC" w:rsidRPr="00A25A3C">
        <w:rPr>
          <w:rFonts w:ascii="Arial" w:hAnsi="Arial" w:cs="Arial"/>
        </w:rPr>
        <w:t>) with the exception of depreciation</w:t>
      </w:r>
      <w:r w:rsidRPr="00A25A3C">
        <w:rPr>
          <w:rFonts w:ascii="Arial" w:hAnsi="Arial" w:cs="Arial"/>
        </w:rPr>
        <w:t xml:space="preserve"> and revenue adjustments</w:t>
      </w:r>
      <w:r w:rsidR="007749FC" w:rsidRPr="00A25A3C">
        <w:rPr>
          <w:rFonts w:ascii="Arial" w:hAnsi="Arial" w:cs="Arial"/>
        </w:rPr>
        <w:t xml:space="preserve">. In the case of the revenue building blocks, regulatory depreciation (row 28) is calculated based on the economic life of the asset (see rows 115 to 765 and 771 to 773 of the </w:t>
      </w:r>
      <w:r w:rsidR="007749FC" w:rsidRPr="00A25A3C">
        <w:rPr>
          <w:rFonts w:ascii="Arial" w:hAnsi="Arial" w:cs="Arial"/>
          <w:b/>
        </w:rPr>
        <w:t>Assets</w:t>
      </w:r>
      <w:r w:rsidR="007749FC" w:rsidRPr="00A25A3C">
        <w:rPr>
          <w:rFonts w:ascii="Arial" w:hAnsi="Arial" w:cs="Arial"/>
        </w:rPr>
        <w:t xml:space="preserve"> </w:t>
      </w:r>
      <w:r w:rsidRPr="00A25A3C">
        <w:rPr>
          <w:rFonts w:ascii="Arial" w:hAnsi="Arial" w:cs="Arial"/>
        </w:rPr>
        <w:t>s</w:t>
      </w:r>
      <w:r w:rsidR="007749FC" w:rsidRPr="00A25A3C">
        <w:rPr>
          <w:rFonts w:ascii="Arial" w:hAnsi="Arial" w:cs="Arial"/>
        </w:rPr>
        <w:t xml:space="preserve">heet). Tax depreciation is generally based on a much shorter tax life or calculated in a different way (see rows 779 to 1429 of the </w:t>
      </w:r>
      <w:r w:rsidR="007749FC" w:rsidRPr="00A25A3C">
        <w:rPr>
          <w:rFonts w:ascii="Arial" w:hAnsi="Arial" w:cs="Arial"/>
          <w:b/>
        </w:rPr>
        <w:t>Assets</w:t>
      </w:r>
      <w:r w:rsidR="007749FC" w:rsidRPr="00A25A3C">
        <w:rPr>
          <w:rFonts w:ascii="Arial" w:hAnsi="Arial" w:cs="Arial"/>
        </w:rPr>
        <w:t xml:space="preserve"> sheet).</w:t>
      </w:r>
      <w:r w:rsidR="00A10961" w:rsidRPr="00A25A3C">
        <w:rPr>
          <w:rFonts w:ascii="Arial" w:hAnsi="Arial" w:cs="Arial"/>
        </w:rPr>
        <w:t xml:space="preserve"> For revenue adjustments, the tax implications of each individual adjustment are set on the </w:t>
      </w:r>
      <w:r w:rsidR="00A10961" w:rsidRPr="00A25A3C">
        <w:rPr>
          <w:rFonts w:ascii="Arial" w:hAnsi="Arial" w:cs="Arial"/>
          <w:b/>
        </w:rPr>
        <w:t>PTRM input</w:t>
      </w:r>
      <w:r w:rsidR="00A10961" w:rsidRPr="00A25A3C">
        <w:rPr>
          <w:rFonts w:ascii="Arial" w:hAnsi="Arial" w:cs="Arial"/>
        </w:rPr>
        <w:t xml:space="preserve"> sheet. Those revenue adjustments which are treated as taxable income will add to pre-tax income (the net effect of rows 32 and 40). Similarly, those revenue adjustments which are treated as a tax expense will reduce pre-tax income (row 48). Where there are revenue adjustments that are taxable income but not a tax expense, the two effects will not be equal.</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tax payable is recognised as a building block cost and added to the</w:t>
      </w:r>
      <w:r w:rsidR="00B35B32" w:rsidRPr="00A25A3C">
        <w:rPr>
          <w:rFonts w:ascii="Arial" w:hAnsi="Arial" w:cs="Arial"/>
        </w:rPr>
        <w:t xml:space="preserve"> revenue building blocks (row 34</w:t>
      </w:r>
      <w:r w:rsidRPr="00A25A3C">
        <w:rPr>
          <w:rFonts w:ascii="Arial" w:hAnsi="Arial" w:cs="Arial"/>
        </w:rPr>
        <w:t xml:space="preserve">). Offsetting this tax cost is the benefit shareholders receive from </w:t>
      </w:r>
      <w:r w:rsidR="00B35B32" w:rsidRPr="00A25A3C">
        <w:rPr>
          <w:rFonts w:ascii="Arial" w:hAnsi="Arial" w:cs="Arial"/>
        </w:rPr>
        <w:t xml:space="preserve">the value of </w:t>
      </w:r>
      <w:r w:rsidRPr="00A25A3C">
        <w:rPr>
          <w:rFonts w:ascii="Arial" w:hAnsi="Arial" w:cs="Arial"/>
        </w:rPr>
        <w:t xml:space="preserve">imputation credits (gamma). This offsetting benefit is equal to </w:t>
      </w:r>
      <w:r w:rsidR="00B35B32" w:rsidRPr="00A25A3C">
        <w:rPr>
          <w:rFonts w:ascii="Arial" w:hAnsi="Arial" w:cs="Arial"/>
        </w:rPr>
        <w:t>the value of imputation credits</w:t>
      </w:r>
      <w:r w:rsidRPr="00A25A3C">
        <w:rPr>
          <w:rFonts w:ascii="Arial" w:hAnsi="Arial" w:cs="Arial"/>
        </w:rPr>
        <w:t xml:space="preserve"> multiplied by the tax payable and is reco</w:t>
      </w:r>
      <w:r w:rsidR="00B35B32" w:rsidRPr="00A25A3C">
        <w:rPr>
          <w:rFonts w:ascii="Arial" w:hAnsi="Arial" w:cs="Arial"/>
        </w:rPr>
        <w:t>rded in rows 35 and 57</w:t>
      </w:r>
      <w:r w:rsidRPr="00A25A3C">
        <w:rPr>
          <w:rFonts w:ascii="Arial" w:hAnsi="Arial" w:cs="Arial"/>
        </w:rPr>
        <w:t>.</w:t>
      </w:r>
    </w:p>
    <w:p w:rsidR="007749FC" w:rsidRPr="00A25A3C" w:rsidRDefault="007749FC" w:rsidP="007749FC">
      <w:pPr>
        <w:pStyle w:val="Heading3"/>
        <w:rPr>
          <w:rFonts w:ascii="Arial" w:hAnsi="Arial" w:cs="Arial"/>
        </w:rPr>
      </w:pPr>
      <w:bookmarkStart w:id="45" w:name="_Toc410223778"/>
      <w:r w:rsidRPr="00A25A3C">
        <w:rPr>
          <w:rFonts w:ascii="Arial" w:hAnsi="Arial" w:cs="Arial"/>
        </w:rPr>
        <w:t>Cash flow analysis</w:t>
      </w:r>
      <w:bookmarkEnd w:id="45"/>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Calculations in the cash flow analysis section provide a comprehensive check on the validity of revenue determinations to ensure that the outcomes are consistent with the assumptions forming the basis of the building block approach. The </w:t>
      </w:r>
      <w:r w:rsidRPr="00A25A3C">
        <w:rPr>
          <w:rStyle w:val="AERtextbold"/>
          <w:rFonts w:ascii="Arial" w:hAnsi="Arial" w:cs="Arial"/>
        </w:rPr>
        <w:t>Analysis</w:t>
      </w:r>
      <w:r w:rsidRPr="00A25A3C">
        <w:rPr>
          <w:rFonts w:ascii="Arial" w:hAnsi="Arial" w:cs="Arial"/>
        </w:rPr>
        <w:t xml:space="preserve"> sheet is designed to check the desired rate of return on equity that can be expected from the regulated revenue stream.</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lastRenderedPageBreak/>
        <w:t>Net present values</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total returns on and of capital (comprising the RAB and capex) is calculated in </w:t>
      </w:r>
      <w:r w:rsidR="008103BA" w:rsidRPr="00A25A3C">
        <w:rPr>
          <w:rFonts w:ascii="Arial" w:hAnsi="Arial" w:cs="Arial"/>
        </w:rPr>
        <w:t>row 64</w:t>
      </w:r>
      <w:r w:rsidRPr="00A25A3C">
        <w:rPr>
          <w:rFonts w:ascii="Arial" w:hAnsi="Arial" w:cs="Arial"/>
        </w:rPr>
        <w:t>. The present value (PV) for these cash flows at the start of the first year of the next regulatory control period is calculated in cell F</w:t>
      </w:r>
      <w:r w:rsidR="008103BA" w:rsidRPr="00A25A3C">
        <w:rPr>
          <w:rFonts w:ascii="Arial" w:hAnsi="Arial" w:cs="Arial"/>
        </w:rPr>
        <w:t>64</w:t>
      </w:r>
      <w:r w:rsidRPr="00A25A3C">
        <w:rPr>
          <w:rFonts w:ascii="Arial" w:hAnsi="Arial" w:cs="Arial"/>
        </w:rPr>
        <w:t>. The PV for</w:t>
      </w:r>
      <w:r w:rsidR="008103BA" w:rsidRPr="00A25A3C">
        <w:rPr>
          <w:rFonts w:ascii="Arial" w:hAnsi="Arial" w:cs="Arial"/>
        </w:rPr>
        <w:t xml:space="preserve"> capex is calculated in cell F65</w:t>
      </w:r>
      <w:r w:rsidR="00D25E58" w:rsidRPr="00A25A3C">
        <w:rPr>
          <w:rFonts w:ascii="Arial" w:hAnsi="Arial" w:cs="Arial"/>
        </w:rPr>
        <w:t xml:space="preserve">, and the </w:t>
      </w:r>
      <w:r w:rsidR="00D704BD" w:rsidRPr="00A25A3C">
        <w:rPr>
          <w:rFonts w:ascii="Arial" w:hAnsi="Arial" w:cs="Arial"/>
        </w:rPr>
        <w:t>PV</w:t>
      </w:r>
      <w:r w:rsidR="00D25E58" w:rsidRPr="00A25A3C">
        <w:rPr>
          <w:rFonts w:ascii="Arial" w:hAnsi="Arial" w:cs="Arial"/>
        </w:rPr>
        <w:t xml:space="preserve"> of end of period assets in cell F66</w:t>
      </w:r>
      <w:r w:rsidRPr="00A25A3C">
        <w:rPr>
          <w:rFonts w:ascii="Arial" w:hAnsi="Arial" w:cs="Arial"/>
        </w:rPr>
        <w:t xml:space="preserve">. </w:t>
      </w:r>
      <w:r w:rsidR="00D25E58" w:rsidRPr="00A25A3C">
        <w:rPr>
          <w:rFonts w:ascii="Arial" w:hAnsi="Arial" w:cs="Arial"/>
        </w:rPr>
        <w:t xml:space="preserve">The sum of the PV of the returns on and of the RAB and capex, less the residual value of assets is calculated in cell F63. This </w:t>
      </w:r>
      <w:r w:rsidRPr="00A25A3C">
        <w:rPr>
          <w:rFonts w:ascii="Arial" w:hAnsi="Arial" w:cs="Arial"/>
        </w:rPr>
        <w:t xml:space="preserve">project net present value (NPV) for the RAB </w:t>
      </w:r>
      <w:r w:rsidR="00D25E58" w:rsidRPr="00A25A3C">
        <w:rPr>
          <w:rFonts w:ascii="Arial" w:hAnsi="Arial" w:cs="Arial"/>
        </w:rPr>
        <w:t xml:space="preserve">check cell </w:t>
      </w:r>
      <w:r w:rsidRPr="00A25A3C">
        <w:rPr>
          <w:rFonts w:ascii="Arial" w:hAnsi="Arial" w:cs="Arial"/>
        </w:rPr>
        <w:t>should be equal to zero, which indicates that the asset is receiving the correct returns.</w:t>
      </w:r>
    </w:p>
    <w:p w:rsidR="008103BA" w:rsidRPr="00A25A3C" w:rsidRDefault="004C322C" w:rsidP="007749FC">
      <w:pPr>
        <w:pStyle w:val="AERbodytext"/>
        <w:numPr>
          <w:ilvl w:val="0"/>
          <w:numId w:val="9"/>
        </w:numPr>
        <w:rPr>
          <w:rFonts w:ascii="Arial" w:hAnsi="Arial" w:cs="Arial"/>
        </w:rPr>
      </w:pPr>
      <w:r w:rsidRPr="00A25A3C">
        <w:rPr>
          <w:rFonts w:ascii="Arial" w:hAnsi="Arial" w:cs="Arial"/>
        </w:rPr>
        <w:t xml:space="preserve">Rows 73 to 176 </w:t>
      </w:r>
      <w:r w:rsidR="00A410E3" w:rsidRPr="00A25A3C">
        <w:rPr>
          <w:rFonts w:ascii="Arial" w:hAnsi="Arial" w:cs="Arial"/>
        </w:rPr>
        <w:t>set out</w:t>
      </w:r>
      <w:r w:rsidRPr="00A25A3C">
        <w:rPr>
          <w:rFonts w:ascii="Arial" w:hAnsi="Arial" w:cs="Arial"/>
        </w:rPr>
        <w:t xml:space="preserve"> cash flow analysis including (rows 76 to 94) and excluding (rows 98 to 126) revenue adjustments. </w:t>
      </w:r>
      <w:r w:rsidR="006B1478" w:rsidRPr="00A25A3C">
        <w:rPr>
          <w:rFonts w:ascii="Arial" w:hAnsi="Arial" w:cs="Arial"/>
        </w:rPr>
        <w:t>Cash flow analysis excluding revenue adjustments allow</w:t>
      </w:r>
      <w:r w:rsidR="003032AD" w:rsidRPr="00A25A3C">
        <w:rPr>
          <w:rFonts w:ascii="Arial" w:hAnsi="Arial" w:cs="Arial"/>
        </w:rPr>
        <w:t>s</w:t>
      </w:r>
      <w:r w:rsidR="006B1478" w:rsidRPr="00A25A3C">
        <w:rPr>
          <w:rFonts w:ascii="Arial" w:hAnsi="Arial" w:cs="Arial"/>
        </w:rPr>
        <w:t xml:space="preserve"> the user to ensure that the target rate of return is being met. Cash flow analysis including revenue adjustments can be used to identify the incremental effects of revenue adjustments, which </w:t>
      </w:r>
      <w:r w:rsidR="00D25E58" w:rsidRPr="00A25A3C">
        <w:rPr>
          <w:rFonts w:ascii="Arial" w:hAnsi="Arial" w:cs="Arial"/>
        </w:rPr>
        <w:t xml:space="preserve">will cause the return on equity outcome to differ from the base return on equity. To enable the analysis excluding revenue adjustments, several cash flows terms must be restated, including the tax payable calculation. This takes place in rows 98 to 105. </w:t>
      </w:r>
      <w:r w:rsidR="00865477" w:rsidRPr="00A25A3C">
        <w:rPr>
          <w:rFonts w:ascii="Arial" w:hAnsi="Arial" w:cs="Arial"/>
        </w:rPr>
        <w:t>Aside from the different base data (including or excluding revenue adjustments), the mechanics of the calculations in each section are identical, and so they are discussed together.</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Net cash flows available to equity holders</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Net nominal pre-tax cash flows to equity holders (row </w:t>
      </w:r>
      <w:r w:rsidR="008103BA" w:rsidRPr="00A25A3C">
        <w:rPr>
          <w:rFonts w:ascii="Arial" w:hAnsi="Arial" w:cs="Arial"/>
        </w:rPr>
        <w:t>76 and row 108</w:t>
      </w:r>
      <w:r w:rsidRPr="00A25A3C">
        <w:rPr>
          <w:rFonts w:ascii="Arial" w:hAnsi="Arial" w:cs="Arial"/>
        </w:rPr>
        <w:t>) are represented by nominal revenues less:</w:t>
      </w:r>
    </w:p>
    <w:p w:rsidR="007749FC" w:rsidRPr="00A25A3C" w:rsidRDefault="007749FC" w:rsidP="003C2D87">
      <w:pPr>
        <w:pStyle w:val="AERbulletlistfirststyle"/>
        <w:ind w:hanging="720"/>
        <w:rPr>
          <w:rFonts w:ascii="Arial" w:hAnsi="Arial" w:cs="Arial"/>
        </w:rPr>
      </w:pPr>
      <w:proofErr w:type="spellStart"/>
      <w:r w:rsidRPr="00A25A3C">
        <w:rPr>
          <w:rFonts w:ascii="Arial" w:hAnsi="Arial" w:cs="Arial"/>
        </w:rPr>
        <w:t>opex</w:t>
      </w:r>
      <w:proofErr w:type="spellEnd"/>
    </w:p>
    <w:p w:rsidR="007749FC" w:rsidRPr="00A25A3C" w:rsidRDefault="007749FC" w:rsidP="003C2D87">
      <w:pPr>
        <w:pStyle w:val="AERbulletlistfirststyle"/>
        <w:ind w:hanging="720"/>
        <w:rPr>
          <w:rFonts w:ascii="Arial" w:hAnsi="Arial" w:cs="Arial"/>
        </w:rPr>
      </w:pPr>
      <w:r w:rsidRPr="00A25A3C">
        <w:rPr>
          <w:rFonts w:ascii="Arial" w:hAnsi="Arial" w:cs="Arial"/>
        </w:rPr>
        <w:t>capex</w:t>
      </w:r>
    </w:p>
    <w:p w:rsidR="007749FC" w:rsidRPr="00A25A3C" w:rsidRDefault="007749FC" w:rsidP="003C2D87">
      <w:pPr>
        <w:pStyle w:val="AERbulletlistfirststyle"/>
        <w:ind w:hanging="720"/>
        <w:rPr>
          <w:rFonts w:ascii="Arial" w:hAnsi="Arial" w:cs="Arial"/>
        </w:rPr>
      </w:pPr>
      <w:r w:rsidRPr="00A25A3C">
        <w:rPr>
          <w:rFonts w:ascii="Arial" w:hAnsi="Arial" w:cs="Arial"/>
        </w:rPr>
        <w:t>interest payments</w:t>
      </w:r>
    </w:p>
    <w:p w:rsidR="007749FC" w:rsidRPr="00A25A3C" w:rsidRDefault="007749FC" w:rsidP="003C2D87">
      <w:pPr>
        <w:pStyle w:val="AERbulletlistfirststyle"/>
        <w:ind w:hanging="720"/>
        <w:rPr>
          <w:rFonts w:ascii="Arial" w:hAnsi="Arial" w:cs="Arial"/>
        </w:rPr>
      </w:pPr>
      <w:r w:rsidRPr="00A25A3C">
        <w:rPr>
          <w:rFonts w:ascii="Arial" w:hAnsi="Arial" w:cs="Arial"/>
        </w:rPr>
        <w:t>any repayment of debt in the period</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Net nominal post-tax cash flow to equity holders (row </w:t>
      </w:r>
      <w:r w:rsidR="00A410E3" w:rsidRPr="00A25A3C">
        <w:rPr>
          <w:rFonts w:ascii="Arial" w:hAnsi="Arial" w:cs="Arial"/>
        </w:rPr>
        <w:t>77 and 109</w:t>
      </w:r>
      <w:r w:rsidRPr="00A25A3C">
        <w:rPr>
          <w:rFonts w:ascii="Arial" w:hAnsi="Arial" w:cs="Arial"/>
        </w:rPr>
        <w:t>) is obtained by further deducting the tax expense of the business. Row</w:t>
      </w:r>
      <w:r w:rsidR="00A410E3" w:rsidRPr="00A25A3C">
        <w:rPr>
          <w:rFonts w:ascii="Arial" w:hAnsi="Arial" w:cs="Arial"/>
        </w:rPr>
        <w:t>s</w:t>
      </w:r>
      <w:r w:rsidRPr="00A25A3C">
        <w:rPr>
          <w:rFonts w:ascii="Arial" w:hAnsi="Arial" w:cs="Arial"/>
        </w:rPr>
        <w:t xml:space="preserve"> 7</w:t>
      </w:r>
      <w:r w:rsidR="00A410E3" w:rsidRPr="00A25A3C">
        <w:rPr>
          <w:rFonts w:ascii="Arial" w:hAnsi="Arial" w:cs="Arial"/>
        </w:rPr>
        <w:t>8 and 110</w:t>
      </w:r>
      <w:r w:rsidRPr="00A25A3C">
        <w:rPr>
          <w:rFonts w:ascii="Arial" w:hAnsi="Arial" w:cs="Arial"/>
        </w:rPr>
        <w:t xml:space="preserve"> add back the value of imputation credits to calculate the net post-tax benefits available to equity holders in a period.</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internal rate of return (IRR) of the net cash flows over the life of the assets is calculated in column E. The key IRR is the net post-tax returns to equity holders inclusive of imputation credits (r</w:t>
      </w:r>
      <w:r w:rsidRPr="00A25A3C">
        <w:rPr>
          <w:rStyle w:val="AERsubscript"/>
          <w:rFonts w:ascii="Arial" w:hAnsi="Arial" w:cs="Arial"/>
        </w:rPr>
        <w:t>e</w:t>
      </w:r>
      <w:r w:rsidRPr="00A25A3C">
        <w:rPr>
          <w:rFonts w:ascii="Arial" w:hAnsi="Arial" w:cs="Arial"/>
        </w:rPr>
        <w:t>). The determined r</w:t>
      </w:r>
      <w:r w:rsidRPr="00A25A3C">
        <w:rPr>
          <w:rStyle w:val="AERsubscript"/>
          <w:rFonts w:ascii="Arial" w:hAnsi="Arial" w:cs="Arial"/>
        </w:rPr>
        <w:t>e</w:t>
      </w:r>
      <w:r w:rsidRPr="00A25A3C">
        <w:rPr>
          <w:rFonts w:ascii="Arial" w:hAnsi="Arial" w:cs="Arial"/>
        </w:rPr>
        <w:t xml:space="preserve"> should be validated by the estimated cash flows (row</w:t>
      </w:r>
      <w:r w:rsidR="00A410E3" w:rsidRPr="00A25A3C">
        <w:rPr>
          <w:rFonts w:ascii="Arial" w:hAnsi="Arial" w:cs="Arial"/>
        </w:rPr>
        <w:t>s</w:t>
      </w:r>
      <w:r w:rsidRPr="00A25A3C">
        <w:rPr>
          <w:rFonts w:ascii="Arial" w:hAnsi="Arial" w:cs="Arial"/>
        </w:rPr>
        <w:t xml:space="preserve"> 7</w:t>
      </w:r>
      <w:r w:rsidR="00A410E3" w:rsidRPr="00A25A3C">
        <w:rPr>
          <w:rFonts w:ascii="Arial" w:hAnsi="Arial" w:cs="Arial"/>
        </w:rPr>
        <w:t>8 and 110</w:t>
      </w:r>
      <w:r w:rsidRPr="00A25A3C">
        <w:rPr>
          <w:rFonts w:ascii="Arial" w:hAnsi="Arial" w:cs="Arial"/>
        </w:rPr>
        <w:t xml:space="preserve">).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corresponding real cash flows and the respective IRRs are calculated in rows </w:t>
      </w:r>
      <w:r w:rsidR="00A410E3" w:rsidRPr="00A25A3C">
        <w:rPr>
          <w:rFonts w:ascii="Arial" w:hAnsi="Arial" w:cs="Arial"/>
        </w:rPr>
        <w:t>80 to 82 and 112 to 114.</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difference in the IRR applying to pre-tax and post-tax cash flows to equity allows the effective rate of tax (</w:t>
      </w:r>
      <w:proofErr w:type="spellStart"/>
      <w:r w:rsidRPr="00A25A3C">
        <w:rPr>
          <w:rFonts w:ascii="Arial" w:hAnsi="Arial" w:cs="Arial"/>
        </w:rPr>
        <w:t>T</w:t>
      </w:r>
      <w:r w:rsidRPr="00A25A3C">
        <w:rPr>
          <w:rStyle w:val="AERsubscript"/>
          <w:rFonts w:ascii="Arial" w:hAnsi="Arial" w:cs="Arial"/>
        </w:rPr>
        <w:t>e</w:t>
      </w:r>
      <w:proofErr w:type="spellEnd"/>
      <w:r w:rsidRPr="00A25A3C">
        <w:rPr>
          <w:rFonts w:ascii="Arial" w:hAnsi="Arial" w:cs="Arial"/>
        </w:rPr>
        <w:t xml:space="preserve"> = 1 – </w:t>
      </w:r>
      <w:proofErr w:type="spellStart"/>
      <w:r w:rsidRPr="00A25A3C">
        <w:rPr>
          <w:rFonts w:ascii="Arial" w:hAnsi="Arial" w:cs="Arial"/>
        </w:rPr>
        <w:t>r</w:t>
      </w:r>
      <w:r w:rsidRPr="00A25A3C">
        <w:rPr>
          <w:rStyle w:val="AERsubscript"/>
          <w:rFonts w:ascii="Arial" w:hAnsi="Arial" w:cs="Arial"/>
        </w:rPr>
        <w:t>post</w:t>
      </w:r>
      <w:proofErr w:type="spellEnd"/>
      <w:r w:rsidRPr="00A25A3C">
        <w:rPr>
          <w:rFonts w:ascii="Arial" w:hAnsi="Arial" w:cs="Arial"/>
        </w:rPr>
        <w:t>/</w:t>
      </w:r>
      <w:proofErr w:type="spellStart"/>
      <w:r w:rsidRPr="00A25A3C">
        <w:rPr>
          <w:rFonts w:ascii="Arial" w:hAnsi="Arial" w:cs="Arial"/>
        </w:rPr>
        <w:t>r</w:t>
      </w:r>
      <w:r w:rsidRPr="00A25A3C">
        <w:rPr>
          <w:rStyle w:val="AERsubscript"/>
          <w:rFonts w:ascii="Arial" w:hAnsi="Arial" w:cs="Arial"/>
        </w:rPr>
        <w:t>pre</w:t>
      </w:r>
      <w:proofErr w:type="spellEnd"/>
      <w:r w:rsidRPr="00A25A3C">
        <w:rPr>
          <w:rFonts w:ascii="Arial" w:hAnsi="Arial" w:cs="Arial"/>
        </w:rPr>
        <w:t>) to be calculated (cell</w:t>
      </w:r>
      <w:r w:rsidR="00865477" w:rsidRPr="00A25A3C">
        <w:rPr>
          <w:rFonts w:ascii="Arial" w:hAnsi="Arial" w:cs="Arial"/>
        </w:rPr>
        <w:t>s</w:t>
      </w:r>
      <w:r w:rsidRPr="00A25A3C">
        <w:rPr>
          <w:rFonts w:ascii="Arial" w:hAnsi="Arial" w:cs="Arial"/>
        </w:rPr>
        <w:t xml:space="preserve"> D</w:t>
      </w:r>
      <w:r w:rsidR="00865477" w:rsidRPr="00A25A3C">
        <w:rPr>
          <w:rFonts w:ascii="Arial" w:hAnsi="Arial" w:cs="Arial"/>
        </w:rPr>
        <w:t>76 and D 108</w:t>
      </w:r>
      <w:r w:rsidRPr="00A25A3C">
        <w:rPr>
          <w:rFonts w:ascii="Arial" w:hAnsi="Arial" w:cs="Arial"/>
        </w:rPr>
        <w:t>). This can then be used as an input to the formula-based WACC calculations.</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It is important to note that the formula-based WACC calculations will only provide an approximation of the actual WACC outcomes implied by the cash flow calculations. In practice, </w:t>
      </w:r>
      <w:proofErr w:type="spellStart"/>
      <w:r w:rsidRPr="00A25A3C">
        <w:rPr>
          <w:rFonts w:ascii="Arial" w:hAnsi="Arial" w:cs="Arial"/>
        </w:rPr>
        <w:t>T</w:t>
      </w:r>
      <w:r w:rsidRPr="00A25A3C">
        <w:rPr>
          <w:rStyle w:val="AERsubscript"/>
          <w:rFonts w:ascii="Arial" w:hAnsi="Arial" w:cs="Arial"/>
        </w:rPr>
        <w:t>e</w:t>
      </w:r>
      <w:proofErr w:type="spellEnd"/>
      <w:r w:rsidRPr="00A25A3C">
        <w:rPr>
          <w:rFonts w:ascii="Arial" w:hAnsi="Arial" w:cs="Arial"/>
        </w:rPr>
        <w:t xml:space="preserve"> is substantially below the corporate tax rate for assets that can be depreciated at a faster rate for tax purposes.</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lastRenderedPageBreak/>
        <w:t xml:space="preserve">Net cash flows necessary to service debt and the effective debt shield </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cost of debt is reduced by the value of the ‘debt shield’ (row</w:t>
      </w:r>
      <w:r w:rsidR="00A410E3" w:rsidRPr="00A25A3C">
        <w:rPr>
          <w:rFonts w:ascii="Arial" w:hAnsi="Arial" w:cs="Arial"/>
        </w:rPr>
        <w:t>s</w:t>
      </w:r>
      <w:r w:rsidRPr="00A25A3C">
        <w:rPr>
          <w:rFonts w:ascii="Arial" w:hAnsi="Arial" w:cs="Arial"/>
        </w:rPr>
        <w:t xml:space="preserve"> </w:t>
      </w:r>
      <w:r w:rsidR="00A410E3" w:rsidRPr="00A25A3C">
        <w:rPr>
          <w:rFonts w:ascii="Arial" w:hAnsi="Arial" w:cs="Arial"/>
        </w:rPr>
        <w:t>8</w:t>
      </w:r>
      <w:r w:rsidR="00B77EC9" w:rsidRPr="00A25A3C">
        <w:rPr>
          <w:rFonts w:ascii="Arial" w:hAnsi="Arial" w:cs="Arial"/>
        </w:rPr>
        <w:t>5</w:t>
      </w:r>
      <w:r w:rsidR="00A410E3" w:rsidRPr="00A25A3C">
        <w:rPr>
          <w:rFonts w:ascii="Arial" w:hAnsi="Arial" w:cs="Arial"/>
        </w:rPr>
        <w:t xml:space="preserve"> and 11</w:t>
      </w:r>
      <w:r w:rsidR="00B77EC9" w:rsidRPr="00A25A3C">
        <w:rPr>
          <w:rFonts w:ascii="Arial" w:hAnsi="Arial" w:cs="Arial"/>
        </w:rPr>
        <w:t>7</w:t>
      </w:r>
      <w:r w:rsidRPr="00A25A3C">
        <w:rPr>
          <w:rFonts w:ascii="Arial" w:hAnsi="Arial" w:cs="Arial"/>
        </w:rPr>
        <w:t>) in calculating tax liabilities. Where the interest expense in a year reduces taxable income by a corresponding amount, the net cost of debt for investors is reduced by the corporate tax rate.</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However, where the taxable income is so low that the full interest deduction is not required to reduce tax liabilities to zero, the value of the debt shield benefit is deferred to a later period. This effect is analysed in rows </w:t>
      </w:r>
      <w:r w:rsidR="00B77EC9" w:rsidRPr="00A25A3C">
        <w:rPr>
          <w:rFonts w:ascii="Arial" w:hAnsi="Arial" w:cs="Arial"/>
        </w:rPr>
        <w:t>85</w:t>
      </w:r>
      <w:r w:rsidRPr="00A25A3C">
        <w:rPr>
          <w:rFonts w:ascii="Arial" w:hAnsi="Arial" w:cs="Arial"/>
        </w:rPr>
        <w:t xml:space="preserve"> to </w:t>
      </w:r>
      <w:r w:rsidR="00B77EC9" w:rsidRPr="00A25A3C">
        <w:rPr>
          <w:rFonts w:ascii="Arial" w:hAnsi="Arial" w:cs="Arial"/>
        </w:rPr>
        <w:t>87</w:t>
      </w:r>
      <w:r w:rsidR="00A410E3" w:rsidRPr="00A25A3C">
        <w:rPr>
          <w:rFonts w:ascii="Arial" w:hAnsi="Arial" w:cs="Arial"/>
        </w:rPr>
        <w:t xml:space="preserve"> and </w:t>
      </w:r>
      <w:proofErr w:type="spellStart"/>
      <w:r w:rsidR="00A410E3" w:rsidRPr="00A25A3C">
        <w:rPr>
          <w:rFonts w:ascii="Arial" w:hAnsi="Arial" w:cs="Arial"/>
        </w:rPr>
        <w:t>rows</w:t>
      </w:r>
      <w:proofErr w:type="spellEnd"/>
      <w:r w:rsidR="00A410E3" w:rsidRPr="00A25A3C">
        <w:rPr>
          <w:rFonts w:ascii="Arial" w:hAnsi="Arial" w:cs="Arial"/>
        </w:rPr>
        <w:t xml:space="preserve"> 11</w:t>
      </w:r>
      <w:r w:rsidR="00B77EC9" w:rsidRPr="00A25A3C">
        <w:rPr>
          <w:rFonts w:ascii="Arial" w:hAnsi="Arial" w:cs="Arial"/>
        </w:rPr>
        <w:t>7</w:t>
      </w:r>
      <w:r w:rsidR="00A410E3" w:rsidRPr="00A25A3C">
        <w:rPr>
          <w:rFonts w:ascii="Arial" w:hAnsi="Arial" w:cs="Arial"/>
        </w:rPr>
        <w:t xml:space="preserve"> to 119</w:t>
      </w:r>
      <w:r w:rsidRPr="00A25A3C">
        <w:rPr>
          <w:rFonts w:ascii="Arial" w:hAnsi="Arial" w:cs="Arial"/>
        </w:rPr>
        <w:t>.  That part of interest expense used to defer tax is calculated in each year (row</w:t>
      </w:r>
      <w:r w:rsidR="00A20B16" w:rsidRPr="00A25A3C">
        <w:rPr>
          <w:rFonts w:ascii="Arial" w:hAnsi="Arial" w:cs="Arial"/>
        </w:rPr>
        <w:t>s 85 and 11</w:t>
      </w:r>
      <w:r w:rsidRPr="00A25A3C">
        <w:rPr>
          <w:rFonts w:ascii="Arial" w:hAnsi="Arial" w:cs="Arial"/>
        </w:rPr>
        <w:t xml:space="preserve">7) and the unused part carried forward is embodied in the tax loss carried forward calculation (row </w:t>
      </w:r>
      <w:r w:rsidR="00A20B16" w:rsidRPr="00A25A3C">
        <w:rPr>
          <w:rFonts w:ascii="Arial" w:hAnsi="Arial" w:cs="Arial"/>
        </w:rPr>
        <w:t>86 and 118</w:t>
      </w:r>
      <w:r w:rsidRPr="00A25A3C">
        <w:rPr>
          <w:rFonts w:ascii="Arial" w:hAnsi="Arial" w:cs="Arial"/>
        </w:rPr>
        <w:t>). This allows the net cost to the firm of paying debt holders, after taking account of the tax concession, to be calculated.</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IRR calculation (cell</w:t>
      </w:r>
      <w:r w:rsidR="00B77EC9" w:rsidRPr="00A25A3C">
        <w:rPr>
          <w:rFonts w:ascii="Arial" w:hAnsi="Arial" w:cs="Arial"/>
        </w:rPr>
        <w:t>s</w:t>
      </w:r>
      <w:r w:rsidRPr="00A25A3C">
        <w:rPr>
          <w:rFonts w:ascii="Arial" w:hAnsi="Arial" w:cs="Arial"/>
        </w:rPr>
        <w:t xml:space="preserve"> E</w:t>
      </w:r>
      <w:r w:rsidR="00B77EC9" w:rsidRPr="00A25A3C">
        <w:rPr>
          <w:rFonts w:ascii="Arial" w:hAnsi="Arial" w:cs="Arial"/>
        </w:rPr>
        <w:t>87 and E119</w:t>
      </w:r>
      <w:r w:rsidRPr="00A25A3C">
        <w:rPr>
          <w:rFonts w:ascii="Arial" w:hAnsi="Arial" w:cs="Arial"/>
        </w:rPr>
        <w:t>) represents the effective cost of debt, which is generally well below the nominal cost of debt based on the current interest rates.</w:t>
      </w:r>
    </w:p>
    <w:p w:rsidR="007749FC" w:rsidRPr="00A25A3C" w:rsidRDefault="007749FC" w:rsidP="007749FC">
      <w:pPr>
        <w:pStyle w:val="HeadingBoldBlue"/>
        <w:numPr>
          <w:ilvl w:val="0"/>
          <w:numId w:val="9"/>
        </w:numPr>
        <w:rPr>
          <w:rFonts w:ascii="Arial" w:hAnsi="Arial" w:cs="Arial"/>
        </w:rPr>
      </w:pPr>
      <w:r w:rsidRPr="00A25A3C">
        <w:rPr>
          <w:rFonts w:ascii="Arial" w:hAnsi="Arial" w:cs="Arial"/>
        </w:rPr>
        <w:t>Nominal cash flows to assets and calculation of WACC estimates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cash flows to the different sources of capital (debt and equity) have been presented above, but the cash flows to the assets as a whole are of interest since these aggregate numbers characterise the nature of the regulated business.</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IRRs from these cash flows are the WACC estimates expected from the application of the regulatory framework and have greater validity than any formula-based approximations. </w:t>
      </w:r>
      <w:r w:rsidR="00865477" w:rsidRPr="00A25A3C">
        <w:rPr>
          <w:rFonts w:ascii="Arial" w:hAnsi="Arial" w:cs="Arial"/>
        </w:rPr>
        <w:t xml:space="preserve">The cash flow calculations from the section excluding revenue adjustments </w:t>
      </w:r>
      <w:r w:rsidRPr="00A25A3C">
        <w:rPr>
          <w:rFonts w:ascii="Arial" w:hAnsi="Arial" w:cs="Arial"/>
        </w:rPr>
        <w:t xml:space="preserve">are </w:t>
      </w:r>
      <w:r w:rsidR="00865477" w:rsidRPr="00A25A3C">
        <w:rPr>
          <w:rFonts w:ascii="Arial" w:hAnsi="Arial" w:cs="Arial"/>
        </w:rPr>
        <w:t xml:space="preserve">then reported on </w:t>
      </w:r>
      <w:r w:rsidRPr="00A25A3C">
        <w:rPr>
          <w:rFonts w:ascii="Arial" w:hAnsi="Arial" w:cs="Arial"/>
        </w:rPr>
        <w:t xml:space="preserve">the </w:t>
      </w:r>
      <w:r w:rsidRPr="00A25A3C">
        <w:rPr>
          <w:rStyle w:val="AERtextbold"/>
          <w:rFonts w:ascii="Arial" w:hAnsi="Arial" w:cs="Arial"/>
        </w:rPr>
        <w:t>WACC</w:t>
      </w:r>
      <w:r w:rsidRPr="00A25A3C">
        <w:rPr>
          <w:rFonts w:ascii="Arial" w:hAnsi="Arial" w:cs="Arial"/>
        </w:rPr>
        <w:t xml:space="preserve"> sheet</w:t>
      </w:r>
      <w:r w:rsidR="00865477" w:rsidRPr="00A25A3C">
        <w:rPr>
          <w:rFonts w:ascii="Arial" w:hAnsi="Arial" w:cs="Arial"/>
        </w:rPr>
        <w:t xml:space="preserve">. These are the relevant IRRs for comparison against </w:t>
      </w:r>
      <w:r w:rsidRPr="00A25A3C">
        <w:rPr>
          <w:rFonts w:ascii="Arial" w:hAnsi="Arial" w:cs="Arial"/>
        </w:rPr>
        <w:t>the formula-based approximations</w:t>
      </w:r>
      <w:r w:rsidR="00865477" w:rsidRPr="00A25A3C">
        <w:rPr>
          <w:rFonts w:ascii="Arial" w:hAnsi="Arial" w:cs="Arial"/>
        </w:rPr>
        <w:t xml:space="preserve"> derived from the return on equity and return on debt inputs</w:t>
      </w:r>
      <w:r w:rsidRPr="00A25A3C">
        <w:rPr>
          <w:rFonts w:ascii="Arial" w:hAnsi="Arial" w:cs="Arial"/>
        </w:rPr>
        <w:t>. It should be noted that the WACC outcomes are calculated for reporting purposes only. They are not required for setting revenues since the modelling already provides the requisite revenue forecasts.</w:t>
      </w:r>
    </w:p>
    <w:p w:rsidR="00B77EC9" w:rsidRPr="00A25A3C" w:rsidRDefault="00B77EC9" w:rsidP="007749FC">
      <w:pPr>
        <w:pStyle w:val="HeadingBoldBlue"/>
        <w:numPr>
          <w:ilvl w:val="0"/>
          <w:numId w:val="9"/>
        </w:numPr>
        <w:rPr>
          <w:rFonts w:ascii="Arial" w:hAnsi="Arial" w:cs="Arial"/>
        </w:rPr>
      </w:pPr>
      <w:r w:rsidRPr="00A25A3C">
        <w:rPr>
          <w:rFonts w:ascii="Arial" w:hAnsi="Arial" w:cs="Arial"/>
        </w:rPr>
        <w:t>Return on equity analysis</w:t>
      </w:r>
    </w:p>
    <w:p w:rsidR="00B77EC9" w:rsidRPr="00A25A3C" w:rsidRDefault="00B77EC9" w:rsidP="00B77EC9">
      <w:pPr>
        <w:pStyle w:val="AERbodytext"/>
        <w:rPr>
          <w:rFonts w:ascii="Arial" w:hAnsi="Arial" w:cs="Arial"/>
        </w:rPr>
      </w:pPr>
      <w:r w:rsidRPr="00A25A3C">
        <w:rPr>
          <w:rFonts w:ascii="Arial" w:hAnsi="Arial" w:cs="Arial"/>
        </w:rPr>
        <w:t xml:space="preserve">The next two sections demonstrate that the desired return on equity is being achieved in each year of the regulatory control period, and across the regulatory control period as a whole. </w:t>
      </w:r>
      <w:r w:rsidR="00201013" w:rsidRPr="00A25A3C">
        <w:rPr>
          <w:rFonts w:ascii="Arial" w:hAnsi="Arial" w:cs="Arial"/>
        </w:rPr>
        <w:t>In accordance with this aim</w:t>
      </w:r>
      <w:r w:rsidRPr="00A25A3C">
        <w:rPr>
          <w:rFonts w:ascii="Arial" w:hAnsi="Arial" w:cs="Arial"/>
        </w:rPr>
        <w:t>, they use the cash flows after</w:t>
      </w:r>
      <w:r w:rsidR="00201013" w:rsidRPr="00A25A3C">
        <w:rPr>
          <w:rFonts w:ascii="Arial" w:hAnsi="Arial" w:cs="Arial"/>
        </w:rPr>
        <w:t xml:space="preserve"> removal of revenue adjustments. In essence they expand on the calculations presented in row 110.</w:t>
      </w:r>
    </w:p>
    <w:p w:rsidR="007749FC" w:rsidRPr="00A25A3C" w:rsidRDefault="00201013" w:rsidP="00201013">
      <w:pPr>
        <w:pStyle w:val="AERbodytext"/>
        <w:rPr>
          <w:rFonts w:ascii="Arial" w:hAnsi="Arial" w:cs="Arial"/>
        </w:rPr>
      </w:pPr>
      <w:r w:rsidRPr="00A25A3C">
        <w:rPr>
          <w:rFonts w:ascii="Arial" w:hAnsi="Arial" w:cs="Arial"/>
        </w:rPr>
        <w:t xml:space="preserve">The first section (rows </w:t>
      </w:r>
      <w:r w:rsidR="008B24D4" w:rsidRPr="00A25A3C">
        <w:rPr>
          <w:rFonts w:ascii="Arial" w:hAnsi="Arial" w:cs="Arial"/>
        </w:rPr>
        <w:t>130 to 139</w:t>
      </w:r>
      <w:r w:rsidRPr="00A25A3C">
        <w:rPr>
          <w:rFonts w:ascii="Arial" w:hAnsi="Arial" w:cs="Arial"/>
        </w:rPr>
        <w:t>) demonstrates the return to equity holders on an annual basis. The second section (rows 145 to 156) demonstrates the return to equity holders across the entire regulatory control period.</w:t>
      </w:r>
      <w:r w:rsidR="008B24D4" w:rsidRPr="00A25A3C">
        <w:rPr>
          <w:rFonts w:ascii="Arial" w:hAnsi="Arial" w:cs="Arial"/>
        </w:rPr>
        <w:t xml:space="preserve"> </w:t>
      </w:r>
    </w:p>
    <w:p w:rsidR="007749FC" w:rsidRPr="00436E97" w:rsidRDefault="00201013" w:rsidP="007749FC">
      <w:pPr>
        <w:pStyle w:val="HeadingBoldBlue"/>
        <w:numPr>
          <w:ilvl w:val="0"/>
          <w:numId w:val="9"/>
        </w:numPr>
        <w:rPr>
          <w:rFonts w:ascii="Arial" w:hAnsi="Arial" w:cs="Arial"/>
        </w:rPr>
      </w:pPr>
      <w:r w:rsidRPr="00436E97">
        <w:rPr>
          <w:rFonts w:ascii="Arial" w:hAnsi="Arial" w:cs="Arial"/>
        </w:rPr>
        <w:t>Summary for generation of graphs</w:t>
      </w:r>
    </w:p>
    <w:p w:rsidR="007749FC" w:rsidRPr="00436E97" w:rsidRDefault="007749FC" w:rsidP="007749FC">
      <w:pPr>
        <w:pStyle w:val="AERbodytext"/>
        <w:numPr>
          <w:ilvl w:val="0"/>
          <w:numId w:val="9"/>
        </w:numPr>
        <w:rPr>
          <w:rFonts w:ascii="Arial" w:hAnsi="Arial" w:cs="Arial"/>
        </w:rPr>
      </w:pPr>
      <w:r w:rsidRPr="00436E97">
        <w:rPr>
          <w:rFonts w:ascii="Arial" w:hAnsi="Arial" w:cs="Arial"/>
        </w:rPr>
        <w:t xml:space="preserve">Rows </w:t>
      </w:r>
      <w:r w:rsidR="00201013" w:rsidRPr="00436E97">
        <w:rPr>
          <w:rFonts w:ascii="Arial" w:hAnsi="Arial" w:cs="Arial"/>
        </w:rPr>
        <w:t>160 to 165</w:t>
      </w:r>
      <w:r w:rsidRPr="00436E97">
        <w:rPr>
          <w:rFonts w:ascii="Arial" w:hAnsi="Arial" w:cs="Arial"/>
        </w:rPr>
        <w:t xml:space="preserve"> provide </w:t>
      </w:r>
      <w:r w:rsidR="00201013" w:rsidRPr="00436E97">
        <w:rPr>
          <w:rFonts w:ascii="Arial" w:hAnsi="Arial" w:cs="Arial"/>
        </w:rPr>
        <w:t xml:space="preserve">a summary table presenting total </w:t>
      </w:r>
      <w:r w:rsidRPr="00436E97">
        <w:rPr>
          <w:rFonts w:ascii="Arial" w:hAnsi="Arial" w:cs="Arial"/>
        </w:rPr>
        <w:t xml:space="preserve">revenue components in accordance with the categories listed in the NER. These values are referred to in the </w:t>
      </w:r>
      <w:r w:rsidRPr="00436E97">
        <w:rPr>
          <w:rFonts w:ascii="Arial" w:hAnsi="Arial" w:cs="Arial"/>
          <w:b/>
        </w:rPr>
        <w:t>Chart 3–Building blocks</w:t>
      </w:r>
      <w:r w:rsidRPr="00436E97">
        <w:rPr>
          <w:rFonts w:ascii="Arial" w:hAnsi="Arial" w:cs="Arial"/>
        </w:rPr>
        <w:t xml:space="preserve"> sheet.</w:t>
      </w:r>
    </w:p>
    <w:p w:rsidR="007749FC" w:rsidRPr="00A25A3C" w:rsidRDefault="007749FC" w:rsidP="007749FC">
      <w:pPr>
        <w:pStyle w:val="Heading2"/>
        <w:rPr>
          <w:rFonts w:ascii="Arial" w:hAnsi="Arial" w:cs="Arial"/>
        </w:rPr>
      </w:pPr>
      <w:bookmarkStart w:id="46" w:name="_Toc410223779"/>
      <w:r w:rsidRPr="00A25A3C">
        <w:rPr>
          <w:rFonts w:ascii="Arial" w:hAnsi="Arial" w:cs="Arial"/>
        </w:rPr>
        <w:t>X factors sheet</w:t>
      </w:r>
      <w:bookmarkEnd w:id="46"/>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It is common for the revenue stream resulting from the building block approach to be lumpy over the regulatory control period (e.g. because of a lumpy capex profile). The lumpy revenues, designed to deliver expected cost recovery, is regarded as undesirable because it can lead to price shocks for end users. Accordingly, chapter 6A of the NER requires the AER to smooth the time profile of revenues by constraining it to follow a CPI–X path. </w:t>
      </w:r>
    </w:p>
    <w:p w:rsidR="007749FC" w:rsidRPr="00A25A3C" w:rsidRDefault="007749FC" w:rsidP="007749FC">
      <w:pPr>
        <w:pStyle w:val="AERbodytext"/>
        <w:numPr>
          <w:ilvl w:val="0"/>
          <w:numId w:val="9"/>
        </w:numPr>
        <w:rPr>
          <w:rFonts w:ascii="Arial" w:hAnsi="Arial" w:cs="Arial"/>
        </w:rPr>
      </w:pPr>
      <w:r w:rsidRPr="00A25A3C">
        <w:rPr>
          <w:rFonts w:ascii="Arial" w:hAnsi="Arial" w:cs="Arial"/>
        </w:rPr>
        <w:lastRenderedPageBreak/>
        <w:t>The X factor is simply a price adjustment mechanism, and deriving the X factors is usually called smoothing. It does not relate to actual productivity improvements in the operations of a TNSP. However, this does not mean that the AER ignores productivity improvements when assessing a TNSP’s revenue proposal. Instead, the AER includes any expectation of productivity gains directly into the forecasts of costs.</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Pr="00A25A3C">
        <w:rPr>
          <w:rStyle w:val="AERtextbold"/>
          <w:rFonts w:ascii="Arial" w:hAnsi="Arial" w:cs="Arial"/>
        </w:rPr>
        <w:t>X factors</w:t>
      </w:r>
      <w:r w:rsidRPr="00A25A3C">
        <w:rPr>
          <w:rFonts w:ascii="Arial" w:hAnsi="Arial" w:cs="Arial"/>
        </w:rPr>
        <w:t xml:space="preserve"> sheet applies the smoothing methodology to the unsmoothed nominal forecast revenues—that is, the ABBRR. The ABBRR (rows 35 and 39) is sourced from the </w:t>
      </w:r>
      <w:r w:rsidRPr="00A25A3C">
        <w:rPr>
          <w:rStyle w:val="AERtextbold"/>
          <w:rFonts w:ascii="Arial" w:hAnsi="Arial" w:cs="Arial"/>
        </w:rPr>
        <w:t>Analysis</w:t>
      </w:r>
      <w:r w:rsidRPr="00A25A3C">
        <w:rPr>
          <w:rFonts w:ascii="Arial" w:hAnsi="Arial" w:cs="Arial"/>
        </w:rPr>
        <w:t xml:space="preserve"> sheet. Under this approach, revenues are increased annually by CPI–X where the smoothing X factor is set so that the NPV of the smoothed revenue stream is equivalent to the NPV of the unsmoothed revenue stream. This allows some of the cost recovery to be diverted to adjacent years within the regulatory control period.</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A TNSP may nominate the X factor to apply for each year (inputs at row 47) of the next regulatory control period. These X factors may differ from year to year subject to satisfying the requirements of the NER. </w:t>
      </w:r>
    </w:p>
    <w:p w:rsidR="007749FC" w:rsidRPr="00A25A3C" w:rsidRDefault="007749FC" w:rsidP="007749FC">
      <w:pPr>
        <w:pStyle w:val="AERbodytext"/>
        <w:numPr>
          <w:ilvl w:val="0"/>
          <w:numId w:val="9"/>
        </w:numPr>
        <w:rPr>
          <w:rFonts w:ascii="Arial" w:hAnsi="Arial" w:cs="Arial"/>
        </w:rPr>
      </w:pPr>
      <w:r w:rsidRPr="00A25A3C">
        <w:rPr>
          <w:rFonts w:ascii="Arial" w:hAnsi="Arial" w:cs="Arial"/>
        </w:rPr>
        <w:t>Clause 6A.6.8 requires X factors to be set such that:</w:t>
      </w:r>
    </w:p>
    <w:p w:rsidR="007749FC" w:rsidRPr="00A25A3C" w:rsidRDefault="007749FC" w:rsidP="007749FC">
      <w:pPr>
        <w:pStyle w:val="AERnumberedlistfirststyle"/>
        <w:numPr>
          <w:ilvl w:val="1"/>
          <w:numId w:val="9"/>
        </w:numPr>
        <w:rPr>
          <w:rFonts w:ascii="Arial" w:hAnsi="Arial" w:cs="Arial"/>
        </w:rPr>
      </w:pPr>
      <w:r w:rsidRPr="00A25A3C">
        <w:rPr>
          <w:rFonts w:ascii="Arial" w:hAnsi="Arial" w:cs="Arial"/>
        </w:rPr>
        <w:t>The NPV of the expected smoothed MAR (cell R44) must equal the NPV of the expected ABBRR (cell R39).</w:t>
      </w:r>
    </w:p>
    <w:p w:rsidR="007749FC" w:rsidRPr="00A25A3C" w:rsidRDefault="007749FC" w:rsidP="007749FC">
      <w:pPr>
        <w:pStyle w:val="AERnumberedlistfirststyle"/>
        <w:numPr>
          <w:ilvl w:val="1"/>
          <w:numId w:val="9"/>
        </w:numPr>
        <w:rPr>
          <w:rFonts w:ascii="Arial" w:hAnsi="Arial" w:cs="Arial"/>
        </w:rPr>
      </w:pPr>
      <w:r w:rsidRPr="00A25A3C">
        <w:rPr>
          <w:rFonts w:ascii="Arial" w:hAnsi="Arial" w:cs="Arial"/>
        </w:rPr>
        <w:t>The expected smoothed MAR for the final year of the regulatory control period must be as close as reasonably possible to the ABBRR for that year.</w:t>
      </w:r>
      <w:r w:rsidRPr="00A25A3C">
        <w:rPr>
          <w:rStyle w:val="FootnoteReference"/>
          <w:rFonts w:ascii="Arial" w:hAnsi="Arial" w:cs="Arial"/>
        </w:rPr>
        <w:footnoteReference w:id="19"/>
      </w:r>
      <w:r w:rsidRPr="00A25A3C">
        <w:rPr>
          <w:rFonts w:ascii="Arial" w:hAnsi="Arial" w:cs="Arial"/>
        </w:rPr>
        <w:t xml:space="preserve"> </w:t>
      </w:r>
    </w:p>
    <w:p w:rsidR="007749FC" w:rsidRPr="00436E97" w:rsidRDefault="007749FC" w:rsidP="007749FC">
      <w:pPr>
        <w:pStyle w:val="AERbodytext"/>
        <w:numPr>
          <w:ilvl w:val="0"/>
          <w:numId w:val="9"/>
        </w:numPr>
        <w:rPr>
          <w:rFonts w:ascii="Arial" w:hAnsi="Arial" w:cs="Arial"/>
        </w:rPr>
      </w:pPr>
      <w:r w:rsidRPr="00436E97">
        <w:rPr>
          <w:rFonts w:ascii="Arial" w:hAnsi="Arial" w:cs="Arial"/>
        </w:rPr>
        <w:t>When smoothing across the regulatory control period, it is necessary to iteratively update equity raising costs as well. This is because the estimate of equity raising costs is dependent on the smoothed revenue (MAR) profile, but in turn the MAR is dependent on the estimate of equity raising costs. Hence, there are a number of macros built into the PTRM which jointly smooth revenues while iteratively updating equity raising costs. It is possible to stop the automatic updating of equity raising costs using the drop down menu in cell G16.</w:t>
      </w:r>
    </w:p>
    <w:p w:rsidR="007749FC" w:rsidRPr="00436E97" w:rsidRDefault="007749FC" w:rsidP="007749FC">
      <w:pPr>
        <w:pStyle w:val="AERbodytext"/>
        <w:numPr>
          <w:ilvl w:val="0"/>
          <w:numId w:val="9"/>
        </w:numPr>
        <w:rPr>
          <w:rFonts w:ascii="Arial" w:hAnsi="Arial" w:cs="Arial"/>
        </w:rPr>
      </w:pPr>
      <w:r w:rsidRPr="00436E97">
        <w:rPr>
          <w:rFonts w:ascii="Arial" w:hAnsi="Arial" w:cs="Arial"/>
        </w:rPr>
        <w:t>The first macro has been set up to automatically calculate the default smoothing path. First, this entails setting the smoothed MAR for the first year equal to the ABBRR for that year (this will show as a change to the X factor in year 1, sometimes referred to as P</w:t>
      </w:r>
      <w:r w:rsidRPr="00436E97">
        <w:rPr>
          <w:rFonts w:ascii="Arial" w:hAnsi="Arial" w:cs="Arial"/>
          <w:vertAlign w:val="subscript"/>
        </w:rPr>
        <w:t>0</w:t>
      </w:r>
      <w:r w:rsidRPr="00436E97">
        <w:rPr>
          <w:rFonts w:ascii="Arial" w:hAnsi="Arial" w:cs="Arial"/>
        </w:rPr>
        <w:t xml:space="preserve">). Next, the macro calculates the single (constant) X factor which can be applied to all remaining years of the next regulatory control period so that the NPV of smoothed (MAR) and unsmoothed (ABBRR) revenue is the same. To implement this macro, click on the button labelled </w:t>
      </w:r>
      <w:r w:rsidRPr="00316E7B">
        <w:rPr>
          <w:rFonts w:ascii="Arial" w:hAnsi="Arial" w:cs="Arial"/>
        </w:rPr>
        <w:t>'Apply default smoothing'</w:t>
      </w:r>
      <w:r w:rsidRPr="00436E97">
        <w:rPr>
          <w:rFonts w:ascii="Arial" w:hAnsi="Arial" w:cs="Arial"/>
        </w:rPr>
        <w:t>. After the calculation is completed, the required X factors will show in row 47.</w:t>
      </w:r>
    </w:p>
    <w:p w:rsidR="007749FC" w:rsidRPr="00436E97" w:rsidRDefault="007749FC" w:rsidP="007749FC">
      <w:pPr>
        <w:pStyle w:val="AERbodytext"/>
        <w:numPr>
          <w:ilvl w:val="0"/>
          <w:numId w:val="9"/>
        </w:numPr>
        <w:rPr>
          <w:rFonts w:ascii="Arial" w:hAnsi="Arial" w:cs="Arial"/>
        </w:rPr>
      </w:pPr>
      <w:r w:rsidRPr="00436E97">
        <w:rPr>
          <w:rFonts w:ascii="Arial" w:hAnsi="Arial" w:cs="Arial"/>
        </w:rPr>
        <w:t>Alternatively, it might be necessary (including during the annual debt update) to adjust the X factor for a specific year only. The buttons at rows 49 to 50 can be used to ensure that the NPVs of the smoothed and unsmoothed revenue streams are equal—that is, the difference between the NPVs is zero (cell R49). These buttons will iteratively update equity raising costs while smoothing (unless this default option is turned off, as noted above).</w:t>
      </w:r>
      <w:r w:rsidRPr="00A25A3C">
        <w:rPr>
          <w:rFonts w:ascii="Arial" w:hAnsi="Arial" w:cs="Arial"/>
        </w:rPr>
        <w:t xml:space="preserve">The nominal smoothed MAR, based on either employing the default smoothing that uses a single constant X factor or nominated set of X factors, is displayed </w:t>
      </w:r>
      <w:r w:rsidRPr="00A25A3C">
        <w:rPr>
          <w:rFonts w:ascii="Arial" w:hAnsi="Arial" w:cs="Arial"/>
        </w:rPr>
        <w:lastRenderedPageBreak/>
        <w:t>in row 4</w:t>
      </w:r>
      <w:r w:rsidRPr="00436E97">
        <w:rPr>
          <w:rFonts w:ascii="Arial" w:hAnsi="Arial" w:cs="Arial"/>
        </w:rPr>
        <w:t>4. The difference between the final year ABBRR and MAR is presented in cells R41 (nominal dollars) and R42 (percentage of unsmoothed revenue).</w:t>
      </w:r>
    </w:p>
    <w:p w:rsidR="007749FC" w:rsidRPr="00436E97" w:rsidRDefault="007749FC" w:rsidP="007749FC">
      <w:pPr>
        <w:pStyle w:val="AERbodytext"/>
        <w:numPr>
          <w:ilvl w:val="0"/>
          <w:numId w:val="9"/>
        </w:numPr>
        <w:rPr>
          <w:rFonts w:ascii="Arial" w:hAnsi="Arial" w:cs="Arial"/>
        </w:rPr>
      </w:pPr>
      <w:r w:rsidRPr="00436E97">
        <w:rPr>
          <w:rFonts w:ascii="Arial" w:hAnsi="Arial" w:cs="Arial"/>
        </w:rPr>
        <w:t>All NPV calculations in this sheet now reflect the time varying WACC (row 7) which arises as a result of the return on debt (potentially) varying each year. The cumulative discount rate is calculated in row 8. When the return on debt is updated within the regulatory control period, these discount rates will change as a result, and so too will the NPV of the ABBRR and MAR.</w:t>
      </w:r>
      <w:r w:rsidRPr="00436E97">
        <w:rPr>
          <w:rFonts w:ascii="Arial" w:hAnsi="Arial" w:cs="Arial"/>
          <w:vertAlign w:val="superscript"/>
        </w:rPr>
        <w:footnoteReference w:id="20"/>
      </w:r>
    </w:p>
    <w:p w:rsidR="007749FC" w:rsidRPr="00436E97" w:rsidRDefault="007749FC" w:rsidP="007749FC">
      <w:pPr>
        <w:pStyle w:val="AERbodytext"/>
        <w:numPr>
          <w:ilvl w:val="0"/>
          <w:numId w:val="9"/>
        </w:numPr>
        <w:rPr>
          <w:rFonts w:ascii="Arial" w:hAnsi="Arial" w:cs="Arial"/>
        </w:rPr>
      </w:pPr>
      <w:r w:rsidRPr="00436E97">
        <w:rPr>
          <w:rFonts w:ascii="Arial" w:hAnsi="Arial" w:cs="Arial"/>
        </w:rPr>
        <w:t xml:space="preserve">The process for annually updating the return on debt is described further in chapter 3. There is a drop down menu in cell F21 which allows the user to input the year of the annual return on debt update. This drop down menu will not affect underlying calculations, but instead drives the presentation of content-sensitive help in this sheet (and in the </w:t>
      </w:r>
      <w:r w:rsidR="00607148" w:rsidRPr="00BF1095">
        <w:rPr>
          <w:rFonts w:ascii="Arial" w:hAnsi="Arial" w:cs="Arial"/>
          <w:b/>
        </w:rPr>
        <w:t xml:space="preserve">PTRM </w:t>
      </w:r>
      <w:r w:rsidR="00607148" w:rsidRPr="00436E97">
        <w:rPr>
          <w:rFonts w:ascii="Arial" w:hAnsi="Arial" w:cs="Arial"/>
          <w:b/>
        </w:rPr>
        <w:t>i</w:t>
      </w:r>
      <w:r w:rsidRPr="00436E97">
        <w:rPr>
          <w:rFonts w:ascii="Arial" w:hAnsi="Arial" w:cs="Arial"/>
          <w:b/>
        </w:rPr>
        <w:t>nput</w:t>
      </w:r>
      <w:r w:rsidRPr="00436E97">
        <w:rPr>
          <w:rFonts w:ascii="Arial" w:hAnsi="Arial" w:cs="Arial"/>
        </w:rPr>
        <w:t xml:space="preserve"> sheet). Rows 23 to 26, and row 51, will display caution notes/guidance based on logical tests of the PTRM.</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_Ref398112160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11</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X factors</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47" w:name="_Ref398112160"/>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11</w:t>
      </w:r>
      <w:r w:rsidRPr="00A25A3C">
        <w:rPr>
          <w:rFonts w:ascii="Arial" w:hAnsi="Arial" w:cs="Arial"/>
        </w:rPr>
        <w:fldChar w:fldCharType="end"/>
      </w:r>
      <w:bookmarkEnd w:id="47"/>
      <w:r w:rsidRPr="00A25A3C">
        <w:rPr>
          <w:rFonts w:ascii="Arial" w:hAnsi="Arial" w:cs="Arial"/>
        </w:rPr>
        <w:tab/>
        <w:t>X factors sheet</w:t>
      </w:r>
    </w:p>
    <w:p w:rsidR="007749FC" w:rsidRPr="00A25A3C" w:rsidRDefault="00E41949" w:rsidP="007749FC">
      <w:pPr>
        <w:pStyle w:val="AERbodytext"/>
        <w:numPr>
          <w:ilvl w:val="0"/>
          <w:numId w:val="9"/>
        </w:numPr>
        <w:rPr>
          <w:rFonts w:ascii="Arial" w:hAnsi="Arial" w:cs="Arial"/>
        </w:rPr>
      </w:pPr>
      <w:r w:rsidRPr="00A25A3C">
        <w:rPr>
          <w:noProof/>
          <w:lang w:eastAsia="en-AU"/>
        </w:rPr>
        <w:drawing>
          <wp:inline distT="0" distB="0" distL="0" distR="0" wp14:anchorId="63FD7705" wp14:editId="0DCBF88D">
            <wp:extent cx="5731510" cy="390612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906122"/>
                    </a:xfrm>
                    <a:prstGeom prst="rect">
                      <a:avLst/>
                    </a:prstGeom>
                  </pic:spPr>
                </pic:pic>
              </a:graphicData>
            </a:graphic>
          </wp:inline>
        </w:drawing>
      </w:r>
    </w:p>
    <w:p w:rsidR="007749FC" w:rsidRPr="00A25A3C" w:rsidRDefault="007749FC" w:rsidP="007749FC">
      <w:pPr>
        <w:pStyle w:val="Heading2"/>
        <w:rPr>
          <w:rFonts w:ascii="Arial" w:hAnsi="Arial" w:cs="Arial"/>
        </w:rPr>
      </w:pPr>
      <w:bookmarkStart w:id="48" w:name="_Toc410223780"/>
      <w:r w:rsidRPr="00A25A3C">
        <w:rPr>
          <w:rFonts w:ascii="Arial" w:hAnsi="Arial" w:cs="Arial"/>
        </w:rPr>
        <w:t>Revenue summary sheet</w:t>
      </w:r>
      <w:bookmarkEnd w:id="48"/>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w:t>
      </w:r>
      <w:r w:rsidRPr="00A25A3C">
        <w:rPr>
          <w:rStyle w:val="AERtextbold"/>
          <w:rFonts w:ascii="Arial" w:hAnsi="Arial" w:cs="Arial"/>
        </w:rPr>
        <w:t>Revenue summary</w:t>
      </w:r>
      <w:r w:rsidRPr="00A25A3C">
        <w:rPr>
          <w:rFonts w:ascii="Arial" w:hAnsi="Arial" w:cs="Arial"/>
        </w:rPr>
        <w:t xml:space="preserve"> sheet outlines the various building blocks, the unsmoothed (ABBRR) and smoothed (MAR) nominal forecast revenues for the next regulatory control period. The building blocks and unsmoothed ABBRR are summarised in rows 7 to 12. The smoothed MAR and the X factors for the next regulatory control period are summarised in rows 16 and 17 respectively. The equivalent </w:t>
      </w:r>
      <w:r w:rsidRPr="00A25A3C">
        <w:rPr>
          <w:rFonts w:ascii="Arial" w:hAnsi="Arial" w:cs="Arial"/>
        </w:rPr>
        <w:lastRenderedPageBreak/>
        <w:t xml:space="preserve">building blocks, unsmoothed and smoothed revenues, and X factors for the next regulatory control period in real dollar terms (start of year one) are also summarised in rows 21 to 31. All this information is sourced from the </w:t>
      </w:r>
      <w:r w:rsidRPr="00A25A3C">
        <w:rPr>
          <w:rStyle w:val="AERtextbold"/>
          <w:rFonts w:ascii="Arial" w:hAnsi="Arial" w:cs="Arial"/>
        </w:rPr>
        <w:t>Analysis</w:t>
      </w:r>
      <w:r w:rsidRPr="00A25A3C">
        <w:rPr>
          <w:rFonts w:ascii="Arial" w:hAnsi="Arial" w:cs="Arial"/>
        </w:rPr>
        <w:t xml:space="preserve"> and </w:t>
      </w:r>
      <w:r w:rsidRPr="00A25A3C">
        <w:rPr>
          <w:rStyle w:val="AERtextbold"/>
          <w:rFonts w:ascii="Arial" w:hAnsi="Arial" w:cs="Arial"/>
        </w:rPr>
        <w:t xml:space="preserve">X factors </w:t>
      </w:r>
      <w:r w:rsidRPr="00A25A3C">
        <w:rPr>
          <w:rFonts w:ascii="Arial" w:hAnsi="Arial" w:cs="Arial"/>
        </w:rPr>
        <w:t xml:space="preserve">sheets. </w:t>
      </w:r>
    </w:p>
    <w:p w:rsidR="007749FC" w:rsidRPr="00436E97" w:rsidRDefault="007749FC" w:rsidP="007749FC">
      <w:pPr>
        <w:pStyle w:val="AERbodytext"/>
        <w:numPr>
          <w:ilvl w:val="0"/>
          <w:numId w:val="9"/>
        </w:numPr>
        <w:rPr>
          <w:rFonts w:ascii="Arial" w:hAnsi="Arial" w:cs="Arial"/>
        </w:rPr>
      </w:pPr>
      <w:r w:rsidRPr="00436E97">
        <w:rPr>
          <w:rFonts w:ascii="Arial" w:hAnsi="Arial" w:cs="Arial"/>
        </w:rPr>
        <w:t xml:space="preserve">The </w:t>
      </w:r>
      <w:r w:rsidR="00DD42D8">
        <w:rPr>
          <w:rFonts w:ascii="Arial" w:hAnsi="Arial" w:cs="Arial"/>
        </w:rPr>
        <w:t>p</w:t>
      </w:r>
      <w:r w:rsidRPr="00326030">
        <w:rPr>
          <w:rFonts w:ascii="Arial" w:hAnsi="Arial" w:cs="Arial"/>
        </w:rPr>
        <w:t xml:space="preserve">rice </w:t>
      </w:r>
      <w:r w:rsidR="00326030" w:rsidRPr="00326030">
        <w:rPr>
          <w:rFonts w:ascii="Arial" w:hAnsi="Arial" w:cs="Arial"/>
        </w:rPr>
        <w:t>path a</w:t>
      </w:r>
      <w:r w:rsidRPr="00326030">
        <w:rPr>
          <w:rFonts w:ascii="Arial" w:hAnsi="Arial" w:cs="Arial"/>
        </w:rPr>
        <w:t>nalysis</w:t>
      </w:r>
      <w:r w:rsidRPr="00436E97">
        <w:rPr>
          <w:rFonts w:ascii="Arial" w:hAnsi="Arial" w:cs="Arial"/>
        </w:rPr>
        <w:t xml:space="preserve"> section presents summary values for the forecast price path, derived from consideration of both forecast energy demand and revenue. These are broad indicators provided for illustrative purposes only.</w:t>
      </w:r>
      <w:r w:rsidRPr="00436E97">
        <w:rPr>
          <w:rFonts w:ascii="Arial" w:hAnsi="Arial" w:cs="Arial"/>
          <w:vertAlign w:val="superscript"/>
        </w:rPr>
        <w:footnoteReference w:id="21"/>
      </w:r>
      <w:r w:rsidRPr="00436E97">
        <w:rPr>
          <w:rFonts w:ascii="Arial" w:hAnsi="Arial" w:cs="Arial"/>
        </w:rPr>
        <w:t xml:space="preserve"> Rows 38 to 43 present values in nominal dollar terms, and rows 50 to 55 present equivalent values in real dollar terms (start of year one). In each section, the forecast energy consumption is presented (sourced from the </w:t>
      </w:r>
      <w:r w:rsidR="001A3FE5" w:rsidRPr="001A3FE5">
        <w:rPr>
          <w:rFonts w:ascii="Arial" w:hAnsi="Arial" w:cs="Arial"/>
          <w:b/>
        </w:rPr>
        <w:t>PTRM i</w:t>
      </w:r>
      <w:r w:rsidRPr="001A3FE5">
        <w:rPr>
          <w:rFonts w:ascii="Arial" w:hAnsi="Arial" w:cs="Arial"/>
          <w:b/>
        </w:rPr>
        <w:t>nput</w:t>
      </w:r>
      <w:r w:rsidRPr="00436E97">
        <w:rPr>
          <w:rFonts w:ascii="Arial" w:hAnsi="Arial" w:cs="Arial"/>
        </w:rPr>
        <w:t xml:space="preserve"> sheet), together with the MAR (in nominal or real dollar terms, respectively). Total revenue divided by forecast energy demand provides the indicative price path. There are also calculations showing the percentage change year-on-year (again, in nominal or real dollar terms) and the average yearly change across the regulatory control period.</w:t>
      </w:r>
      <w:r w:rsidRPr="00436E97">
        <w:rPr>
          <w:rFonts w:ascii="Arial" w:hAnsi="Arial" w:cs="Arial"/>
          <w:vertAlign w:val="superscript"/>
        </w:rPr>
        <w:footnoteReference w:id="22"/>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_Ref398118999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12</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Revenue summary</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49" w:name="_Ref398118999"/>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proofErr w:type="gramStart"/>
      <w:r w:rsidR="00631E49" w:rsidRPr="00A25A3C">
        <w:rPr>
          <w:rFonts w:ascii="Arial" w:hAnsi="Arial" w:cs="Arial"/>
          <w:noProof/>
        </w:rPr>
        <w:t>12</w:t>
      </w:r>
      <w:r w:rsidRPr="00A25A3C">
        <w:rPr>
          <w:rFonts w:ascii="Arial" w:hAnsi="Arial" w:cs="Arial"/>
        </w:rPr>
        <w:fldChar w:fldCharType="end"/>
      </w:r>
      <w:bookmarkEnd w:id="49"/>
      <w:r w:rsidRPr="00A25A3C">
        <w:rPr>
          <w:rFonts w:ascii="Arial" w:hAnsi="Arial" w:cs="Arial"/>
        </w:rPr>
        <w:tab/>
        <w:t>Revenue summary sheet</w:t>
      </w:r>
      <w:proofErr w:type="gramEnd"/>
    </w:p>
    <w:p w:rsidR="007749FC" w:rsidRPr="00A25A3C" w:rsidRDefault="00E41949" w:rsidP="007749FC">
      <w:pPr>
        <w:pStyle w:val="AERbodytext"/>
        <w:numPr>
          <w:ilvl w:val="0"/>
          <w:numId w:val="9"/>
        </w:numPr>
        <w:rPr>
          <w:rFonts w:ascii="Arial" w:hAnsi="Arial" w:cs="Arial"/>
        </w:rPr>
      </w:pPr>
      <w:r w:rsidRPr="00A25A3C">
        <w:rPr>
          <w:noProof/>
          <w:lang w:eastAsia="en-AU"/>
        </w:rPr>
        <w:drawing>
          <wp:inline distT="0" distB="0" distL="0" distR="0" wp14:anchorId="650AE4C1" wp14:editId="6DF6AE68">
            <wp:extent cx="5731510" cy="387611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876117"/>
                    </a:xfrm>
                    <a:prstGeom prst="rect">
                      <a:avLst/>
                    </a:prstGeom>
                  </pic:spPr>
                </pic:pic>
              </a:graphicData>
            </a:graphic>
          </wp:inline>
        </w:drawing>
      </w:r>
    </w:p>
    <w:p w:rsidR="007749FC" w:rsidRPr="00A25A3C" w:rsidRDefault="00C84F02" w:rsidP="007749FC">
      <w:pPr>
        <w:pStyle w:val="Heading2"/>
        <w:rPr>
          <w:rFonts w:ascii="Arial" w:hAnsi="Arial" w:cs="Arial"/>
        </w:rPr>
      </w:pPr>
      <w:bookmarkStart w:id="50" w:name="_Toc410223781"/>
      <w:r w:rsidRPr="00A25A3C">
        <w:rPr>
          <w:rFonts w:ascii="Arial" w:hAnsi="Arial" w:cs="Arial"/>
        </w:rPr>
        <w:t xml:space="preserve">Equity raising costs </w:t>
      </w:r>
      <w:r w:rsidR="007749FC" w:rsidRPr="00A25A3C">
        <w:rPr>
          <w:rFonts w:ascii="Arial" w:hAnsi="Arial" w:cs="Arial"/>
        </w:rPr>
        <w:t>sheet</w:t>
      </w:r>
      <w:bookmarkEnd w:id="50"/>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In raising new equity capital a business may incur costs such as legal fees, brokerage fees, marketing costs and other transaction costs. These are upfront expenses, with little or no ongoing costs over the </w:t>
      </w:r>
      <w:r w:rsidRPr="00A25A3C">
        <w:rPr>
          <w:rFonts w:ascii="Arial" w:hAnsi="Arial" w:cs="Arial"/>
        </w:rPr>
        <w:lastRenderedPageBreak/>
        <w:t>life of the equity. While the majority of the equity a firm will  raise is typically obtained at its inception, there may be points in the life of a firm—for example, during significant capital expansions—where it chooses additional external equity funding (instead of debt or internal funding) as a source of equity capital, and accordingly may incur equity raising costs.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benchmark cash flow analysis applied by the AER to determine the extent to which equity raising associated with capex is required has been discussed in detail in previous transmission determinations.</w:t>
      </w:r>
      <w:r w:rsidRPr="00A25A3C">
        <w:rPr>
          <w:rStyle w:val="FootnoteReference"/>
          <w:rFonts w:ascii="Arial" w:hAnsi="Arial" w:cs="Arial"/>
        </w:rPr>
        <w:footnoteReference w:id="23"/>
      </w:r>
      <w:r w:rsidRPr="00A25A3C">
        <w:rPr>
          <w:rFonts w:ascii="Arial" w:hAnsi="Arial" w:cs="Arial"/>
        </w:rPr>
        <w:t xml:space="preserve"> Broadly, the analysis uses the PTRM cash flows to calculate the amount of retained earnings (taking account of cash flows such as revenue, </w:t>
      </w:r>
      <w:proofErr w:type="spellStart"/>
      <w:r w:rsidRPr="00A25A3C">
        <w:rPr>
          <w:rFonts w:ascii="Arial" w:hAnsi="Arial" w:cs="Arial"/>
        </w:rPr>
        <w:t>opex</w:t>
      </w:r>
      <w:proofErr w:type="spellEnd"/>
      <w:r w:rsidRPr="00A25A3C">
        <w:rPr>
          <w:rFonts w:ascii="Arial" w:hAnsi="Arial" w:cs="Arial"/>
        </w:rPr>
        <w:t xml:space="preserve">, interest payment, tax payment dividends, and dividend reinvestment plans). The amount of retained earnings is deducted from the equity component of forecast capex (while maintaining the benchmark level of gearing) to determine any external equity requirement. The </w:t>
      </w:r>
      <w:r w:rsidRPr="00A25A3C">
        <w:rPr>
          <w:rStyle w:val="AERtextbold"/>
          <w:rFonts w:ascii="Arial" w:hAnsi="Arial" w:cs="Arial"/>
        </w:rPr>
        <w:t>Equity raising cos</w:t>
      </w:r>
      <w:r w:rsidR="00C84F02" w:rsidRPr="00A25A3C">
        <w:rPr>
          <w:rStyle w:val="AERtextbold"/>
          <w:rFonts w:ascii="Arial" w:hAnsi="Arial" w:cs="Arial"/>
        </w:rPr>
        <w:t>ts</w:t>
      </w:r>
      <w:r w:rsidRPr="00A25A3C">
        <w:rPr>
          <w:rFonts w:ascii="Arial" w:hAnsi="Arial" w:cs="Arial"/>
        </w:rPr>
        <w:t xml:space="preserve"> sheet sets out the benchmark cash flow analysis.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opening RAB and capex values (rows 7 and 8) are sourced from the </w:t>
      </w:r>
      <w:r w:rsidRPr="00A25A3C">
        <w:rPr>
          <w:rStyle w:val="AERtextbold"/>
          <w:rFonts w:ascii="Arial" w:hAnsi="Arial" w:cs="Arial"/>
        </w:rPr>
        <w:t>Assets</w:t>
      </w:r>
      <w:r w:rsidRPr="00A25A3C">
        <w:rPr>
          <w:rFonts w:ascii="Arial" w:hAnsi="Arial" w:cs="Arial"/>
        </w:rPr>
        <w:t xml:space="preserve"> sheet. Based on this information the capex rate is calculated and displayed in row 9. The capex rate indicates the proportion of the capex relative to the opening RAB but does not affect the calculation of equity raising costs by itself.</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The tax payable values (row 13) are sourced from the </w:t>
      </w:r>
      <w:r w:rsidRPr="00A25A3C">
        <w:rPr>
          <w:rStyle w:val="AERtextbold"/>
          <w:rFonts w:ascii="Arial" w:hAnsi="Arial" w:cs="Arial"/>
        </w:rPr>
        <w:t xml:space="preserve">Analysis </w:t>
      </w:r>
      <w:r w:rsidRPr="00A25A3C">
        <w:rPr>
          <w:rFonts w:ascii="Arial" w:hAnsi="Arial" w:cs="Arial"/>
        </w:rPr>
        <w:t xml:space="preserve">sheet and are used in combination with parameters (such as the corporate tax rate and imputation credit payout ratio) from the </w:t>
      </w:r>
      <w:r w:rsidRPr="00A25A3C">
        <w:rPr>
          <w:rStyle w:val="AERtextbold"/>
          <w:rFonts w:ascii="Arial" w:hAnsi="Arial" w:cs="Arial"/>
        </w:rPr>
        <w:t>Inputs</w:t>
      </w:r>
      <w:r w:rsidRPr="00A25A3C">
        <w:rPr>
          <w:rFonts w:ascii="Arial" w:hAnsi="Arial" w:cs="Arial"/>
        </w:rPr>
        <w:t xml:space="preserve"> sheet to calculate the dividends payable (row 14). A proportion of dividends that are paid out to investors are assumed to be reinvested in the business. The amount of dividends reinvested by investors is displayed at row 16 and is used in the benchmark cash flow analysis to determine retained cash flows.</w:t>
      </w:r>
    </w:p>
    <w:p w:rsidR="007749FC" w:rsidRPr="00A25A3C" w:rsidRDefault="007749FC" w:rsidP="007749FC">
      <w:pPr>
        <w:pStyle w:val="AERbodytext"/>
        <w:numPr>
          <w:ilvl w:val="0"/>
          <w:numId w:val="9"/>
        </w:numPr>
        <w:rPr>
          <w:rFonts w:ascii="Arial" w:hAnsi="Arial" w:cs="Arial"/>
        </w:rPr>
      </w:pPr>
      <w:r w:rsidRPr="00A25A3C">
        <w:rPr>
          <w:rFonts w:ascii="Arial" w:hAnsi="Arial" w:cs="Arial"/>
        </w:rPr>
        <w:t>The benchmark cash flow analysis set out in rows 19 to 34 are undertaken in nominal dollar terms and is used to determine the equity raising costs as follows:</w:t>
      </w:r>
    </w:p>
    <w:p w:rsidR="007749FC" w:rsidRPr="00A25A3C" w:rsidRDefault="007749FC" w:rsidP="0044056F">
      <w:pPr>
        <w:pStyle w:val="AERbulletlistfirststyle"/>
        <w:tabs>
          <w:tab w:val="clear" w:pos="357"/>
          <w:tab w:val="left" w:pos="426"/>
        </w:tabs>
        <w:ind w:left="426" w:hanging="426"/>
        <w:rPr>
          <w:rFonts w:ascii="Arial" w:hAnsi="Arial" w:cs="Arial"/>
        </w:rPr>
      </w:pPr>
      <w:r w:rsidRPr="00A25A3C">
        <w:rPr>
          <w:rFonts w:ascii="Arial" w:hAnsi="Arial" w:cs="Arial"/>
        </w:rPr>
        <w:t xml:space="preserve">The revenues (row 19) sourced from the </w:t>
      </w:r>
      <w:r w:rsidRPr="00A25A3C">
        <w:rPr>
          <w:rStyle w:val="AERtextbold"/>
          <w:rFonts w:ascii="Arial" w:hAnsi="Arial" w:cs="Arial"/>
        </w:rPr>
        <w:t>X factors</w:t>
      </w:r>
      <w:r w:rsidRPr="00A25A3C">
        <w:rPr>
          <w:rFonts w:ascii="Arial" w:hAnsi="Arial" w:cs="Arial"/>
        </w:rPr>
        <w:t xml:space="preserve"> sheet less expenses such as </w:t>
      </w:r>
      <w:proofErr w:type="spellStart"/>
      <w:r w:rsidRPr="00A25A3C">
        <w:rPr>
          <w:rFonts w:ascii="Arial" w:hAnsi="Arial" w:cs="Arial"/>
        </w:rPr>
        <w:t>opex</w:t>
      </w:r>
      <w:proofErr w:type="spellEnd"/>
      <w:r w:rsidRPr="00A25A3C">
        <w:rPr>
          <w:rFonts w:ascii="Arial" w:hAnsi="Arial" w:cs="Arial"/>
        </w:rPr>
        <w:t xml:space="preserve">, interest payments, tax payable and other revenue adjustments (rows 20 to 23) sourced from the </w:t>
      </w:r>
      <w:r w:rsidRPr="00A25A3C">
        <w:rPr>
          <w:rStyle w:val="AERtextbold"/>
          <w:rFonts w:ascii="Arial" w:hAnsi="Arial" w:cs="Arial"/>
        </w:rPr>
        <w:t>Analysis</w:t>
      </w:r>
      <w:r w:rsidRPr="00A25A3C">
        <w:rPr>
          <w:rFonts w:ascii="Arial" w:hAnsi="Arial" w:cs="Arial"/>
        </w:rPr>
        <w:t xml:space="preserve"> sheet provides the internal cash flow (row 24).</w:t>
      </w:r>
    </w:p>
    <w:p w:rsidR="007749FC" w:rsidRPr="00A25A3C" w:rsidRDefault="007749FC" w:rsidP="0044056F">
      <w:pPr>
        <w:pStyle w:val="AERbulletlistfirststyle"/>
        <w:tabs>
          <w:tab w:val="clear" w:pos="357"/>
          <w:tab w:val="left" w:pos="426"/>
        </w:tabs>
        <w:ind w:left="426" w:hanging="426"/>
        <w:rPr>
          <w:rFonts w:ascii="Arial" w:hAnsi="Arial" w:cs="Arial"/>
        </w:rPr>
      </w:pPr>
      <w:r w:rsidRPr="00A25A3C">
        <w:rPr>
          <w:rFonts w:ascii="Arial" w:hAnsi="Arial" w:cs="Arial"/>
        </w:rPr>
        <w:t xml:space="preserve">The internal cash flow </w:t>
      </w:r>
      <w:proofErr w:type="gramStart"/>
      <w:r w:rsidRPr="00A25A3C">
        <w:rPr>
          <w:rFonts w:ascii="Arial" w:hAnsi="Arial" w:cs="Arial"/>
        </w:rPr>
        <w:t>less</w:t>
      </w:r>
      <w:proofErr w:type="gramEnd"/>
      <w:r w:rsidRPr="00A25A3C">
        <w:rPr>
          <w:rFonts w:ascii="Arial" w:hAnsi="Arial" w:cs="Arial"/>
        </w:rPr>
        <w:t xml:space="preserve"> dividends paid out to shareholders (row 25) provides the retained cash flow (row 26).</w:t>
      </w:r>
    </w:p>
    <w:p w:rsidR="007749FC" w:rsidRPr="00A25A3C" w:rsidRDefault="007749FC" w:rsidP="0044056F">
      <w:pPr>
        <w:pStyle w:val="AERbulletlistfirststyle"/>
        <w:tabs>
          <w:tab w:val="clear" w:pos="357"/>
          <w:tab w:val="left" w:pos="426"/>
        </w:tabs>
        <w:ind w:left="426" w:hanging="426"/>
        <w:rPr>
          <w:rFonts w:ascii="Arial" w:hAnsi="Arial" w:cs="Arial"/>
        </w:rPr>
      </w:pPr>
      <w:r w:rsidRPr="00A25A3C">
        <w:rPr>
          <w:rFonts w:ascii="Arial" w:hAnsi="Arial" w:cs="Arial"/>
        </w:rPr>
        <w:t xml:space="preserve">The capex funding requirement (row 30) is sourced from row 8, adjusted to remove the gross-up for the WACC provided in the PTRM to account for the assumed timing of the incurrence of capex, which is not relevant for financing purposes. The debt component (row 31) represents the increase in debt funding and is sourced from the </w:t>
      </w:r>
      <w:r w:rsidRPr="00A25A3C">
        <w:rPr>
          <w:rStyle w:val="AERtextbold"/>
          <w:rFonts w:ascii="Arial" w:hAnsi="Arial" w:cs="Arial"/>
        </w:rPr>
        <w:t>Analysis</w:t>
      </w:r>
      <w:r w:rsidRPr="00A25A3C">
        <w:rPr>
          <w:rFonts w:ascii="Arial" w:hAnsi="Arial" w:cs="Arial"/>
        </w:rPr>
        <w:t xml:space="preserve"> sheet, whereby to maintain the benchmark level of gearing, the level of debt must equal 60 per cent of the RAB rather than capex. The residual of capex funding requirement less the increase in debt funding gives the equity component (row 32), which represents the amount of capex that must be funded through retained earnings and then new equity.</w:t>
      </w:r>
    </w:p>
    <w:p w:rsidR="007749FC" w:rsidRPr="00A25A3C" w:rsidRDefault="007749FC" w:rsidP="0044056F">
      <w:pPr>
        <w:pStyle w:val="AERbulletlistfirststyle"/>
        <w:tabs>
          <w:tab w:val="clear" w:pos="357"/>
          <w:tab w:val="left" w:pos="426"/>
        </w:tabs>
        <w:ind w:left="426" w:hanging="426"/>
        <w:rPr>
          <w:rFonts w:ascii="Arial" w:hAnsi="Arial" w:cs="Arial"/>
        </w:rPr>
      </w:pPr>
      <w:r w:rsidRPr="00A25A3C">
        <w:rPr>
          <w:rFonts w:ascii="Arial" w:hAnsi="Arial" w:cs="Arial"/>
        </w:rPr>
        <w:lastRenderedPageBreak/>
        <w:t>The equity component less retained cash flow (row 33), where it is insufficient, indicates the additional equity requirement (row 34).</w:t>
      </w:r>
      <w:r w:rsidRPr="00A25A3C">
        <w:rPr>
          <w:rStyle w:val="FootnoteReference"/>
          <w:rFonts w:ascii="Arial" w:hAnsi="Arial" w:cs="Arial"/>
        </w:rPr>
        <w:footnoteReference w:id="24"/>
      </w:r>
      <w:r w:rsidRPr="00A25A3C">
        <w:rPr>
          <w:rFonts w:ascii="Arial" w:hAnsi="Arial" w:cs="Arial"/>
        </w:rPr>
        <w:t xml:space="preserve"> </w:t>
      </w:r>
    </w:p>
    <w:p w:rsidR="007749FC" w:rsidRPr="00FE6550" w:rsidRDefault="007749FC" w:rsidP="007749FC">
      <w:pPr>
        <w:pStyle w:val="AERbodytext"/>
        <w:numPr>
          <w:ilvl w:val="0"/>
          <w:numId w:val="9"/>
        </w:numPr>
        <w:rPr>
          <w:rFonts w:ascii="Arial" w:hAnsi="Arial" w:cs="Arial"/>
        </w:rPr>
      </w:pPr>
      <w:r w:rsidRPr="00FE6550">
        <w:rPr>
          <w:rFonts w:ascii="Arial" w:hAnsi="Arial" w:cs="Arial"/>
        </w:rPr>
        <w:t xml:space="preserve">Rows 38 to 40 displays the equity component, retained cash flow and additional equity requirement in real dollar terms (based on start of year one) by converting the nominal dollar equivalents set out in rows 32 to 34. Dividend reinvestment also in real dollar terms is displayed in row 42 by converting the nominal dollar equivalent as set out in row 15. </w:t>
      </w:r>
    </w:p>
    <w:p w:rsidR="007749FC" w:rsidRPr="00FE6550" w:rsidRDefault="007749FC" w:rsidP="007749FC">
      <w:pPr>
        <w:pStyle w:val="AERbodytext"/>
        <w:numPr>
          <w:ilvl w:val="0"/>
          <w:numId w:val="9"/>
        </w:numPr>
        <w:rPr>
          <w:rFonts w:ascii="Arial" w:hAnsi="Arial" w:cs="Arial"/>
        </w:rPr>
      </w:pPr>
      <w:r w:rsidRPr="00FE6550">
        <w:rPr>
          <w:rFonts w:ascii="Arial" w:hAnsi="Arial" w:cs="Arial"/>
        </w:rPr>
        <w:t xml:space="preserve">If the total equity requirement over the next regulatory control period is above zero, cell Q46 calculates the total dividend reinvestment plan requirement based on the total amount set out at Q42. The total external equity requirement over the next regulatory control period is calculated at cell Q47 by taking the difference between the total equity requirement and the total dividend reinvestment. Cell Q48 displays the sum of the total dividend reinvestment plan requirement and the total external equity requirement. This is the total equity requirement. </w:t>
      </w:r>
    </w:p>
    <w:p w:rsidR="007749FC" w:rsidRPr="00A25A3C" w:rsidRDefault="007749FC" w:rsidP="007749FC">
      <w:pPr>
        <w:pStyle w:val="AERbodytext"/>
        <w:numPr>
          <w:ilvl w:val="0"/>
          <w:numId w:val="9"/>
        </w:numPr>
        <w:rPr>
          <w:rFonts w:ascii="Arial" w:hAnsi="Arial" w:cs="Arial"/>
        </w:rPr>
      </w:pPr>
      <w:r w:rsidRPr="00A25A3C">
        <w:rPr>
          <w:rFonts w:ascii="Arial" w:hAnsi="Arial" w:cs="Arial"/>
        </w:rPr>
        <w:t xml:space="preserve">Based on the total amount of dividends reinvested (cell Q46) and the external equity requirement (cell Q47) the cost for each of these component (sourced from the </w:t>
      </w:r>
      <w:r w:rsidR="00607148" w:rsidRPr="00A25A3C">
        <w:rPr>
          <w:rFonts w:ascii="Arial" w:hAnsi="Arial" w:cs="Arial"/>
          <w:b/>
        </w:rPr>
        <w:t xml:space="preserve">PTRM </w:t>
      </w:r>
      <w:r w:rsidR="00607148" w:rsidRPr="00A25A3C">
        <w:rPr>
          <w:rStyle w:val="AERtextbold"/>
          <w:rFonts w:ascii="Arial" w:hAnsi="Arial" w:cs="Arial"/>
        </w:rPr>
        <w:t>i</w:t>
      </w:r>
      <w:r w:rsidRPr="00A25A3C">
        <w:rPr>
          <w:rStyle w:val="AERtextbold"/>
          <w:rFonts w:ascii="Arial" w:hAnsi="Arial" w:cs="Arial"/>
        </w:rPr>
        <w:t>nput</w:t>
      </w:r>
      <w:r w:rsidRPr="00A25A3C">
        <w:rPr>
          <w:rFonts w:ascii="Arial" w:hAnsi="Arial" w:cs="Arial"/>
        </w:rPr>
        <w:t xml:space="preserve"> sheet) is calculated in cells Q50 and Q51 respectively. The sum of these components provides the total equity raising costs in real dollar terms (start of year one) and is displayed at cell Q52. A positive value for the total equity raising costs over the next regulatory control period indicates that the calculated benchmark equity raising costs should be allowed and recovered by the TNSPs. </w:t>
      </w:r>
    </w:p>
    <w:p w:rsidR="007749FC" w:rsidRPr="00A25A3C" w:rsidRDefault="007749FC" w:rsidP="007749FC">
      <w:pPr>
        <w:pStyle w:val="AERbodytext"/>
        <w:numPr>
          <w:ilvl w:val="0"/>
          <w:numId w:val="9"/>
        </w:numPr>
        <w:rPr>
          <w:rStyle w:val="AERtexthighlight"/>
          <w:rFonts w:ascii="Arial" w:hAnsi="Arial" w:cs="Arial"/>
        </w:rPr>
      </w:pPr>
      <w:r w:rsidRPr="00FE6550">
        <w:rPr>
          <w:rFonts w:ascii="Arial" w:hAnsi="Arial" w:cs="Arial"/>
        </w:rPr>
        <w:t>The equity raising cost</w:t>
      </w:r>
      <w:r w:rsidR="00C84F02" w:rsidRPr="00FE6550">
        <w:rPr>
          <w:rFonts w:ascii="Arial" w:hAnsi="Arial" w:cs="Arial"/>
        </w:rPr>
        <w:t>s</w:t>
      </w:r>
      <w:r w:rsidRPr="00FE6550">
        <w:rPr>
          <w:rFonts w:ascii="Arial" w:hAnsi="Arial" w:cs="Arial"/>
        </w:rPr>
        <w:t xml:space="preserve"> calculations must be performed iteratively because they are both an input to and an output from the building block calculation.</w:t>
      </w:r>
      <w:r w:rsidRPr="00FE6550">
        <w:rPr>
          <w:rFonts w:ascii="Arial" w:hAnsi="Arial" w:cs="Arial"/>
          <w:vertAlign w:val="superscript"/>
        </w:rPr>
        <w:footnoteReference w:id="25"/>
      </w:r>
      <w:r w:rsidRPr="00A25A3C">
        <w:rPr>
          <w:rFonts w:ascii="Arial" w:hAnsi="Arial" w:cs="Arial"/>
        </w:rPr>
        <w:t xml:space="preserve"> </w:t>
      </w:r>
      <w:r w:rsidRPr="00FE6550">
        <w:rPr>
          <w:rFonts w:ascii="Arial" w:hAnsi="Arial" w:cs="Arial"/>
        </w:rPr>
        <w:t>In other words, a change in the equity raising cost</w:t>
      </w:r>
      <w:r w:rsidR="00C84F02" w:rsidRPr="00FE6550">
        <w:rPr>
          <w:rFonts w:ascii="Arial" w:hAnsi="Arial" w:cs="Arial"/>
        </w:rPr>
        <w:t>s</w:t>
      </w:r>
      <w:r w:rsidRPr="00FE6550">
        <w:rPr>
          <w:rFonts w:ascii="Arial" w:hAnsi="Arial" w:cs="Arial"/>
        </w:rPr>
        <w:t xml:space="preserve"> will change the ABBRR and MAR, which in turn changes the equity raising cost</w:t>
      </w:r>
      <w:r w:rsidR="00C84F02" w:rsidRPr="00FE6550">
        <w:rPr>
          <w:rFonts w:ascii="Arial" w:hAnsi="Arial" w:cs="Arial"/>
        </w:rPr>
        <w:t>s</w:t>
      </w:r>
      <w:r w:rsidRPr="00FE6550">
        <w:rPr>
          <w:rFonts w:ascii="Arial" w:hAnsi="Arial" w:cs="Arial"/>
        </w:rPr>
        <w:t>. Further, the equity raising cost</w:t>
      </w:r>
      <w:r w:rsidR="00C84F02" w:rsidRPr="00FE6550">
        <w:rPr>
          <w:rFonts w:ascii="Arial" w:hAnsi="Arial" w:cs="Arial"/>
        </w:rPr>
        <w:t>s</w:t>
      </w:r>
      <w:r w:rsidRPr="00FE6550">
        <w:rPr>
          <w:rFonts w:ascii="Arial" w:hAnsi="Arial" w:cs="Arial"/>
        </w:rPr>
        <w:t xml:space="preserve"> calculation depends on both unsmoothed building block components (for instance, the outgoing cash flows each year) and the smoothed total revenue (for instance, the available revenue each year). Accordingly, changes to the smoothed revenue profile (the MAR) can change the required equity raising cost</w:t>
      </w:r>
      <w:r w:rsidR="00C84F02" w:rsidRPr="00FE6550">
        <w:rPr>
          <w:rFonts w:ascii="Arial" w:hAnsi="Arial" w:cs="Arial"/>
        </w:rPr>
        <w:t>s</w:t>
      </w:r>
      <w:r w:rsidRPr="00FE6550">
        <w:rPr>
          <w:rFonts w:ascii="Arial" w:hAnsi="Arial" w:cs="Arial"/>
        </w:rPr>
        <w:t>, starting the cycle again.</w:t>
      </w:r>
      <w:r w:rsidRPr="00A25A3C">
        <w:rPr>
          <w:rFonts w:ascii="Arial" w:hAnsi="Arial" w:cs="Arial"/>
        </w:rPr>
        <w:t xml:space="preserve"> </w:t>
      </w:r>
      <w:r w:rsidRPr="00A25A3C">
        <w:rPr>
          <w:rStyle w:val="AERtexthighlight"/>
          <w:rFonts w:ascii="Arial" w:hAnsi="Arial" w:cs="Arial"/>
        </w:rPr>
        <w:t xml:space="preserve"> </w:t>
      </w:r>
    </w:p>
    <w:p w:rsidR="007749FC" w:rsidRPr="00FE6550" w:rsidRDefault="007749FC" w:rsidP="007749FC">
      <w:pPr>
        <w:pStyle w:val="AERbodytext"/>
        <w:numPr>
          <w:ilvl w:val="0"/>
          <w:numId w:val="9"/>
        </w:numPr>
        <w:rPr>
          <w:rFonts w:ascii="Arial" w:hAnsi="Arial" w:cs="Arial"/>
        </w:rPr>
      </w:pPr>
      <w:r w:rsidRPr="00FE6550">
        <w:rPr>
          <w:rFonts w:ascii="Arial" w:hAnsi="Arial" w:cs="Arial"/>
        </w:rPr>
        <w:t xml:space="preserve">By default, the smoothing macros in the </w:t>
      </w:r>
      <w:r w:rsidRPr="00FE6550">
        <w:rPr>
          <w:rFonts w:ascii="Arial" w:hAnsi="Arial" w:cs="Arial"/>
          <w:b/>
        </w:rPr>
        <w:t>X factors</w:t>
      </w:r>
      <w:r w:rsidRPr="00FE6550">
        <w:rPr>
          <w:rFonts w:ascii="Arial" w:hAnsi="Arial" w:cs="Arial"/>
        </w:rPr>
        <w:t xml:space="preserve"> sheet perform these iterative calculations for equity raising costs at the same time. However, this function can be disabled using the drop-down menu in cell G16 of the </w:t>
      </w:r>
      <w:r w:rsidRPr="00FE6550">
        <w:rPr>
          <w:rFonts w:ascii="Arial" w:hAnsi="Arial" w:cs="Arial"/>
          <w:b/>
        </w:rPr>
        <w:t>X factors</w:t>
      </w:r>
      <w:r w:rsidRPr="00FE6550">
        <w:rPr>
          <w:rFonts w:ascii="Arial" w:hAnsi="Arial" w:cs="Arial"/>
        </w:rPr>
        <w:t xml:space="preserve"> sheet.</w:t>
      </w:r>
      <w:r w:rsidRPr="00FE6550">
        <w:rPr>
          <w:rFonts w:ascii="Arial" w:hAnsi="Arial" w:cs="Arial"/>
          <w:vertAlign w:val="superscript"/>
        </w:rPr>
        <w:footnoteReference w:id="26"/>
      </w:r>
      <w:r w:rsidRPr="00FE6550">
        <w:rPr>
          <w:rFonts w:ascii="Arial" w:hAnsi="Arial" w:cs="Arial"/>
        </w:rPr>
        <w:t xml:space="preserve"> </w:t>
      </w:r>
    </w:p>
    <w:p w:rsidR="007749FC" w:rsidRPr="00A25A3C" w:rsidRDefault="007749FC" w:rsidP="007749FC">
      <w:pPr>
        <w:pStyle w:val="AERbodytext"/>
        <w:numPr>
          <w:ilvl w:val="0"/>
          <w:numId w:val="9"/>
        </w:numPr>
        <w:rPr>
          <w:rFonts w:ascii="Arial" w:hAnsi="Arial" w:cs="Arial"/>
        </w:rPr>
      </w:pPr>
      <w:r w:rsidRPr="00A25A3C">
        <w:rPr>
          <w:rFonts w:ascii="Arial" w:hAnsi="Arial" w:cs="Arial"/>
        </w:rPr>
        <w:fldChar w:fldCharType="begin"/>
      </w:r>
      <w:r w:rsidRPr="00A25A3C">
        <w:rPr>
          <w:rFonts w:ascii="Arial" w:hAnsi="Arial" w:cs="Arial"/>
        </w:rPr>
        <w:instrText xml:space="preserve"> REF _Ref398112823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13</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Equity raising cos</w:t>
      </w:r>
      <w:r w:rsidR="00C84F02" w:rsidRPr="00A25A3C">
        <w:rPr>
          <w:rStyle w:val="AERtextbold"/>
          <w:rFonts w:ascii="Arial" w:hAnsi="Arial" w:cs="Arial"/>
        </w:rPr>
        <w:t>ts</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51" w:name="_Ref398112823"/>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13</w:t>
      </w:r>
      <w:r w:rsidRPr="00A25A3C">
        <w:rPr>
          <w:rFonts w:ascii="Arial" w:hAnsi="Arial" w:cs="Arial"/>
        </w:rPr>
        <w:fldChar w:fldCharType="end"/>
      </w:r>
      <w:bookmarkEnd w:id="51"/>
      <w:r w:rsidRPr="00A25A3C">
        <w:rPr>
          <w:rFonts w:ascii="Arial" w:hAnsi="Arial" w:cs="Arial"/>
        </w:rPr>
        <w:tab/>
        <w:t xml:space="preserve">Equity </w:t>
      </w:r>
      <w:proofErr w:type="gramStart"/>
      <w:r w:rsidRPr="00A25A3C">
        <w:rPr>
          <w:rFonts w:ascii="Arial" w:hAnsi="Arial" w:cs="Arial"/>
        </w:rPr>
        <w:t>raising</w:t>
      </w:r>
      <w:proofErr w:type="gramEnd"/>
      <w:r w:rsidRPr="00A25A3C">
        <w:rPr>
          <w:rFonts w:ascii="Arial" w:hAnsi="Arial" w:cs="Arial"/>
        </w:rPr>
        <w:t xml:space="preserve"> cos</w:t>
      </w:r>
      <w:r w:rsidR="00C84F02" w:rsidRPr="00A25A3C">
        <w:rPr>
          <w:rFonts w:ascii="Arial" w:hAnsi="Arial" w:cs="Arial"/>
        </w:rPr>
        <w:t>ts</w:t>
      </w:r>
      <w:r w:rsidRPr="00A25A3C">
        <w:rPr>
          <w:rFonts w:ascii="Arial" w:hAnsi="Arial" w:cs="Arial"/>
        </w:rPr>
        <w:t xml:space="preserve"> sheet</w:t>
      </w:r>
    </w:p>
    <w:p w:rsidR="007749FC" w:rsidRPr="00A25A3C" w:rsidRDefault="00F542CD" w:rsidP="007749FC">
      <w:pPr>
        <w:pStyle w:val="AERbodytext"/>
        <w:numPr>
          <w:ilvl w:val="0"/>
          <w:numId w:val="9"/>
        </w:numPr>
        <w:rPr>
          <w:rFonts w:ascii="Arial" w:hAnsi="Arial" w:cs="Arial"/>
        </w:rPr>
      </w:pPr>
      <w:r w:rsidRPr="00A25A3C">
        <w:rPr>
          <w:noProof/>
          <w:lang w:eastAsia="en-AU"/>
        </w:rPr>
        <w:drawing>
          <wp:inline distT="0" distB="0" distL="0" distR="0" wp14:anchorId="2B8DB402" wp14:editId="763F7DAD">
            <wp:extent cx="5731510" cy="459071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4590719"/>
                    </a:xfrm>
                    <a:prstGeom prst="rect">
                      <a:avLst/>
                    </a:prstGeom>
                  </pic:spPr>
                </pic:pic>
              </a:graphicData>
            </a:graphic>
          </wp:inline>
        </w:drawing>
      </w:r>
    </w:p>
    <w:p w:rsidR="007749FC" w:rsidRPr="001D3581" w:rsidRDefault="007749FC" w:rsidP="007749FC">
      <w:pPr>
        <w:pStyle w:val="Heading2"/>
        <w:rPr>
          <w:rFonts w:ascii="Arial" w:hAnsi="Arial" w:cs="Arial"/>
        </w:rPr>
      </w:pPr>
      <w:bookmarkStart w:id="52" w:name="_Toc410223782"/>
      <w:r w:rsidRPr="001D3581">
        <w:rPr>
          <w:rFonts w:ascii="Arial" w:hAnsi="Arial" w:cs="Arial"/>
        </w:rPr>
        <w:t>Chart 1—Revenue</w:t>
      </w:r>
      <w:bookmarkEnd w:id="52"/>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The </w:t>
      </w:r>
      <w:r w:rsidRPr="00A25A3C">
        <w:rPr>
          <w:rStyle w:val="AERtextbold"/>
          <w:rFonts w:ascii="Arial" w:hAnsi="Arial" w:cs="Arial"/>
        </w:rPr>
        <w:t>Chart 1–Revenue</w:t>
      </w:r>
      <w:r w:rsidRPr="00A25A3C">
        <w:rPr>
          <w:rFonts w:ascii="Arial" w:hAnsi="Arial" w:cs="Arial"/>
        </w:rPr>
        <w:t xml:space="preserve"> sheet displays a chart that incorporates the:</w:t>
      </w:r>
    </w:p>
    <w:p w:rsidR="007749FC" w:rsidRPr="00A25A3C" w:rsidRDefault="007749FC" w:rsidP="003C2D87">
      <w:pPr>
        <w:pStyle w:val="AERbulletlistfirststyle"/>
        <w:ind w:hanging="720"/>
        <w:rPr>
          <w:rFonts w:ascii="Arial" w:hAnsi="Arial" w:cs="Arial"/>
        </w:rPr>
      </w:pPr>
      <w:r w:rsidRPr="00A25A3C">
        <w:rPr>
          <w:rFonts w:ascii="Arial" w:hAnsi="Arial" w:cs="Arial"/>
        </w:rPr>
        <w:t>nominal and real ABBRR</w:t>
      </w:r>
    </w:p>
    <w:p w:rsidR="007749FC" w:rsidRPr="00A25A3C" w:rsidRDefault="007749FC" w:rsidP="003C2D87">
      <w:pPr>
        <w:pStyle w:val="AERbulletlistfirststyle"/>
        <w:ind w:hanging="720"/>
        <w:rPr>
          <w:rFonts w:ascii="Arial" w:hAnsi="Arial" w:cs="Arial"/>
        </w:rPr>
      </w:pPr>
      <w:proofErr w:type="gramStart"/>
      <w:r w:rsidRPr="00A25A3C">
        <w:rPr>
          <w:rFonts w:ascii="Arial" w:hAnsi="Arial" w:cs="Arial"/>
        </w:rPr>
        <w:t>nominal</w:t>
      </w:r>
      <w:proofErr w:type="gramEnd"/>
      <w:r w:rsidRPr="00A25A3C">
        <w:rPr>
          <w:rFonts w:ascii="Arial" w:hAnsi="Arial" w:cs="Arial"/>
        </w:rPr>
        <w:t xml:space="preserve"> and real MAR derived under the revenue cap</w:t>
      </w:r>
      <w:r w:rsidR="003C2D87" w:rsidRPr="00A25A3C">
        <w:rPr>
          <w:rFonts w:ascii="Arial" w:hAnsi="Arial" w:cs="Arial"/>
        </w:rPr>
        <w:t>.</w:t>
      </w:r>
      <w:r w:rsidRPr="00A25A3C">
        <w:rPr>
          <w:rFonts w:ascii="Arial" w:hAnsi="Arial" w:cs="Arial"/>
        </w:rPr>
        <w:t xml:space="preserve"> </w:t>
      </w:r>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This information is sourced from the </w:t>
      </w:r>
      <w:r w:rsidRPr="00A25A3C">
        <w:rPr>
          <w:rStyle w:val="AERtextbold"/>
          <w:rFonts w:ascii="Arial" w:hAnsi="Arial" w:cs="Arial"/>
        </w:rPr>
        <w:t>Revenue summary</w:t>
      </w:r>
      <w:r w:rsidRPr="00A25A3C">
        <w:rPr>
          <w:rFonts w:ascii="Arial" w:hAnsi="Arial" w:cs="Arial"/>
        </w:rPr>
        <w:t xml:space="preserve"> sheet. </w:t>
      </w:r>
    </w:p>
    <w:p w:rsidR="007749FC" w:rsidRPr="00A25A3C" w:rsidRDefault="00BC3F0A" w:rsidP="007749FC">
      <w:pPr>
        <w:pStyle w:val="AERbodytext"/>
        <w:numPr>
          <w:ilvl w:val="0"/>
          <w:numId w:val="9"/>
        </w:numPr>
        <w:rPr>
          <w:rStyle w:val="AERtexthighlight"/>
          <w:rFonts w:ascii="Arial" w:hAnsi="Arial" w:cs="Arial"/>
        </w:rPr>
      </w:pPr>
      <w:r w:rsidRPr="00A25A3C">
        <w:rPr>
          <w:rFonts w:ascii="Arial" w:hAnsi="Arial" w:cs="Arial"/>
        </w:rPr>
        <w:fldChar w:fldCharType="begin"/>
      </w:r>
      <w:r w:rsidRPr="00A25A3C">
        <w:rPr>
          <w:rFonts w:ascii="Arial" w:hAnsi="Arial" w:cs="Arial"/>
        </w:rPr>
        <w:instrText xml:space="preserve"> REF _Ref408928878 \h </w:instrText>
      </w:r>
      <w:r w:rsidR="00A25A3C">
        <w:rPr>
          <w:rFonts w:ascii="Arial" w:hAnsi="Arial" w:cs="Arial"/>
        </w:rPr>
        <w:instrText xml:space="preserve">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 xml:space="preserve">Figure </w:t>
      </w:r>
      <w:r w:rsidR="00631E49" w:rsidRPr="00A25A3C">
        <w:rPr>
          <w:rFonts w:ascii="Arial" w:hAnsi="Arial" w:cs="Arial"/>
          <w:noProof/>
        </w:rPr>
        <w:t>14</w:t>
      </w:r>
      <w:r w:rsidRPr="00A25A3C">
        <w:rPr>
          <w:rFonts w:ascii="Arial" w:hAnsi="Arial" w:cs="Arial"/>
        </w:rPr>
        <w:fldChar w:fldCharType="end"/>
      </w:r>
      <w:r w:rsidR="007749FC" w:rsidRPr="00A25A3C">
        <w:rPr>
          <w:rFonts w:ascii="Arial" w:hAnsi="Arial" w:cs="Arial"/>
        </w:rPr>
        <w:t xml:space="preserve"> provides an example of the </w:t>
      </w:r>
      <w:r w:rsidR="007749FC" w:rsidRPr="00A25A3C">
        <w:rPr>
          <w:rStyle w:val="AERtextbold"/>
          <w:rFonts w:ascii="Arial" w:hAnsi="Arial" w:cs="Arial"/>
        </w:rPr>
        <w:t>Chart 1–Revenue</w:t>
      </w:r>
      <w:r w:rsidR="007749FC" w:rsidRPr="00A25A3C">
        <w:rPr>
          <w:rFonts w:ascii="Arial" w:hAnsi="Arial" w:cs="Arial"/>
        </w:rPr>
        <w:t xml:space="preserve"> sheet.</w:t>
      </w:r>
    </w:p>
    <w:p w:rsidR="007749FC" w:rsidRPr="00A25A3C" w:rsidRDefault="007749FC" w:rsidP="007749FC">
      <w:pPr>
        <w:pStyle w:val="Caption"/>
        <w:rPr>
          <w:rFonts w:ascii="Arial" w:hAnsi="Arial" w:cs="Arial"/>
        </w:rPr>
      </w:pPr>
      <w:bookmarkStart w:id="53" w:name="_Ref408928878"/>
      <w:bookmarkStart w:id="54" w:name="_Ref399401093"/>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14</w:t>
      </w:r>
      <w:r w:rsidRPr="00A25A3C">
        <w:rPr>
          <w:rFonts w:ascii="Arial" w:hAnsi="Arial" w:cs="Arial"/>
        </w:rPr>
        <w:fldChar w:fldCharType="end"/>
      </w:r>
      <w:bookmarkEnd w:id="53"/>
      <w:r w:rsidRPr="00A25A3C">
        <w:rPr>
          <w:rFonts w:ascii="Arial" w:hAnsi="Arial" w:cs="Arial"/>
        </w:rPr>
        <w:tab/>
        <w:t>Chart 1–Revenue sheet</w:t>
      </w:r>
      <w:bookmarkEnd w:id="54"/>
      <w:r w:rsidRPr="00A25A3C">
        <w:rPr>
          <w:rFonts w:ascii="Arial" w:hAnsi="Arial" w:cs="Arial"/>
        </w:rPr>
        <w:tab/>
      </w:r>
    </w:p>
    <w:p w:rsidR="007749FC" w:rsidRPr="00A25A3C" w:rsidRDefault="00F542CD" w:rsidP="007749FC">
      <w:pPr>
        <w:pStyle w:val="AERbodytext"/>
        <w:numPr>
          <w:ilvl w:val="0"/>
          <w:numId w:val="9"/>
        </w:numPr>
        <w:rPr>
          <w:rFonts w:ascii="Arial" w:hAnsi="Arial" w:cs="Arial"/>
        </w:rPr>
      </w:pPr>
      <w:r w:rsidRPr="00A25A3C">
        <w:rPr>
          <w:noProof/>
          <w:lang w:eastAsia="en-AU"/>
        </w:rPr>
        <w:drawing>
          <wp:inline distT="0" distB="0" distL="0" distR="0" wp14:anchorId="7CC54497" wp14:editId="36E54087">
            <wp:extent cx="5731510" cy="3980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3980215"/>
                    </a:xfrm>
                    <a:prstGeom prst="rect">
                      <a:avLst/>
                    </a:prstGeom>
                  </pic:spPr>
                </pic:pic>
              </a:graphicData>
            </a:graphic>
          </wp:inline>
        </w:drawing>
      </w:r>
    </w:p>
    <w:p w:rsidR="007749FC" w:rsidRPr="001D3581" w:rsidRDefault="007749FC" w:rsidP="007749FC">
      <w:pPr>
        <w:pStyle w:val="Heading2"/>
        <w:rPr>
          <w:rFonts w:ascii="Arial" w:hAnsi="Arial" w:cs="Arial"/>
        </w:rPr>
      </w:pPr>
      <w:bookmarkStart w:id="55" w:name="_Toc410223783"/>
      <w:r w:rsidRPr="001D3581">
        <w:rPr>
          <w:rFonts w:ascii="Arial" w:hAnsi="Arial" w:cs="Arial"/>
        </w:rPr>
        <w:t>Chart 2—Price path</w:t>
      </w:r>
      <w:bookmarkEnd w:id="55"/>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The </w:t>
      </w:r>
      <w:r w:rsidRPr="00A25A3C">
        <w:rPr>
          <w:rStyle w:val="AERtextbold"/>
          <w:rFonts w:ascii="Arial" w:hAnsi="Arial" w:cs="Arial"/>
        </w:rPr>
        <w:t>Chart 2–Price path</w:t>
      </w:r>
      <w:r w:rsidRPr="00A25A3C">
        <w:rPr>
          <w:rFonts w:ascii="Arial" w:hAnsi="Arial" w:cs="Arial"/>
        </w:rPr>
        <w:t xml:space="preserve"> sheet displays a chart that presents the indicative price path (approximated by total revenues divided by total energy demand forecast) in nominal and real dollar terms (start of year one). </w:t>
      </w:r>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This information is sourced from the </w:t>
      </w:r>
      <w:r w:rsidRPr="00A25A3C">
        <w:rPr>
          <w:rStyle w:val="AERtextbold"/>
          <w:rFonts w:ascii="Arial" w:hAnsi="Arial" w:cs="Arial"/>
        </w:rPr>
        <w:t xml:space="preserve">Revenue summary </w:t>
      </w:r>
      <w:r w:rsidRPr="00A25A3C">
        <w:rPr>
          <w:rFonts w:ascii="Arial" w:hAnsi="Arial" w:cs="Arial"/>
        </w:rPr>
        <w:t>sheet.</w:t>
      </w:r>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fldChar w:fldCharType="begin"/>
      </w:r>
      <w:r w:rsidRPr="00A25A3C">
        <w:rPr>
          <w:rFonts w:ascii="Arial" w:hAnsi="Arial" w:cs="Arial"/>
        </w:rPr>
        <w:instrText xml:space="preserve"> REF _Ref399401587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15</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Chart 2–Price path</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56" w:name="_Ref399401587"/>
      <w:r w:rsidRPr="00A25A3C">
        <w:rPr>
          <w:rFonts w:ascii="Arial" w:hAnsi="Arial" w:cs="Arial"/>
        </w:rPr>
        <w:lastRenderedPageBreak/>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15</w:t>
      </w:r>
      <w:r w:rsidRPr="00A25A3C">
        <w:rPr>
          <w:rFonts w:ascii="Arial" w:hAnsi="Arial" w:cs="Arial"/>
        </w:rPr>
        <w:fldChar w:fldCharType="end"/>
      </w:r>
      <w:bookmarkEnd w:id="56"/>
      <w:r w:rsidRPr="00A25A3C">
        <w:rPr>
          <w:rFonts w:ascii="Arial" w:hAnsi="Arial" w:cs="Arial"/>
        </w:rPr>
        <w:tab/>
        <w:t>Chart 2–Price path sheet</w:t>
      </w:r>
      <w:r w:rsidRPr="00A25A3C">
        <w:rPr>
          <w:rFonts w:ascii="Arial" w:hAnsi="Arial" w:cs="Arial"/>
        </w:rPr>
        <w:tab/>
      </w:r>
    </w:p>
    <w:p w:rsidR="007749FC" w:rsidRPr="00A25A3C" w:rsidRDefault="00F542CD" w:rsidP="007749FC">
      <w:pPr>
        <w:pStyle w:val="AERbodytext"/>
        <w:numPr>
          <w:ilvl w:val="0"/>
          <w:numId w:val="9"/>
        </w:numPr>
        <w:rPr>
          <w:rFonts w:ascii="Arial" w:hAnsi="Arial" w:cs="Arial"/>
        </w:rPr>
      </w:pPr>
      <w:r w:rsidRPr="00A25A3C">
        <w:rPr>
          <w:noProof/>
          <w:lang w:eastAsia="en-AU"/>
        </w:rPr>
        <w:drawing>
          <wp:inline distT="0" distB="0" distL="0" distR="0" wp14:anchorId="13E955A2" wp14:editId="7986F27A">
            <wp:extent cx="5731510" cy="39857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3985726"/>
                    </a:xfrm>
                    <a:prstGeom prst="rect">
                      <a:avLst/>
                    </a:prstGeom>
                  </pic:spPr>
                </pic:pic>
              </a:graphicData>
            </a:graphic>
          </wp:inline>
        </w:drawing>
      </w:r>
    </w:p>
    <w:p w:rsidR="007749FC" w:rsidRPr="00A25A3C" w:rsidRDefault="007749FC" w:rsidP="007749FC">
      <w:pPr>
        <w:rPr>
          <w:rStyle w:val="AERtexthighlight"/>
          <w:rFonts w:ascii="Arial" w:hAnsi="Arial" w:cs="Arial"/>
        </w:rPr>
      </w:pPr>
      <w:r w:rsidRPr="00A25A3C">
        <w:rPr>
          <w:rStyle w:val="AERtexthighlight"/>
          <w:rFonts w:ascii="Arial" w:hAnsi="Arial" w:cs="Arial"/>
        </w:rPr>
        <w:br w:type="page"/>
      </w:r>
    </w:p>
    <w:p w:rsidR="007749FC" w:rsidRPr="001D3581" w:rsidRDefault="007749FC" w:rsidP="007749FC">
      <w:pPr>
        <w:pStyle w:val="Heading2"/>
        <w:rPr>
          <w:rFonts w:ascii="Arial" w:hAnsi="Arial" w:cs="Arial"/>
        </w:rPr>
      </w:pPr>
      <w:bookmarkStart w:id="57" w:name="_Toc410223784"/>
      <w:r w:rsidRPr="001D3581">
        <w:rPr>
          <w:rFonts w:ascii="Arial" w:hAnsi="Arial" w:cs="Arial"/>
        </w:rPr>
        <w:lastRenderedPageBreak/>
        <w:t>Chart 3—Building blocks</w:t>
      </w:r>
      <w:bookmarkEnd w:id="57"/>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The </w:t>
      </w:r>
      <w:r w:rsidRPr="00A25A3C">
        <w:rPr>
          <w:rStyle w:val="AERtextbold"/>
          <w:rFonts w:ascii="Arial" w:hAnsi="Arial" w:cs="Arial"/>
        </w:rPr>
        <w:t>Chart 3–Building blocks</w:t>
      </w:r>
      <w:r w:rsidRPr="00A25A3C">
        <w:rPr>
          <w:rFonts w:ascii="Arial" w:hAnsi="Arial" w:cs="Arial"/>
        </w:rPr>
        <w:t xml:space="preserve"> sheet displays the various building block cost components making up the ABBRR:</w:t>
      </w:r>
    </w:p>
    <w:p w:rsidR="007749FC" w:rsidRPr="00A25A3C" w:rsidRDefault="007749FC" w:rsidP="003C2D87">
      <w:pPr>
        <w:pStyle w:val="AERbulletlistfirststyle"/>
        <w:ind w:hanging="720"/>
        <w:rPr>
          <w:rFonts w:ascii="Arial" w:hAnsi="Arial" w:cs="Arial"/>
        </w:rPr>
      </w:pPr>
      <w:r w:rsidRPr="00A25A3C">
        <w:rPr>
          <w:rFonts w:ascii="Arial" w:hAnsi="Arial" w:cs="Arial"/>
        </w:rPr>
        <w:t xml:space="preserve">return on capital </w:t>
      </w:r>
    </w:p>
    <w:p w:rsidR="007749FC" w:rsidRPr="00A25A3C" w:rsidRDefault="007749FC" w:rsidP="003C2D87">
      <w:pPr>
        <w:pStyle w:val="AERbulletlistfirststyle"/>
        <w:ind w:hanging="720"/>
        <w:rPr>
          <w:rFonts w:ascii="Arial" w:hAnsi="Arial" w:cs="Arial"/>
        </w:rPr>
      </w:pPr>
      <w:r w:rsidRPr="00A25A3C">
        <w:rPr>
          <w:rFonts w:ascii="Arial" w:hAnsi="Arial" w:cs="Arial"/>
        </w:rPr>
        <w:t>regulatory depreciation</w:t>
      </w:r>
    </w:p>
    <w:p w:rsidR="007749FC" w:rsidRPr="00A25A3C" w:rsidRDefault="007749FC" w:rsidP="003C2D87">
      <w:pPr>
        <w:pStyle w:val="AERbulletlistfirststyle"/>
        <w:ind w:hanging="720"/>
        <w:rPr>
          <w:rFonts w:ascii="Arial" w:hAnsi="Arial" w:cs="Arial"/>
        </w:rPr>
      </w:pPr>
      <w:proofErr w:type="spellStart"/>
      <w:r w:rsidRPr="00A25A3C">
        <w:rPr>
          <w:rFonts w:ascii="Arial" w:hAnsi="Arial" w:cs="Arial"/>
        </w:rPr>
        <w:t>opex</w:t>
      </w:r>
      <w:proofErr w:type="spellEnd"/>
      <w:r w:rsidRPr="00A25A3C">
        <w:rPr>
          <w:rFonts w:ascii="Arial" w:hAnsi="Arial" w:cs="Arial"/>
        </w:rPr>
        <w:t xml:space="preserve"> (excluding any carry-over amounts)</w:t>
      </w:r>
    </w:p>
    <w:p w:rsidR="007749FC" w:rsidRPr="00A25A3C" w:rsidRDefault="007749FC" w:rsidP="003C2D87">
      <w:pPr>
        <w:pStyle w:val="AERbulletlistfirststyle"/>
        <w:ind w:hanging="720"/>
        <w:rPr>
          <w:rFonts w:ascii="Arial" w:hAnsi="Arial" w:cs="Arial"/>
        </w:rPr>
      </w:pPr>
      <w:r w:rsidRPr="00A25A3C">
        <w:rPr>
          <w:rFonts w:ascii="Arial" w:hAnsi="Arial" w:cs="Arial"/>
        </w:rPr>
        <w:t xml:space="preserve">net tax costs </w:t>
      </w:r>
    </w:p>
    <w:p w:rsidR="007749FC" w:rsidRPr="00A25A3C" w:rsidRDefault="007749FC" w:rsidP="003C2D87">
      <w:pPr>
        <w:pStyle w:val="AERbulletlistfirststyle"/>
        <w:ind w:hanging="720"/>
        <w:rPr>
          <w:rFonts w:ascii="Arial" w:hAnsi="Arial" w:cs="Arial"/>
        </w:rPr>
      </w:pPr>
      <w:proofErr w:type="gramStart"/>
      <w:r w:rsidRPr="00A25A3C">
        <w:rPr>
          <w:rFonts w:ascii="Arial" w:hAnsi="Arial" w:cs="Arial"/>
        </w:rPr>
        <w:t>carry-over</w:t>
      </w:r>
      <w:proofErr w:type="gramEnd"/>
      <w:r w:rsidRPr="00A25A3C">
        <w:rPr>
          <w:rFonts w:ascii="Arial" w:hAnsi="Arial" w:cs="Arial"/>
        </w:rPr>
        <w:t xml:space="preserve"> and other revenue adjustments. </w:t>
      </w:r>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t xml:space="preserve">This information is sourced from the </w:t>
      </w:r>
      <w:r w:rsidRPr="00A25A3C">
        <w:rPr>
          <w:rStyle w:val="AERtextbold"/>
          <w:rFonts w:ascii="Arial" w:hAnsi="Arial" w:cs="Arial"/>
        </w:rPr>
        <w:t>Analysis</w:t>
      </w:r>
      <w:r w:rsidRPr="00A25A3C">
        <w:rPr>
          <w:rFonts w:ascii="Arial" w:hAnsi="Arial" w:cs="Arial"/>
        </w:rPr>
        <w:t xml:space="preserve"> sheet. </w:t>
      </w:r>
    </w:p>
    <w:p w:rsidR="007749FC" w:rsidRPr="00A25A3C" w:rsidRDefault="007749FC" w:rsidP="007749FC">
      <w:pPr>
        <w:pStyle w:val="AERbodytext"/>
        <w:numPr>
          <w:ilvl w:val="0"/>
          <w:numId w:val="9"/>
        </w:numPr>
        <w:rPr>
          <w:rStyle w:val="AERtexthighlight"/>
          <w:rFonts w:ascii="Arial" w:hAnsi="Arial" w:cs="Arial"/>
        </w:rPr>
      </w:pPr>
      <w:r w:rsidRPr="00A25A3C">
        <w:rPr>
          <w:rFonts w:ascii="Arial" w:hAnsi="Arial" w:cs="Arial"/>
        </w:rPr>
        <w:fldChar w:fldCharType="begin"/>
      </w:r>
      <w:r w:rsidRPr="00A25A3C">
        <w:rPr>
          <w:rFonts w:ascii="Arial" w:hAnsi="Arial" w:cs="Arial"/>
        </w:rPr>
        <w:instrText xml:space="preserve"> REF _Ref399401699 \h  \* MERGEFORMAT </w:instrText>
      </w:r>
      <w:r w:rsidRPr="00A25A3C">
        <w:rPr>
          <w:rFonts w:ascii="Arial" w:hAnsi="Arial" w:cs="Arial"/>
        </w:rPr>
      </w:r>
      <w:r w:rsidRPr="00A25A3C">
        <w:rPr>
          <w:rFonts w:ascii="Arial" w:hAnsi="Arial" w:cs="Arial"/>
        </w:rPr>
        <w:fldChar w:fldCharType="separate"/>
      </w:r>
      <w:r w:rsidR="00631E49" w:rsidRPr="00A25A3C">
        <w:rPr>
          <w:rFonts w:ascii="Arial" w:hAnsi="Arial" w:cs="Arial"/>
        </w:rPr>
        <w:t>Figure 16</w:t>
      </w:r>
      <w:r w:rsidRPr="00A25A3C">
        <w:rPr>
          <w:rFonts w:ascii="Arial" w:hAnsi="Arial" w:cs="Arial"/>
        </w:rPr>
        <w:fldChar w:fldCharType="end"/>
      </w:r>
      <w:r w:rsidRPr="00A25A3C">
        <w:rPr>
          <w:rFonts w:ascii="Arial" w:hAnsi="Arial" w:cs="Arial"/>
        </w:rPr>
        <w:t xml:space="preserve"> provides an example of the </w:t>
      </w:r>
      <w:r w:rsidRPr="00A25A3C">
        <w:rPr>
          <w:rStyle w:val="AERtextbold"/>
          <w:rFonts w:ascii="Arial" w:hAnsi="Arial" w:cs="Arial"/>
        </w:rPr>
        <w:t>Chart 3–Building blocks</w:t>
      </w:r>
      <w:r w:rsidRPr="00A25A3C">
        <w:rPr>
          <w:rFonts w:ascii="Arial" w:hAnsi="Arial" w:cs="Arial"/>
        </w:rPr>
        <w:t xml:space="preserve"> sheet.</w:t>
      </w:r>
    </w:p>
    <w:p w:rsidR="007749FC" w:rsidRPr="00A25A3C" w:rsidRDefault="007749FC" w:rsidP="007749FC">
      <w:pPr>
        <w:pStyle w:val="Caption"/>
        <w:rPr>
          <w:rFonts w:ascii="Arial" w:hAnsi="Arial" w:cs="Arial"/>
        </w:rPr>
      </w:pPr>
      <w:bookmarkStart w:id="58" w:name="_Ref399401699"/>
      <w:r w:rsidRPr="00A25A3C">
        <w:rPr>
          <w:rFonts w:ascii="Arial" w:hAnsi="Arial" w:cs="Arial"/>
        </w:rPr>
        <w:t xml:space="preserve">Figure </w:t>
      </w:r>
      <w:r w:rsidRPr="00A25A3C">
        <w:rPr>
          <w:rFonts w:ascii="Arial" w:hAnsi="Arial" w:cs="Arial"/>
        </w:rPr>
        <w:fldChar w:fldCharType="begin"/>
      </w:r>
      <w:r w:rsidRPr="00A25A3C">
        <w:rPr>
          <w:rFonts w:ascii="Arial" w:hAnsi="Arial" w:cs="Arial"/>
        </w:rPr>
        <w:instrText xml:space="preserve"> SEQ Figure \* ARABIC </w:instrText>
      </w:r>
      <w:r w:rsidRPr="00A25A3C">
        <w:rPr>
          <w:rFonts w:ascii="Arial" w:hAnsi="Arial" w:cs="Arial"/>
        </w:rPr>
        <w:fldChar w:fldCharType="separate"/>
      </w:r>
      <w:r w:rsidR="00631E49" w:rsidRPr="00A25A3C">
        <w:rPr>
          <w:rFonts w:ascii="Arial" w:hAnsi="Arial" w:cs="Arial"/>
          <w:noProof/>
        </w:rPr>
        <w:t>16</w:t>
      </w:r>
      <w:r w:rsidRPr="00A25A3C">
        <w:rPr>
          <w:rFonts w:ascii="Arial" w:hAnsi="Arial" w:cs="Arial"/>
        </w:rPr>
        <w:fldChar w:fldCharType="end"/>
      </w:r>
      <w:bookmarkEnd w:id="58"/>
      <w:r w:rsidRPr="00A25A3C">
        <w:rPr>
          <w:rFonts w:ascii="Arial" w:hAnsi="Arial" w:cs="Arial"/>
        </w:rPr>
        <w:tab/>
        <w:t>Chart 3–Building blocks sheet</w:t>
      </w:r>
    </w:p>
    <w:p w:rsidR="007749FC" w:rsidRPr="00A25A3C" w:rsidRDefault="00F542CD" w:rsidP="007749FC">
      <w:pPr>
        <w:pStyle w:val="AERbodytext"/>
        <w:numPr>
          <w:ilvl w:val="0"/>
          <w:numId w:val="9"/>
        </w:numPr>
        <w:rPr>
          <w:rFonts w:ascii="Arial" w:hAnsi="Arial" w:cs="Arial"/>
        </w:rPr>
      </w:pPr>
      <w:r w:rsidRPr="00A25A3C">
        <w:rPr>
          <w:noProof/>
          <w:lang w:eastAsia="en-AU"/>
        </w:rPr>
        <w:drawing>
          <wp:inline distT="0" distB="0" distL="0" distR="0" wp14:anchorId="49112F3A" wp14:editId="334D961E">
            <wp:extent cx="5731510" cy="396858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3968581"/>
                    </a:xfrm>
                    <a:prstGeom prst="rect">
                      <a:avLst/>
                    </a:prstGeom>
                  </pic:spPr>
                </pic:pic>
              </a:graphicData>
            </a:graphic>
          </wp:inline>
        </w:drawing>
      </w:r>
    </w:p>
    <w:p w:rsidR="007749FC" w:rsidRPr="00A25A3C" w:rsidRDefault="007749FC" w:rsidP="007749FC">
      <w:pPr>
        <w:pStyle w:val="AERbodytext"/>
        <w:numPr>
          <w:ilvl w:val="0"/>
          <w:numId w:val="9"/>
        </w:numPr>
        <w:rPr>
          <w:rFonts w:ascii="Arial" w:hAnsi="Arial" w:cs="Arial"/>
        </w:rPr>
      </w:pPr>
    </w:p>
    <w:p w:rsidR="007749FC" w:rsidRPr="001D3581" w:rsidRDefault="007749FC" w:rsidP="007749FC">
      <w:pPr>
        <w:pStyle w:val="Heading1"/>
        <w:rPr>
          <w:rFonts w:ascii="Arial" w:hAnsi="Arial" w:cs="Arial"/>
        </w:rPr>
      </w:pPr>
      <w:bookmarkStart w:id="59" w:name="_Toc410223785"/>
      <w:r w:rsidRPr="001D3581">
        <w:rPr>
          <w:rFonts w:ascii="Arial" w:hAnsi="Arial" w:cs="Arial"/>
        </w:rPr>
        <w:lastRenderedPageBreak/>
        <w:t>Process for annual return on debt update</w:t>
      </w:r>
      <w:bookmarkEnd w:id="59"/>
    </w:p>
    <w:p w:rsidR="007749FC" w:rsidRPr="001D3581" w:rsidRDefault="007749FC" w:rsidP="007749FC">
      <w:pPr>
        <w:pStyle w:val="AERbodytext"/>
        <w:numPr>
          <w:ilvl w:val="0"/>
          <w:numId w:val="9"/>
        </w:numPr>
        <w:rPr>
          <w:rFonts w:ascii="Arial" w:hAnsi="Arial" w:cs="Arial"/>
        </w:rPr>
      </w:pPr>
      <w:r w:rsidRPr="001D3581">
        <w:rPr>
          <w:rFonts w:ascii="Arial" w:hAnsi="Arial" w:cs="Arial"/>
        </w:rPr>
        <w:t xml:space="preserve">This section sets out the default process to set X factors at the time of the final decision, and the default process for annual updates of the return on debt. Some aspects of this approach will be guided by policy decisions to be made during individual determinations. However, following the process set out below will likely result in the basis for calculations that is consistent with the requirements of clauses </w:t>
      </w:r>
      <w:proofErr w:type="gramStart"/>
      <w:r w:rsidRPr="001D3581">
        <w:rPr>
          <w:rFonts w:ascii="Arial" w:hAnsi="Arial" w:cs="Arial"/>
        </w:rPr>
        <w:t>6A.6.2(</w:t>
      </w:r>
      <w:proofErr w:type="gramEnd"/>
      <w:r w:rsidRPr="001D3581">
        <w:rPr>
          <w:rFonts w:ascii="Arial" w:hAnsi="Arial" w:cs="Arial"/>
        </w:rPr>
        <w:t>h)–(l) of the NER.</w:t>
      </w:r>
    </w:p>
    <w:p w:rsidR="007749FC" w:rsidRPr="001D3581" w:rsidRDefault="007749FC" w:rsidP="007749FC">
      <w:pPr>
        <w:pStyle w:val="Heading2"/>
        <w:rPr>
          <w:rFonts w:ascii="Arial" w:hAnsi="Arial" w:cs="Arial"/>
        </w:rPr>
      </w:pPr>
      <w:bookmarkStart w:id="60" w:name="_Toc410223786"/>
      <w:r w:rsidRPr="001D3581">
        <w:rPr>
          <w:rFonts w:ascii="Arial" w:hAnsi="Arial" w:cs="Arial"/>
        </w:rPr>
        <w:t>Setting X factors for the final decision before the start of the regulatory control period</w:t>
      </w:r>
      <w:bookmarkEnd w:id="60"/>
    </w:p>
    <w:p w:rsidR="007749FC" w:rsidRPr="001D3581" w:rsidRDefault="007749FC" w:rsidP="001D3581">
      <w:pPr>
        <w:pStyle w:val="AERnumberedlistfirststyle"/>
        <w:rPr>
          <w:rFonts w:ascii="Arial" w:hAnsi="Arial" w:cs="Arial"/>
        </w:rPr>
      </w:pPr>
      <w:r w:rsidRPr="001D3581">
        <w:rPr>
          <w:rFonts w:ascii="Arial" w:hAnsi="Arial" w:cs="Arial"/>
        </w:rPr>
        <w:t xml:space="preserve">Complete all inputs in the </w:t>
      </w:r>
      <w:r w:rsidR="00607148" w:rsidRPr="001A3FE5">
        <w:rPr>
          <w:rFonts w:ascii="Arial" w:hAnsi="Arial" w:cs="Arial"/>
          <w:b/>
        </w:rPr>
        <w:t>PTRM</w:t>
      </w:r>
      <w:r w:rsidR="00607148" w:rsidRPr="001D3581">
        <w:rPr>
          <w:rFonts w:ascii="Arial" w:hAnsi="Arial" w:cs="Arial"/>
        </w:rPr>
        <w:t xml:space="preserve"> </w:t>
      </w:r>
      <w:r w:rsidR="00607148" w:rsidRPr="001D3581">
        <w:rPr>
          <w:rFonts w:ascii="Arial" w:hAnsi="Arial" w:cs="Arial"/>
          <w:b/>
        </w:rPr>
        <w:t>i</w:t>
      </w:r>
      <w:r w:rsidRPr="001D3581">
        <w:rPr>
          <w:rFonts w:ascii="Arial" w:hAnsi="Arial" w:cs="Arial"/>
          <w:b/>
        </w:rPr>
        <w:t>nput</w:t>
      </w:r>
      <w:r w:rsidRPr="001D3581">
        <w:rPr>
          <w:rFonts w:ascii="Arial" w:hAnsi="Arial" w:cs="Arial"/>
        </w:rPr>
        <w:t xml:space="preserve"> sheet. This requires a trailing average portfolio return on debt value only in G412.</w:t>
      </w:r>
      <w:r w:rsidRPr="008A552B">
        <w:rPr>
          <w:rFonts w:ascii="Arial" w:hAnsi="Arial" w:cs="Arial"/>
          <w:vertAlign w:val="superscript"/>
        </w:rPr>
        <w:footnoteReference w:id="27"/>
      </w:r>
      <w:r w:rsidRPr="001D3581">
        <w:rPr>
          <w:rFonts w:ascii="Arial" w:hAnsi="Arial" w:cs="Arial"/>
        </w:rPr>
        <w:t xml:space="preserve"> By default, the PTRM approach adopts the most recent trailing average portfolio return on debt that is entered, where there is no further forecast values entered for other years in the regulatory control period. Accordingly, it is not necessary to enter the cost of debt for later years in the regulatory control period at this stage.</w:t>
      </w:r>
      <w:r w:rsidRPr="008A552B">
        <w:rPr>
          <w:rFonts w:ascii="Arial" w:hAnsi="Arial" w:cs="Arial"/>
          <w:vertAlign w:val="superscript"/>
        </w:rPr>
        <w:footnoteReference w:id="28"/>
      </w:r>
    </w:p>
    <w:p w:rsidR="007749FC" w:rsidRPr="001D3581" w:rsidRDefault="007749FC" w:rsidP="001D3581">
      <w:pPr>
        <w:pStyle w:val="AERnumberedlistfirststyle"/>
        <w:rPr>
          <w:rFonts w:ascii="Arial" w:hAnsi="Arial" w:cs="Arial"/>
        </w:rPr>
      </w:pPr>
      <w:r w:rsidRPr="001D3581">
        <w:rPr>
          <w:rFonts w:ascii="Arial" w:hAnsi="Arial" w:cs="Arial"/>
        </w:rPr>
        <w:t xml:space="preserve">In the </w:t>
      </w:r>
      <w:r w:rsidRPr="001D3581">
        <w:rPr>
          <w:rFonts w:ascii="Arial" w:hAnsi="Arial" w:cs="Arial"/>
          <w:b/>
        </w:rPr>
        <w:t>X factors</w:t>
      </w:r>
      <w:r w:rsidRPr="001D3581">
        <w:rPr>
          <w:rFonts w:ascii="Arial" w:hAnsi="Arial" w:cs="Arial"/>
        </w:rPr>
        <w:t xml:space="preserve"> sheet, ensure that the equity raising cost</w:t>
      </w:r>
      <w:r w:rsidR="00C84F02" w:rsidRPr="001D3581">
        <w:rPr>
          <w:rFonts w:ascii="Arial" w:hAnsi="Arial" w:cs="Arial"/>
        </w:rPr>
        <w:t>s</w:t>
      </w:r>
      <w:r w:rsidRPr="001D3581">
        <w:rPr>
          <w:rFonts w:ascii="Arial" w:hAnsi="Arial" w:cs="Arial"/>
        </w:rPr>
        <w:t xml:space="preserve"> update option (cell G16) is set to 'update ERC when smoothing (default)'. This will ensure that the equity raising cost</w:t>
      </w:r>
      <w:r w:rsidR="00C84F02" w:rsidRPr="001D3581">
        <w:rPr>
          <w:rFonts w:ascii="Arial" w:hAnsi="Arial" w:cs="Arial"/>
        </w:rPr>
        <w:t>s</w:t>
      </w:r>
      <w:r w:rsidRPr="001D3581">
        <w:rPr>
          <w:rFonts w:ascii="Arial" w:hAnsi="Arial" w:cs="Arial"/>
        </w:rPr>
        <w:t xml:space="preserve"> calculations are ite</w:t>
      </w:r>
      <w:bookmarkStart w:id="61" w:name="_GoBack"/>
      <w:bookmarkEnd w:id="61"/>
      <w:r w:rsidRPr="001D3581">
        <w:rPr>
          <w:rFonts w:ascii="Arial" w:hAnsi="Arial" w:cs="Arial"/>
        </w:rPr>
        <w:t>ratively updated as part of setting the X factors.</w:t>
      </w:r>
      <w:r w:rsidRPr="008A552B">
        <w:rPr>
          <w:rFonts w:ascii="Arial" w:hAnsi="Arial" w:cs="Arial"/>
          <w:vertAlign w:val="superscript"/>
        </w:rPr>
        <w:footnoteReference w:id="29"/>
      </w:r>
    </w:p>
    <w:p w:rsidR="007749FC" w:rsidRPr="001D3581" w:rsidRDefault="007749FC" w:rsidP="001D3581">
      <w:pPr>
        <w:pStyle w:val="AERnumberedlistfirststyle"/>
        <w:rPr>
          <w:rFonts w:ascii="Arial" w:hAnsi="Arial" w:cs="Arial"/>
        </w:rPr>
      </w:pPr>
      <w:r w:rsidRPr="001D3581">
        <w:rPr>
          <w:rFonts w:ascii="Arial" w:hAnsi="Arial" w:cs="Arial"/>
        </w:rPr>
        <w:t xml:space="preserve">In the </w:t>
      </w:r>
      <w:r w:rsidRPr="001D3581">
        <w:rPr>
          <w:rFonts w:ascii="Arial" w:hAnsi="Arial" w:cs="Arial"/>
          <w:b/>
        </w:rPr>
        <w:t>X factors</w:t>
      </w:r>
      <w:r w:rsidRPr="001D3581">
        <w:rPr>
          <w:rFonts w:ascii="Arial" w:hAnsi="Arial" w:cs="Arial"/>
        </w:rPr>
        <w:t xml:space="preserve"> sheet, check that cell F21 is set to the first year of the next regulatory control period. This will ensure the correct checks and warnings operate for the model. </w:t>
      </w:r>
    </w:p>
    <w:p w:rsidR="007749FC" w:rsidRPr="001D3581" w:rsidRDefault="007749FC" w:rsidP="001D3581">
      <w:pPr>
        <w:pStyle w:val="AERnumberedlistfirststyle"/>
        <w:rPr>
          <w:rFonts w:ascii="Arial" w:hAnsi="Arial" w:cs="Arial"/>
        </w:rPr>
      </w:pPr>
      <w:r w:rsidRPr="001D3581">
        <w:rPr>
          <w:rFonts w:ascii="Arial" w:hAnsi="Arial" w:cs="Arial"/>
        </w:rPr>
        <w:t xml:space="preserve">In the </w:t>
      </w:r>
      <w:r w:rsidRPr="001D3581">
        <w:rPr>
          <w:rFonts w:ascii="Arial" w:hAnsi="Arial" w:cs="Arial"/>
          <w:b/>
        </w:rPr>
        <w:t>X factors</w:t>
      </w:r>
      <w:r w:rsidRPr="001D3581">
        <w:rPr>
          <w:rFonts w:ascii="Arial" w:hAnsi="Arial" w:cs="Arial"/>
        </w:rPr>
        <w:t xml:space="preserve"> sheet, apply revenue smoothing:</w:t>
      </w:r>
    </w:p>
    <w:p w:rsidR="007749FC" w:rsidRPr="004944ED" w:rsidRDefault="007749FC" w:rsidP="004944ED">
      <w:pPr>
        <w:pStyle w:val="AERnumberedlistsecondstyle"/>
        <w:rPr>
          <w:rFonts w:ascii="Arial" w:hAnsi="Arial" w:cs="Arial"/>
        </w:rPr>
      </w:pPr>
      <w:r w:rsidRPr="004944ED">
        <w:rPr>
          <w:rFonts w:ascii="Arial" w:hAnsi="Arial" w:cs="Arial"/>
        </w:rPr>
        <w:t xml:space="preserve">If applying the default X factor path (year 1 ABBRR = year 1 MAR; X2=X3=X4=X5; </w:t>
      </w:r>
      <w:proofErr w:type="gramStart"/>
      <w:r w:rsidRPr="004944ED">
        <w:rPr>
          <w:rFonts w:ascii="Arial" w:hAnsi="Arial" w:cs="Arial"/>
        </w:rPr>
        <w:t>NPV(</w:t>
      </w:r>
      <w:proofErr w:type="gramEnd"/>
      <w:r w:rsidRPr="004944ED">
        <w:rPr>
          <w:rFonts w:ascii="Arial" w:hAnsi="Arial" w:cs="Arial"/>
        </w:rPr>
        <w:t>ABBRR) = NPV(MAR)), press the button labelled 'Apply default smoothing'.</w:t>
      </w:r>
    </w:p>
    <w:p w:rsidR="007749FC" w:rsidRPr="004944ED" w:rsidRDefault="007749FC" w:rsidP="004944ED">
      <w:pPr>
        <w:pStyle w:val="AERnumberedlistsecondstyle"/>
        <w:rPr>
          <w:rFonts w:ascii="Arial" w:hAnsi="Arial" w:cs="Arial"/>
        </w:rPr>
      </w:pPr>
      <w:r w:rsidRPr="004944ED">
        <w:rPr>
          <w:rFonts w:ascii="Arial" w:hAnsi="Arial" w:cs="Arial"/>
        </w:rPr>
        <w:t xml:space="preserve">If applying an alternative smoothing path, manually enter values for all X factors (cells G47:P47) except one, then press the relevant button to calculate the final remaining X factor (so that </w:t>
      </w:r>
      <w:proofErr w:type="gramStart"/>
      <w:r w:rsidRPr="004944ED">
        <w:rPr>
          <w:rFonts w:ascii="Arial" w:hAnsi="Arial" w:cs="Arial"/>
        </w:rPr>
        <w:t>NPV(</w:t>
      </w:r>
      <w:proofErr w:type="gramEnd"/>
      <w:r w:rsidRPr="004944ED">
        <w:rPr>
          <w:rFonts w:ascii="Arial" w:hAnsi="Arial" w:cs="Arial"/>
        </w:rPr>
        <w:t>ABBRR) = NPV(MAR)). This final X factor can be any of the X factors in the regulatory control period (including the first year, which is also labelled as 'P0')</w:t>
      </w:r>
    </w:p>
    <w:p w:rsidR="007749FC" w:rsidRPr="004944ED" w:rsidRDefault="007749FC" w:rsidP="004944ED">
      <w:pPr>
        <w:pStyle w:val="AERnumberedlistsecondstyle"/>
        <w:rPr>
          <w:rFonts w:ascii="Arial" w:hAnsi="Arial" w:cs="Arial"/>
        </w:rPr>
      </w:pPr>
      <w:r w:rsidRPr="004944ED">
        <w:rPr>
          <w:rFonts w:ascii="Arial" w:hAnsi="Arial" w:cs="Arial"/>
        </w:rPr>
        <w:t>In either case, it is necessary to consider the resulting difference between the final year ABBRR and MAR (shown in cells R41 and R42). If this difference would not meet the requirements of NER clause 6A.6.8, return to step (b) and manually adjust one or more X factors again (ensuring that the final X factor adjustment uses the relevant button so as to jointly smooth the revenue and equity raising cost</w:t>
      </w:r>
      <w:r w:rsidR="00C84F02" w:rsidRPr="004944ED">
        <w:rPr>
          <w:rFonts w:ascii="Arial" w:hAnsi="Arial" w:cs="Arial"/>
        </w:rPr>
        <w:t>s</w:t>
      </w:r>
      <w:r w:rsidRPr="004944ED">
        <w:rPr>
          <w:rFonts w:ascii="Arial" w:hAnsi="Arial" w:cs="Arial"/>
        </w:rPr>
        <w:t xml:space="preserve"> calculations).</w:t>
      </w:r>
    </w:p>
    <w:p w:rsidR="007749FC" w:rsidRPr="004944ED" w:rsidRDefault="007749FC" w:rsidP="004944ED">
      <w:pPr>
        <w:pStyle w:val="AERnumberedlistfirststyle"/>
        <w:rPr>
          <w:rFonts w:ascii="Arial" w:hAnsi="Arial" w:cs="Arial"/>
        </w:rPr>
      </w:pPr>
      <w:r w:rsidRPr="004944ED">
        <w:rPr>
          <w:rFonts w:ascii="Arial" w:hAnsi="Arial" w:cs="Arial"/>
        </w:rPr>
        <w:t xml:space="preserve">In the </w:t>
      </w:r>
      <w:r w:rsidRPr="004944ED">
        <w:rPr>
          <w:rFonts w:ascii="Arial" w:hAnsi="Arial" w:cs="Arial"/>
          <w:b/>
        </w:rPr>
        <w:t>WACC</w:t>
      </w:r>
      <w:r w:rsidRPr="004944ED">
        <w:rPr>
          <w:rFonts w:ascii="Arial" w:hAnsi="Arial" w:cs="Arial"/>
        </w:rPr>
        <w:t xml:space="preserve"> sheet, press the 'Set </w:t>
      </w:r>
      <w:proofErr w:type="spellStart"/>
      <w:r w:rsidRPr="004944ED">
        <w:rPr>
          <w:rFonts w:ascii="Arial" w:hAnsi="Arial" w:cs="Arial"/>
        </w:rPr>
        <w:t>Te</w:t>
      </w:r>
      <w:proofErr w:type="spellEnd"/>
      <w:r w:rsidRPr="004944ED">
        <w:rPr>
          <w:rFonts w:ascii="Arial" w:hAnsi="Arial" w:cs="Arial"/>
        </w:rPr>
        <w:t xml:space="preserve"> and Td' button to copy the cash-flow derived effective tax rates for equity and debt from the </w:t>
      </w:r>
      <w:r w:rsidRPr="004944ED">
        <w:rPr>
          <w:rFonts w:ascii="Arial" w:hAnsi="Arial" w:cs="Arial"/>
          <w:b/>
        </w:rPr>
        <w:t>Analysis</w:t>
      </w:r>
      <w:r w:rsidRPr="004944ED">
        <w:rPr>
          <w:rFonts w:ascii="Arial" w:hAnsi="Arial" w:cs="Arial"/>
        </w:rPr>
        <w:t xml:space="preserve"> sheet to the appropriate cells in the </w:t>
      </w:r>
      <w:r w:rsidRPr="004944ED">
        <w:rPr>
          <w:rFonts w:ascii="Arial" w:hAnsi="Arial" w:cs="Arial"/>
          <w:b/>
        </w:rPr>
        <w:t>WACC</w:t>
      </w:r>
      <w:r w:rsidRPr="004944ED">
        <w:rPr>
          <w:rFonts w:ascii="Arial" w:hAnsi="Arial" w:cs="Arial"/>
        </w:rPr>
        <w:t xml:space="preserve"> sheet.  </w:t>
      </w:r>
    </w:p>
    <w:p w:rsidR="007749FC" w:rsidRPr="0074030B" w:rsidRDefault="007749FC" w:rsidP="0074030B">
      <w:pPr>
        <w:pStyle w:val="Heading2"/>
        <w:spacing w:before="0"/>
        <w:rPr>
          <w:rFonts w:ascii="Arial" w:hAnsi="Arial" w:cs="Arial"/>
        </w:rPr>
      </w:pPr>
      <w:bookmarkStart w:id="62" w:name="_Toc410223787"/>
      <w:r w:rsidRPr="0074030B">
        <w:rPr>
          <w:rFonts w:ascii="Arial" w:hAnsi="Arial" w:cs="Arial"/>
        </w:rPr>
        <w:lastRenderedPageBreak/>
        <w:t>Updating X factors to incorporate the annual update to the trailing average portfolio return on debt</w:t>
      </w:r>
      <w:bookmarkEnd w:id="62"/>
    </w:p>
    <w:p w:rsidR="007749FC" w:rsidRPr="0074030B" w:rsidRDefault="007749FC" w:rsidP="0074030B">
      <w:pPr>
        <w:pStyle w:val="AERnumberedlistfirststyle"/>
        <w:numPr>
          <w:ilvl w:val="1"/>
          <w:numId w:val="30"/>
        </w:numPr>
        <w:rPr>
          <w:rFonts w:ascii="Arial" w:hAnsi="Arial" w:cs="Arial"/>
        </w:rPr>
      </w:pPr>
      <w:r w:rsidRPr="0074030B">
        <w:rPr>
          <w:rFonts w:ascii="Arial" w:hAnsi="Arial" w:cs="Arial"/>
        </w:rPr>
        <w:t xml:space="preserve">In the </w:t>
      </w:r>
      <w:r w:rsidRPr="0074030B">
        <w:rPr>
          <w:rFonts w:ascii="Arial" w:hAnsi="Arial" w:cs="Arial"/>
          <w:b/>
        </w:rPr>
        <w:t>X factors</w:t>
      </w:r>
      <w:r w:rsidRPr="0074030B">
        <w:rPr>
          <w:rFonts w:ascii="Arial" w:hAnsi="Arial" w:cs="Arial"/>
        </w:rPr>
        <w:t xml:space="preserve"> sheet, select the relevant year of update in cell F21.</w:t>
      </w:r>
    </w:p>
    <w:p w:rsidR="007749FC" w:rsidRPr="0074030B" w:rsidRDefault="007749FC" w:rsidP="0074030B">
      <w:pPr>
        <w:pStyle w:val="AERnumberedlistfirststyle"/>
        <w:numPr>
          <w:ilvl w:val="1"/>
          <w:numId w:val="30"/>
        </w:numPr>
        <w:rPr>
          <w:rFonts w:ascii="Arial" w:hAnsi="Arial" w:cs="Arial"/>
        </w:rPr>
      </w:pPr>
      <w:r w:rsidRPr="0074030B">
        <w:rPr>
          <w:rFonts w:ascii="Arial" w:hAnsi="Arial" w:cs="Arial"/>
        </w:rPr>
        <w:t xml:space="preserve">In the </w:t>
      </w:r>
      <w:r w:rsidR="00607148" w:rsidRPr="008A552B">
        <w:rPr>
          <w:rFonts w:ascii="Arial" w:hAnsi="Arial" w:cs="Arial"/>
          <w:b/>
        </w:rPr>
        <w:t>PTRM i</w:t>
      </w:r>
      <w:r w:rsidRPr="008A552B">
        <w:rPr>
          <w:rFonts w:ascii="Arial" w:hAnsi="Arial" w:cs="Arial"/>
          <w:b/>
        </w:rPr>
        <w:t>nput</w:t>
      </w:r>
      <w:r w:rsidRPr="0074030B">
        <w:rPr>
          <w:rFonts w:ascii="Arial" w:hAnsi="Arial" w:cs="Arial"/>
        </w:rPr>
        <w:t xml:space="preserve"> sheet (row 412), enter the trailing average portfolio return on debt values up to and including the relevant year of update, consistent with that selected in cell F21 of the </w:t>
      </w:r>
      <w:r w:rsidRPr="001A3FE5">
        <w:rPr>
          <w:rFonts w:ascii="Arial" w:hAnsi="Arial" w:cs="Arial"/>
          <w:b/>
        </w:rPr>
        <w:t>X</w:t>
      </w:r>
      <w:r w:rsidR="00BF1095">
        <w:rPr>
          <w:rFonts w:ascii="Arial" w:hAnsi="Arial" w:cs="Arial"/>
          <w:b/>
        </w:rPr>
        <w:t> </w:t>
      </w:r>
      <w:r w:rsidRPr="001A3FE5">
        <w:rPr>
          <w:rFonts w:ascii="Arial" w:hAnsi="Arial" w:cs="Arial"/>
          <w:b/>
        </w:rPr>
        <w:t xml:space="preserve">factors </w:t>
      </w:r>
      <w:r w:rsidRPr="0074030B">
        <w:rPr>
          <w:rFonts w:ascii="Arial" w:hAnsi="Arial" w:cs="Arial"/>
        </w:rPr>
        <w:t>sheet.</w:t>
      </w:r>
      <w:r w:rsidRPr="008A552B">
        <w:rPr>
          <w:rFonts w:ascii="Arial" w:hAnsi="Arial" w:cs="Arial"/>
          <w:vertAlign w:val="superscript"/>
        </w:rPr>
        <w:footnoteReference w:id="30"/>
      </w:r>
      <w:r w:rsidRPr="0074030B">
        <w:rPr>
          <w:rFonts w:ascii="Arial" w:hAnsi="Arial" w:cs="Arial"/>
        </w:rPr>
        <w:t xml:space="preserve"> Caution notes will appear in rows 413 to 414 of the </w:t>
      </w:r>
      <w:r w:rsidR="00607148" w:rsidRPr="008A552B">
        <w:rPr>
          <w:rFonts w:ascii="Arial" w:hAnsi="Arial" w:cs="Arial"/>
          <w:b/>
        </w:rPr>
        <w:t>PTRM</w:t>
      </w:r>
      <w:r w:rsidR="00607148" w:rsidRPr="0074030B">
        <w:rPr>
          <w:rFonts w:ascii="Arial" w:hAnsi="Arial" w:cs="Arial"/>
        </w:rPr>
        <w:t xml:space="preserve"> </w:t>
      </w:r>
      <w:r w:rsidR="00607148" w:rsidRPr="0074030B">
        <w:rPr>
          <w:rFonts w:ascii="Arial" w:hAnsi="Arial" w:cs="Arial"/>
          <w:b/>
        </w:rPr>
        <w:t>i</w:t>
      </w:r>
      <w:r w:rsidRPr="0074030B">
        <w:rPr>
          <w:rFonts w:ascii="Arial" w:hAnsi="Arial" w:cs="Arial"/>
          <w:b/>
        </w:rPr>
        <w:t>nput</w:t>
      </w:r>
      <w:r w:rsidRPr="0074030B">
        <w:rPr>
          <w:rFonts w:ascii="Arial" w:hAnsi="Arial" w:cs="Arial"/>
        </w:rPr>
        <w:t xml:space="preserve"> sheet to show which inputs are necessary. No other inputs should be changed.</w:t>
      </w:r>
    </w:p>
    <w:p w:rsidR="007749FC" w:rsidRPr="0074030B" w:rsidRDefault="007749FC" w:rsidP="0074030B">
      <w:pPr>
        <w:pStyle w:val="AERnumberedlistfirststyle"/>
        <w:numPr>
          <w:ilvl w:val="1"/>
          <w:numId w:val="30"/>
        </w:numPr>
        <w:rPr>
          <w:rFonts w:ascii="Arial" w:hAnsi="Arial" w:cs="Arial"/>
        </w:rPr>
      </w:pPr>
      <w:r w:rsidRPr="0074030B">
        <w:rPr>
          <w:rFonts w:ascii="Arial" w:hAnsi="Arial" w:cs="Arial"/>
        </w:rPr>
        <w:t xml:space="preserve">In the </w:t>
      </w:r>
      <w:r w:rsidRPr="0074030B">
        <w:rPr>
          <w:rFonts w:ascii="Arial" w:hAnsi="Arial" w:cs="Arial"/>
          <w:b/>
        </w:rPr>
        <w:t>X factors</w:t>
      </w:r>
      <w:r w:rsidRPr="0074030B">
        <w:rPr>
          <w:rFonts w:ascii="Arial" w:hAnsi="Arial" w:cs="Arial"/>
        </w:rPr>
        <w:t xml:space="preserve"> sheet, ensure that the equity raising cost</w:t>
      </w:r>
      <w:r w:rsidR="00C84F02" w:rsidRPr="0074030B">
        <w:rPr>
          <w:rFonts w:ascii="Arial" w:hAnsi="Arial" w:cs="Arial"/>
        </w:rPr>
        <w:t>s</w:t>
      </w:r>
      <w:r w:rsidRPr="0074030B">
        <w:rPr>
          <w:rFonts w:ascii="Arial" w:hAnsi="Arial" w:cs="Arial"/>
        </w:rPr>
        <w:t xml:space="preserve"> update option (cell G16) is set to 'update ERC when smoothing (default)'.  </w:t>
      </w:r>
    </w:p>
    <w:p w:rsidR="007749FC" w:rsidRPr="0074030B" w:rsidRDefault="007749FC" w:rsidP="0074030B">
      <w:pPr>
        <w:pStyle w:val="AERnumberedlistfirststyle"/>
        <w:numPr>
          <w:ilvl w:val="1"/>
          <w:numId w:val="30"/>
        </w:numPr>
        <w:rPr>
          <w:rFonts w:ascii="Arial" w:hAnsi="Arial" w:cs="Arial"/>
        </w:rPr>
      </w:pPr>
      <w:r w:rsidRPr="0074030B">
        <w:rPr>
          <w:rFonts w:ascii="Arial" w:hAnsi="Arial" w:cs="Arial"/>
        </w:rPr>
        <w:t xml:space="preserve">In the </w:t>
      </w:r>
      <w:r w:rsidRPr="0074030B">
        <w:rPr>
          <w:rFonts w:ascii="Arial" w:hAnsi="Arial" w:cs="Arial"/>
          <w:b/>
        </w:rPr>
        <w:t>X factors</w:t>
      </w:r>
      <w:r w:rsidRPr="0074030B">
        <w:rPr>
          <w:rFonts w:ascii="Arial" w:hAnsi="Arial" w:cs="Arial"/>
        </w:rPr>
        <w:t xml:space="preserve"> sheet, apply smoothing to recalculate the X factor using the button for the relevant year as identified in step 1. The correct year for update will be identified by a caution note in row 51 under the smoothing X factor buttons. It is important that the X factors for past years in the regulatory control period are not altered, since these X factors reflect the revenue (and price) outcomes from those years. Further, the default approach is that only the X factor for the year of update should be altered (rather than multiple X factors, for this year and remaining years within the regulatory control period).</w:t>
      </w:r>
      <w:r w:rsidRPr="008A552B">
        <w:rPr>
          <w:rFonts w:ascii="Arial" w:hAnsi="Arial" w:cs="Arial"/>
          <w:vertAlign w:val="superscript"/>
        </w:rPr>
        <w:footnoteReference w:id="31"/>
      </w:r>
      <w:r w:rsidRPr="008A552B">
        <w:rPr>
          <w:rFonts w:ascii="Arial" w:hAnsi="Arial" w:cs="Arial"/>
          <w:vertAlign w:val="superscript"/>
        </w:rPr>
        <w:t xml:space="preserve"> </w:t>
      </w:r>
      <w:r w:rsidRPr="0074030B">
        <w:rPr>
          <w:rFonts w:ascii="Arial" w:hAnsi="Arial" w:cs="Arial"/>
        </w:rPr>
        <w:t>This means that the impact of increases/decrease in that year's return on debt will be fully reflected in price changes in that year. For example, to re-smooth for a return on debt update in year 2 the button labelled 'Set X2' would be used, and all other X factors as determined during the final decision process would remain unaltered.</w:t>
      </w:r>
    </w:p>
    <w:p w:rsidR="007749FC" w:rsidRPr="00A25A3C" w:rsidRDefault="007749FC" w:rsidP="007749FC">
      <w:pPr>
        <w:pStyle w:val="AERbodytext"/>
        <w:numPr>
          <w:ilvl w:val="0"/>
          <w:numId w:val="9"/>
        </w:numPr>
        <w:rPr>
          <w:rStyle w:val="AERtexthighlight"/>
          <w:rFonts w:ascii="Arial" w:hAnsi="Arial" w:cs="Arial"/>
        </w:rPr>
      </w:pPr>
    </w:p>
    <w:p w:rsidR="00CE42E7" w:rsidRPr="0026215E" w:rsidRDefault="00CE42E7" w:rsidP="007749FC">
      <w:pPr>
        <w:rPr>
          <w:rFonts w:ascii="Arial" w:hAnsi="Arial" w:cs="Arial"/>
        </w:rPr>
      </w:pPr>
    </w:p>
    <w:sectPr w:rsidR="00CE42E7" w:rsidRPr="0026215E" w:rsidSect="006E08F4">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A5" w:rsidRPr="00AB4345" w:rsidRDefault="00236AA5" w:rsidP="00AB4345">
      <w:r>
        <w:separator/>
      </w:r>
    </w:p>
  </w:endnote>
  <w:endnote w:type="continuationSeparator" w:id="0">
    <w:p w:rsidR="00236AA5" w:rsidRPr="00AB4345" w:rsidRDefault="00236AA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54882516"/>
      <w:docPartObj>
        <w:docPartGallery w:val="Page Numbers (Bottom of Page)"/>
        <w:docPartUnique/>
      </w:docPartObj>
    </w:sdtPr>
    <w:sdtContent>
      <w:p w:rsidR="00236AA5" w:rsidRPr="006E08F4" w:rsidRDefault="00236AA5" w:rsidP="00824CC8">
        <w:pPr>
          <w:pStyle w:val="Footer"/>
          <w:rPr>
            <w:rFonts w:ascii="Arial" w:hAnsi="Arial" w:cs="Arial"/>
          </w:rPr>
        </w:pPr>
        <w:r w:rsidRPr="006E08F4">
          <w:rPr>
            <w:rFonts w:ascii="Arial" w:hAnsi="Arial" w:cs="Arial"/>
          </w:rPr>
          <w:fldChar w:fldCharType="begin"/>
        </w:r>
        <w:r w:rsidRPr="006E08F4">
          <w:rPr>
            <w:rFonts w:ascii="Arial" w:hAnsi="Arial" w:cs="Arial"/>
          </w:rPr>
          <w:instrText xml:space="preserve"> PAGE   \* MERGEFORMAT </w:instrText>
        </w:r>
        <w:r w:rsidRPr="006E08F4">
          <w:rPr>
            <w:rFonts w:ascii="Arial" w:hAnsi="Arial" w:cs="Arial"/>
          </w:rPr>
          <w:fldChar w:fldCharType="separate"/>
        </w:r>
        <w:r w:rsidR="000A2B6A">
          <w:rPr>
            <w:rFonts w:ascii="Arial" w:hAnsi="Arial" w:cs="Arial"/>
            <w:noProof/>
          </w:rPr>
          <w:t>34</w:t>
        </w:r>
        <w:r w:rsidRPr="006E08F4">
          <w:rPr>
            <w:rFonts w:ascii="Arial" w:hAnsi="Arial" w:cs="Arial"/>
          </w:rPr>
          <w:fldChar w:fldCharType="end"/>
        </w:r>
        <w:r w:rsidRPr="006E08F4">
          <w:rPr>
            <w:rFonts w:ascii="Arial" w:hAnsi="Arial" w:cs="Arial"/>
          </w:rPr>
          <w:tab/>
        </w:r>
        <w:r>
          <w:rPr>
            <w:rFonts w:ascii="Arial" w:hAnsi="Arial" w:cs="Arial"/>
          </w:rPr>
          <w:t xml:space="preserve">                      </w:t>
        </w:r>
        <w:r w:rsidRPr="006E08F4">
          <w:rPr>
            <w:rStyle w:val="AERbody"/>
            <w:rFonts w:ascii="Arial" w:hAnsi="Arial" w:cs="Arial"/>
          </w:rPr>
          <w:t xml:space="preserve">Post-tax revenue model handbook | Electricity </w:t>
        </w:r>
        <w:r>
          <w:rPr>
            <w:rStyle w:val="AERbody"/>
            <w:rFonts w:ascii="Arial" w:hAnsi="Arial" w:cs="Arial"/>
          </w:rPr>
          <w:t>transmission</w:t>
        </w:r>
        <w:r w:rsidRPr="006E08F4">
          <w:rPr>
            <w:rStyle w:val="AERbody"/>
            <w:rFonts w:ascii="Arial" w:hAnsi="Arial" w:cs="Arial"/>
          </w:rPr>
          <w:t xml:space="preserve"> network service providers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A5" w:rsidRPr="006E08F4" w:rsidRDefault="00236AA5" w:rsidP="00824CC8">
    <w:pPr>
      <w:pStyle w:val="Footer"/>
      <w:rPr>
        <w:rStyle w:val="AERbody"/>
        <w:rFonts w:ascii="Arial" w:hAnsi="Arial" w:cs="Arial"/>
      </w:rPr>
    </w:pPr>
    <w:r w:rsidRPr="006E08F4">
      <w:rPr>
        <w:rStyle w:val="AERbody"/>
        <w:rFonts w:ascii="Arial" w:hAnsi="Arial" w:cs="Arial"/>
      </w:rPr>
      <w:t>Post-tax revenue model handbook | Electricity transmission network service providers</w:t>
    </w:r>
    <w:r w:rsidRPr="006E08F4">
      <w:rPr>
        <w:rStyle w:val="AERbody"/>
        <w:rFonts w:ascii="Arial" w:hAnsi="Arial" w:cs="Arial"/>
      </w:rPr>
      <w:tab/>
    </w:r>
    <w:r w:rsidRPr="006E08F4">
      <w:rPr>
        <w:rStyle w:val="AERbody"/>
        <w:rFonts w:ascii="Arial" w:hAnsi="Arial" w:cs="Arial"/>
      </w:rPr>
      <w:fldChar w:fldCharType="begin"/>
    </w:r>
    <w:r w:rsidRPr="006E08F4">
      <w:rPr>
        <w:rStyle w:val="AERbody"/>
        <w:rFonts w:ascii="Arial" w:hAnsi="Arial" w:cs="Arial"/>
      </w:rPr>
      <w:instrText xml:space="preserve"> PAGE   \* MERGEFORMAT </w:instrText>
    </w:r>
    <w:r w:rsidRPr="006E08F4">
      <w:rPr>
        <w:rStyle w:val="AERbody"/>
        <w:rFonts w:ascii="Arial" w:hAnsi="Arial" w:cs="Arial"/>
      </w:rPr>
      <w:fldChar w:fldCharType="separate"/>
    </w:r>
    <w:r w:rsidR="000A2B6A">
      <w:rPr>
        <w:rStyle w:val="AERbody"/>
        <w:rFonts w:ascii="Arial" w:hAnsi="Arial" w:cs="Arial"/>
        <w:noProof/>
      </w:rPr>
      <w:t>35</w:t>
    </w:r>
    <w:r w:rsidRPr="006E08F4">
      <w:rPr>
        <w:rStyle w:val="AERbod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A5" w:rsidRPr="00AB4345" w:rsidRDefault="00236AA5" w:rsidP="00AB4345">
      <w:r>
        <w:separator/>
      </w:r>
    </w:p>
  </w:footnote>
  <w:footnote w:type="continuationSeparator" w:id="0">
    <w:p w:rsidR="00236AA5" w:rsidRPr="00AB4345" w:rsidRDefault="00236AA5" w:rsidP="00AB4345">
      <w:r>
        <w:continuationSeparator/>
      </w:r>
    </w:p>
  </w:footnote>
  <w:footnote w:id="1">
    <w:p w:rsidR="00236AA5" w:rsidRPr="006E08F4" w:rsidRDefault="00236AA5" w:rsidP="006D46C0">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The set of Microsoft Excel spreadsheets which constitute the PTRM were created in Microsoft Excel 20</w:t>
      </w:r>
      <w:r>
        <w:rPr>
          <w:rFonts w:ascii="Arial" w:hAnsi="Arial" w:cs="Arial"/>
        </w:rPr>
        <w:t>10</w:t>
      </w:r>
      <w:r w:rsidRPr="006E08F4">
        <w:rPr>
          <w:rFonts w:ascii="Arial" w:hAnsi="Arial" w:cs="Arial"/>
        </w:rPr>
        <w:t>. The AER recommends this or a later version of Microsoft Excel be used in applying these spreadsheets.</w:t>
      </w:r>
    </w:p>
  </w:footnote>
  <w:footnote w:id="2">
    <w:p w:rsidR="00236AA5" w:rsidRPr="00492A71" w:rsidRDefault="00236AA5">
      <w:pPr>
        <w:pStyle w:val="FootnoteText"/>
        <w:rPr>
          <w:rFonts w:ascii="Arial" w:hAnsi="Arial" w:cs="Arial"/>
        </w:rPr>
      </w:pPr>
      <w:r w:rsidRPr="00492A71">
        <w:rPr>
          <w:rStyle w:val="FootnoteReference"/>
          <w:rFonts w:ascii="Arial" w:hAnsi="Arial" w:cs="Arial"/>
        </w:rPr>
        <w:footnoteRef/>
      </w:r>
      <w:r w:rsidRPr="00492A71">
        <w:rPr>
          <w:rFonts w:ascii="Arial" w:hAnsi="Arial" w:cs="Arial"/>
        </w:rPr>
        <w:t xml:space="preserve"> </w:t>
      </w:r>
      <w:r w:rsidRPr="00492A71">
        <w:rPr>
          <w:rFonts w:ascii="Arial" w:hAnsi="Arial" w:cs="Arial"/>
        </w:rPr>
        <w:tab/>
        <w:t>This requires the total smoothed and unsmoothed revenues to be equal in net present value</w:t>
      </w:r>
      <w:r>
        <w:rPr>
          <w:rFonts w:ascii="Arial" w:hAnsi="Arial" w:cs="Arial"/>
        </w:rPr>
        <w:t xml:space="preserve"> (NPV)</w:t>
      </w:r>
      <w:r w:rsidRPr="00492A71">
        <w:rPr>
          <w:rFonts w:ascii="Arial" w:hAnsi="Arial" w:cs="Arial"/>
        </w:rPr>
        <w:t xml:space="preserve"> terms.</w:t>
      </w:r>
    </w:p>
  </w:footnote>
  <w:footnote w:id="3">
    <w:p w:rsidR="00236AA5" w:rsidRPr="006A462A" w:rsidRDefault="00236AA5">
      <w:pPr>
        <w:pStyle w:val="FootnoteText"/>
        <w:rPr>
          <w:rFonts w:ascii="Arial" w:hAnsi="Arial" w:cs="Arial"/>
        </w:rPr>
      </w:pPr>
      <w:r w:rsidRPr="006A462A">
        <w:rPr>
          <w:rStyle w:val="FootnoteReference"/>
          <w:rFonts w:ascii="Arial" w:hAnsi="Arial" w:cs="Arial"/>
        </w:rPr>
        <w:footnoteRef/>
      </w:r>
      <w:r w:rsidRPr="006A462A">
        <w:rPr>
          <w:rFonts w:ascii="Arial" w:hAnsi="Arial" w:cs="Arial"/>
        </w:rPr>
        <w:t xml:space="preserve"> </w:t>
      </w:r>
      <w:r w:rsidRPr="006A462A">
        <w:rPr>
          <w:rFonts w:ascii="Arial" w:hAnsi="Arial" w:cs="Arial"/>
        </w:rPr>
        <w:tab/>
        <w:t>Note that this is an iterative process, because changing smoothed revenue alters equity raising costs, changing equity raising costs alters unsmoothed revenue, and changing unsmoothed revenue alters smoothed revenue.</w:t>
      </w:r>
    </w:p>
  </w:footnote>
  <w:footnote w:id="4">
    <w:p w:rsidR="00236AA5" w:rsidRPr="00955F62" w:rsidRDefault="00236AA5" w:rsidP="003D7E29">
      <w:pPr>
        <w:pStyle w:val="FootnoteText"/>
        <w:rPr>
          <w:rFonts w:ascii="Arial" w:hAnsi="Arial" w:cs="Arial"/>
        </w:rPr>
      </w:pPr>
      <w:r w:rsidRPr="00955F62">
        <w:rPr>
          <w:rStyle w:val="FootnoteReference"/>
          <w:rFonts w:ascii="Arial" w:hAnsi="Arial" w:cs="Arial"/>
        </w:rPr>
        <w:footnoteRef/>
      </w:r>
      <w:r w:rsidRPr="00955F62">
        <w:rPr>
          <w:rFonts w:ascii="Arial" w:hAnsi="Arial" w:cs="Arial"/>
        </w:rPr>
        <w:t xml:space="preserve"> </w:t>
      </w:r>
      <w:r w:rsidRPr="00955F62">
        <w:rPr>
          <w:rFonts w:ascii="Arial" w:hAnsi="Arial" w:cs="Arial"/>
        </w:rPr>
        <w:tab/>
        <w:t xml:space="preserve">For example, whether the PTRM relates to the Regulatory proposal, Draft decision, </w:t>
      </w:r>
      <w:proofErr w:type="gramStart"/>
      <w:r w:rsidRPr="00955F62">
        <w:rPr>
          <w:rFonts w:ascii="Arial" w:hAnsi="Arial" w:cs="Arial"/>
        </w:rPr>
        <w:t>Revised</w:t>
      </w:r>
      <w:proofErr w:type="gramEnd"/>
      <w:r w:rsidRPr="00955F62">
        <w:rPr>
          <w:rFonts w:ascii="Arial" w:hAnsi="Arial" w:cs="Arial"/>
        </w:rPr>
        <w:t xml:space="preserve"> regulatory proposal or Final decision.</w:t>
      </w:r>
    </w:p>
  </w:footnote>
  <w:footnote w:id="5">
    <w:p w:rsidR="00236AA5" w:rsidRPr="00AE5294" w:rsidRDefault="00236AA5">
      <w:pPr>
        <w:pStyle w:val="FootnoteText"/>
        <w:rPr>
          <w:rFonts w:ascii="Arial" w:hAnsi="Arial" w:cs="Arial"/>
        </w:rPr>
      </w:pPr>
      <w:r w:rsidRPr="00AE5294">
        <w:rPr>
          <w:rStyle w:val="FootnoteReference"/>
          <w:rFonts w:ascii="Arial" w:hAnsi="Arial" w:cs="Arial"/>
        </w:rPr>
        <w:footnoteRef/>
      </w:r>
      <w:r w:rsidRPr="00AE5294">
        <w:rPr>
          <w:rFonts w:ascii="Arial" w:hAnsi="Arial" w:cs="Arial"/>
        </w:rPr>
        <w:t xml:space="preserve"> </w:t>
      </w:r>
      <w:r w:rsidRPr="00AE5294">
        <w:rPr>
          <w:rFonts w:ascii="Arial" w:hAnsi="Arial" w:cs="Arial"/>
        </w:rPr>
        <w:tab/>
        <w:t xml:space="preserve">The depreciation profiles would be subject to satisfying the requirements of clauses </w:t>
      </w:r>
      <w:proofErr w:type="gramStart"/>
      <w:r w:rsidRPr="00AE5294">
        <w:rPr>
          <w:rFonts w:ascii="Arial" w:hAnsi="Arial" w:cs="Arial"/>
        </w:rPr>
        <w:t>6</w:t>
      </w:r>
      <w:r>
        <w:rPr>
          <w:rFonts w:ascii="Arial" w:hAnsi="Arial" w:cs="Arial"/>
        </w:rPr>
        <w:t>A</w:t>
      </w:r>
      <w:r w:rsidRPr="00AE5294">
        <w:rPr>
          <w:rFonts w:ascii="Arial" w:hAnsi="Arial" w:cs="Arial"/>
        </w:rPr>
        <w:t>.</w:t>
      </w:r>
      <w:r>
        <w:rPr>
          <w:rFonts w:ascii="Arial" w:hAnsi="Arial" w:cs="Arial"/>
        </w:rPr>
        <w:t>6</w:t>
      </w:r>
      <w:r w:rsidRPr="00AE5294">
        <w:rPr>
          <w:rFonts w:ascii="Arial" w:hAnsi="Arial" w:cs="Arial"/>
        </w:rPr>
        <w:t>.</w:t>
      </w:r>
      <w:r>
        <w:rPr>
          <w:rFonts w:ascii="Arial" w:hAnsi="Arial" w:cs="Arial"/>
        </w:rPr>
        <w:t>3</w:t>
      </w:r>
      <w:r w:rsidRPr="00AE5294">
        <w:rPr>
          <w:rFonts w:ascii="Arial" w:hAnsi="Arial" w:cs="Arial"/>
        </w:rPr>
        <w:t>(</w:t>
      </w:r>
      <w:proofErr w:type="gramEnd"/>
      <w:r w:rsidRPr="00AE5294">
        <w:rPr>
          <w:rFonts w:ascii="Arial" w:hAnsi="Arial" w:cs="Arial"/>
        </w:rPr>
        <w:t>b) and 6</w:t>
      </w:r>
      <w:r>
        <w:rPr>
          <w:rFonts w:ascii="Arial" w:hAnsi="Arial" w:cs="Arial"/>
        </w:rPr>
        <w:t>A</w:t>
      </w:r>
      <w:r w:rsidRPr="00AE5294">
        <w:rPr>
          <w:rFonts w:ascii="Arial" w:hAnsi="Arial" w:cs="Arial"/>
        </w:rPr>
        <w:t>.</w:t>
      </w:r>
      <w:r>
        <w:rPr>
          <w:rFonts w:ascii="Arial" w:hAnsi="Arial" w:cs="Arial"/>
        </w:rPr>
        <w:t>6</w:t>
      </w:r>
      <w:r w:rsidRPr="00AE5294">
        <w:rPr>
          <w:rFonts w:ascii="Arial" w:hAnsi="Arial" w:cs="Arial"/>
        </w:rPr>
        <w:t>.</w:t>
      </w:r>
      <w:r>
        <w:rPr>
          <w:rFonts w:ascii="Arial" w:hAnsi="Arial" w:cs="Arial"/>
        </w:rPr>
        <w:t>4</w:t>
      </w:r>
      <w:r w:rsidRPr="00AE5294">
        <w:rPr>
          <w:rFonts w:ascii="Arial" w:hAnsi="Arial" w:cs="Arial"/>
        </w:rPr>
        <w:t xml:space="preserve"> of the NER.</w:t>
      </w:r>
    </w:p>
  </w:footnote>
  <w:footnote w:id="6">
    <w:p w:rsidR="00236AA5" w:rsidRPr="00AE5294" w:rsidRDefault="00236AA5">
      <w:pPr>
        <w:pStyle w:val="FootnoteText"/>
        <w:rPr>
          <w:rFonts w:ascii="Arial" w:hAnsi="Arial" w:cs="Arial"/>
        </w:rPr>
      </w:pPr>
      <w:r w:rsidRPr="00AE5294">
        <w:rPr>
          <w:rStyle w:val="FootnoteReference"/>
          <w:rFonts w:ascii="Arial" w:hAnsi="Arial" w:cs="Arial"/>
        </w:rPr>
        <w:footnoteRef/>
      </w:r>
      <w:r w:rsidRPr="00AE5294">
        <w:rPr>
          <w:rFonts w:ascii="Arial" w:hAnsi="Arial" w:cs="Arial"/>
        </w:rPr>
        <w:t xml:space="preserve"> </w:t>
      </w:r>
      <w:r w:rsidRPr="00AE5294">
        <w:rPr>
          <w:rFonts w:ascii="Arial" w:hAnsi="Arial" w:cs="Arial"/>
        </w:rPr>
        <w:tab/>
      </w:r>
      <w:r w:rsidRPr="00DD5533">
        <w:rPr>
          <w:rFonts w:ascii="Arial" w:hAnsi="Arial" w:cs="Arial"/>
        </w:rPr>
        <w:t>Clause 6</w:t>
      </w:r>
      <w:r>
        <w:rPr>
          <w:rFonts w:ascii="Arial" w:hAnsi="Arial" w:cs="Arial"/>
        </w:rPr>
        <w:t>A</w:t>
      </w:r>
      <w:r w:rsidRPr="00DD5533">
        <w:rPr>
          <w:rFonts w:ascii="Arial" w:hAnsi="Arial" w:cs="Arial"/>
        </w:rPr>
        <w:t>.</w:t>
      </w:r>
      <w:r>
        <w:rPr>
          <w:rFonts w:ascii="Arial" w:hAnsi="Arial" w:cs="Arial"/>
        </w:rPr>
        <w:t>10.1A</w:t>
      </w:r>
      <w:r w:rsidRPr="00DD5533">
        <w:rPr>
          <w:rFonts w:ascii="Arial" w:hAnsi="Arial" w:cs="Arial"/>
        </w:rPr>
        <w:t xml:space="preserve"> of the NER sets out the requirements of the framework and approach</w:t>
      </w:r>
      <w:r>
        <w:rPr>
          <w:rFonts w:ascii="Arial" w:hAnsi="Arial" w:cs="Arial"/>
        </w:rPr>
        <w:t xml:space="preserve"> applying to a determination.</w:t>
      </w:r>
    </w:p>
  </w:footnote>
  <w:footnote w:id="7">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The partially as-incurred method for recognising capex calculates the return on capital based on an as-incurred approach and the return of capital (regulatory depreciation) is based on an as-commissioned approach.</w:t>
      </w:r>
    </w:p>
  </w:footnote>
  <w:footnote w:id="8">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270A6F">
        <w:rPr>
          <w:rFonts w:ascii="Arial" w:hAnsi="Arial" w:cs="Arial"/>
        </w:rPr>
        <w:t>The button at the left of row 56 may be pressed to display/hide rows 37 to 55 (asset classes 31 to 49).</w:t>
      </w:r>
    </w:p>
  </w:footnote>
  <w:footnote w:id="9">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The PTRM can be expanded to accommodate additional asset classes, when necessary.</w:t>
      </w:r>
    </w:p>
  </w:footnote>
  <w:footnote w:id="10">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270A6F">
        <w:rPr>
          <w:rFonts w:ascii="Arial" w:hAnsi="Arial" w:cs="Arial"/>
        </w:rPr>
        <w:t>The 50th asset class is designed to be used only with the 'Equity raising costs' asset class. Several defined name ranges use this asset class to implement the iterative equity raising costs update when smoothing total revenue.</w:t>
      </w:r>
    </w:p>
  </w:footnote>
  <w:footnote w:id="11">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8A552B">
        <w:rPr>
          <w:rFonts w:ascii="Arial" w:hAnsi="Arial" w:cs="Arial"/>
        </w:rPr>
        <w:t>Row 110 (asset class 50) is designed to be used for equity raising costs only.</w:t>
      </w:r>
      <w:r w:rsidRPr="006E08F4">
        <w:rPr>
          <w:rFonts w:ascii="Arial" w:hAnsi="Arial" w:cs="Arial"/>
        </w:rPr>
        <w:t xml:space="preserve"> </w:t>
      </w:r>
    </w:p>
  </w:footnote>
  <w:footnote w:id="12">
    <w:p w:rsidR="00236AA5" w:rsidRPr="008103BA" w:rsidRDefault="00236AA5">
      <w:pPr>
        <w:pStyle w:val="FootnoteText"/>
        <w:rPr>
          <w:rFonts w:ascii="Arial" w:hAnsi="Arial" w:cs="Arial"/>
        </w:rPr>
      </w:pPr>
      <w:r w:rsidRPr="008103BA">
        <w:rPr>
          <w:rStyle w:val="FootnoteReference"/>
          <w:rFonts w:ascii="Arial" w:hAnsi="Arial" w:cs="Arial"/>
        </w:rPr>
        <w:footnoteRef/>
      </w:r>
      <w:r w:rsidRPr="008103BA">
        <w:rPr>
          <w:rFonts w:ascii="Arial" w:hAnsi="Arial" w:cs="Arial"/>
        </w:rPr>
        <w:t xml:space="preserve"> </w:t>
      </w:r>
      <w:r w:rsidRPr="008103BA">
        <w:rPr>
          <w:rFonts w:ascii="Arial" w:hAnsi="Arial" w:cs="Arial"/>
        </w:rPr>
        <w:tab/>
        <w:t>The PTRM templates include sample revenue adjustments line items, which should be treated as basic examples of the type of revenue adjustments (and tax treatments) that might be included. The examples should not be read as indicating the AER’s position on the tax implications of these particular revenue adjustments.</w:t>
      </w:r>
    </w:p>
  </w:footnote>
  <w:footnote w:id="13">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 xml:space="preserve">Clause </w:t>
      </w:r>
      <w:proofErr w:type="gramStart"/>
      <w:r w:rsidRPr="006E08F4">
        <w:rPr>
          <w:rFonts w:ascii="Arial" w:hAnsi="Arial" w:cs="Arial"/>
        </w:rPr>
        <w:t>6A.5.3(</w:t>
      </w:r>
      <w:proofErr w:type="gramEnd"/>
      <w:r w:rsidRPr="006E08F4">
        <w:rPr>
          <w:rFonts w:ascii="Arial" w:hAnsi="Arial" w:cs="Arial"/>
        </w:rPr>
        <w:t xml:space="preserve">b)(1) of the NER requires the AER to specify in the PTRM a methodology that is likely to result in the best estimate of expected inflation. The AER uses an approach that calculates the geometric average based on the inflation forecasts for two years sourced from the latest available Reserve Bank of Australia’s (RBA’s) </w:t>
      </w:r>
      <w:r w:rsidRPr="006E08F4">
        <w:rPr>
          <w:rStyle w:val="AERtextitalic"/>
          <w:rFonts w:ascii="Arial" w:hAnsi="Arial" w:cs="Arial"/>
        </w:rPr>
        <w:t>Statement of monetary policy</w:t>
      </w:r>
      <w:r w:rsidRPr="006E08F4">
        <w:rPr>
          <w:rFonts w:ascii="Arial" w:hAnsi="Arial" w:cs="Arial"/>
        </w:rPr>
        <w:t xml:space="preserve"> and the mid-point of the RBA’s target inflation band for eight years (see AER, </w:t>
      </w:r>
      <w:r w:rsidRPr="006E08F4">
        <w:rPr>
          <w:rStyle w:val="AERtextitalic"/>
          <w:rFonts w:ascii="Arial" w:hAnsi="Arial" w:cs="Arial"/>
        </w:rPr>
        <w:t>Final decision, TransGrid transmission determination 2009–10 to 2013–14</w:t>
      </w:r>
      <w:r w:rsidRPr="006E08F4">
        <w:rPr>
          <w:rFonts w:ascii="Arial" w:hAnsi="Arial" w:cs="Arial"/>
        </w:rPr>
        <w:t>, 28 April 2009, pp. 60–64).</w:t>
      </w:r>
    </w:p>
  </w:footnote>
  <w:footnote w:id="14">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6E08F4">
        <w:rPr>
          <w:rStyle w:val="AERtextitalic"/>
          <w:rFonts w:ascii="Arial" w:hAnsi="Arial" w:cs="Arial"/>
          <w:i w:val="0"/>
        </w:rPr>
        <w:t>AER,</w:t>
      </w:r>
      <w:r w:rsidRPr="006E08F4">
        <w:rPr>
          <w:rStyle w:val="AERtextitalic"/>
          <w:rFonts w:ascii="Arial" w:hAnsi="Arial" w:cs="Arial"/>
        </w:rPr>
        <w:t xml:space="preserve"> Better regulation: Rate of return guideline</w:t>
      </w:r>
      <w:r w:rsidRPr="006E08F4">
        <w:rPr>
          <w:rStyle w:val="AERtextitalic"/>
          <w:rFonts w:ascii="Arial" w:hAnsi="Arial" w:cs="Arial"/>
          <w:i w:val="0"/>
        </w:rPr>
        <w:t>, December 2013.</w:t>
      </w:r>
    </w:p>
  </w:footnote>
  <w:footnote w:id="15">
    <w:p w:rsidR="00236AA5" w:rsidRPr="006406AA" w:rsidRDefault="00236AA5">
      <w:pPr>
        <w:pStyle w:val="FootnoteText"/>
        <w:rPr>
          <w:rFonts w:ascii="Arial" w:hAnsi="Arial" w:cs="Arial"/>
        </w:rPr>
      </w:pPr>
      <w:r w:rsidRPr="006406AA">
        <w:rPr>
          <w:rStyle w:val="FootnoteReference"/>
          <w:rFonts w:ascii="Arial" w:hAnsi="Arial" w:cs="Arial"/>
        </w:rPr>
        <w:footnoteRef/>
      </w:r>
      <w:r w:rsidRPr="006406AA">
        <w:rPr>
          <w:rFonts w:ascii="Arial" w:hAnsi="Arial" w:cs="Arial"/>
        </w:rPr>
        <w:t xml:space="preserve"> </w:t>
      </w:r>
      <w:r w:rsidRPr="006406AA">
        <w:rPr>
          <w:rFonts w:ascii="Arial" w:hAnsi="Arial" w:cs="Arial"/>
        </w:rPr>
        <w:tab/>
      </w:r>
      <w:proofErr w:type="gramStart"/>
      <w:r w:rsidRPr="006406AA">
        <w:rPr>
          <w:rFonts w:ascii="Arial" w:hAnsi="Arial" w:cs="Arial"/>
        </w:rPr>
        <w:t>These link</w:t>
      </w:r>
      <w:proofErr w:type="gramEnd"/>
      <w:r w:rsidRPr="006406AA">
        <w:rPr>
          <w:rFonts w:ascii="Arial" w:hAnsi="Arial" w:cs="Arial"/>
        </w:rPr>
        <w:t xml:space="preserve"> to the cash-flow analysis excluding the effect of revenue adjustments, which is the relevant basis for checking that the target </w:t>
      </w:r>
      <w:r w:rsidRPr="00865477">
        <w:rPr>
          <w:rFonts w:ascii="Arial" w:hAnsi="Arial" w:cs="Arial"/>
        </w:rPr>
        <w:t xml:space="preserve">return </w:t>
      </w:r>
      <w:r w:rsidRPr="006406AA">
        <w:rPr>
          <w:rFonts w:ascii="Arial" w:hAnsi="Arial" w:cs="Arial"/>
        </w:rPr>
        <w:t>on equity has been met.</w:t>
      </w:r>
    </w:p>
  </w:footnote>
  <w:footnote w:id="16">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 xml:space="preserve">See rows 24 to 27 in the </w:t>
      </w:r>
      <w:r w:rsidRPr="006E08F4">
        <w:rPr>
          <w:rStyle w:val="AERtextbold"/>
          <w:rFonts w:ascii="Arial" w:hAnsi="Arial" w:cs="Arial"/>
        </w:rPr>
        <w:t>Analysis</w:t>
      </w:r>
      <w:r w:rsidRPr="006E08F4">
        <w:rPr>
          <w:rFonts w:ascii="Arial" w:hAnsi="Arial" w:cs="Arial"/>
        </w:rPr>
        <w:t xml:space="preserve"> sheet, which calculate the return on capital and provide a breakdown of the return on equity and return on debt.</w:t>
      </w:r>
    </w:p>
  </w:footnote>
  <w:footnote w:id="17">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The half-real vanilla WACC is calculated as the square root of (1 + real vanilla WACC) – 1 to account for the compounding effect on an annual rate.</w:t>
      </w:r>
    </w:p>
  </w:footnote>
  <w:footnote w:id="18">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The timing of the capex cash flow is assumed to be mid-year.</w:t>
      </w:r>
    </w:p>
  </w:footnote>
  <w:footnote w:id="19">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36E97">
        <w:rPr>
          <w:rFonts w:ascii="Arial" w:hAnsi="Arial" w:cs="Arial"/>
        </w:rPr>
        <w:t>The AER in its regulatory determinations has considered a divergence of up to 3 per cent between the expected MAR and ABBR for the final year of the regulatory control period to be reasonable if this can achieve smoother price changes for customers over the regulatory control period.</w:t>
      </w:r>
    </w:p>
  </w:footnote>
  <w:footnote w:id="20">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36E97">
        <w:rPr>
          <w:rFonts w:ascii="Arial" w:hAnsi="Arial" w:cs="Arial"/>
        </w:rPr>
        <w:t>This is not the only change that flows from a change to the return on debt – the return on capital and return of capital building blocks will change, and therefore so will the tax building block.</w:t>
      </w:r>
    </w:p>
  </w:footnote>
  <w:footnote w:id="21">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36E97">
        <w:rPr>
          <w:rFonts w:ascii="Arial" w:hAnsi="Arial" w:cs="Arial"/>
        </w:rPr>
        <w:t>These price paths are also presented for comparability with the distribution PTRM, where they relate to additional alternative forms of control (specifically, the weighted average price cap and revenue yield cap) which are available to DNSPs but not TNSPs.</w:t>
      </w:r>
    </w:p>
  </w:footnote>
  <w:footnote w:id="22">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36E97">
        <w:rPr>
          <w:rFonts w:ascii="Arial" w:hAnsi="Arial" w:cs="Arial"/>
        </w:rPr>
        <w:t>The average yearly change is calculated as the geometric mean (not the arithmetic mean), and therefore reflects the cumulative impact of year-on-year percentage changes across the regulatory control period. In other words, the value shown in cells S40, S43, S52 and S55 is the percentage change that, if applied to every year in the regulatory control period, would arrive at the total cumulative change across the period.</w:t>
      </w:r>
    </w:p>
  </w:footnote>
  <w:footnote w:id="23">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proofErr w:type="gramStart"/>
      <w:r w:rsidRPr="006E08F4">
        <w:rPr>
          <w:rFonts w:ascii="Arial" w:hAnsi="Arial" w:cs="Arial"/>
        </w:rPr>
        <w:t xml:space="preserve">AER, </w:t>
      </w:r>
      <w:r w:rsidRPr="006E08F4">
        <w:rPr>
          <w:rStyle w:val="AERtextitalic"/>
          <w:rFonts w:ascii="Arial" w:hAnsi="Arial" w:cs="Arial"/>
        </w:rPr>
        <w:t xml:space="preserve">Final decision, </w:t>
      </w:r>
      <w:proofErr w:type="spellStart"/>
      <w:r w:rsidRPr="006E08F4">
        <w:rPr>
          <w:rStyle w:val="AERtextitalic"/>
          <w:rFonts w:ascii="Arial" w:hAnsi="Arial" w:cs="Arial"/>
        </w:rPr>
        <w:t>Powerlink</w:t>
      </w:r>
      <w:proofErr w:type="spellEnd"/>
      <w:r w:rsidRPr="006E08F4">
        <w:rPr>
          <w:rStyle w:val="AERtextitalic"/>
          <w:rFonts w:ascii="Arial" w:hAnsi="Arial" w:cs="Arial"/>
        </w:rPr>
        <w:t xml:space="preserve"> transmission determination 2012–13 to 2016–17</w:t>
      </w:r>
      <w:r w:rsidRPr="006E08F4">
        <w:rPr>
          <w:rFonts w:ascii="Arial" w:hAnsi="Arial" w:cs="Arial"/>
        </w:rPr>
        <w:t>, April 2012, pp. 145–147.</w:t>
      </w:r>
      <w:proofErr w:type="gramEnd"/>
    </w:p>
  </w:footnote>
  <w:footnote w:id="24">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t>Where there is sufficient retained cash flow to cover the equity component of capex, the amounts shown in row 34 would be negative.</w:t>
      </w:r>
    </w:p>
  </w:footnote>
  <w:footnote w:id="25">
    <w:p w:rsidR="00236AA5" w:rsidRPr="00A25A3C"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FE6550">
        <w:rPr>
          <w:rFonts w:ascii="Arial" w:hAnsi="Arial" w:cs="Arial"/>
        </w:rPr>
        <w:t xml:space="preserve">This does not mean that the calculation method for the entire workbook needs to be set to manual or iterative (under Options -&gt; Formulas -&gt; Calculation options). The implementation in the PTRM is such that direct values are entered on the </w:t>
      </w:r>
      <w:r w:rsidRPr="008A552B">
        <w:rPr>
          <w:rFonts w:ascii="Arial" w:hAnsi="Arial" w:cs="Arial"/>
          <w:b/>
        </w:rPr>
        <w:t>PTRM</w:t>
      </w:r>
      <w:r w:rsidRPr="00FE6550">
        <w:rPr>
          <w:rFonts w:ascii="Arial" w:hAnsi="Arial" w:cs="Arial"/>
        </w:rPr>
        <w:t xml:space="preserve"> </w:t>
      </w:r>
      <w:r w:rsidRPr="00FE6550">
        <w:rPr>
          <w:rFonts w:ascii="Arial" w:hAnsi="Arial" w:cs="Arial"/>
          <w:b/>
        </w:rPr>
        <w:t>input</w:t>
      </w:r>
      <w:r w:rsidRPr="00FE6550">
        <w:rPr>
          <w:rFonts w:ascii="Arial" w:hAnsi="Arial" w:cs="Arial"/>
        </w:rPr>
        <w:t xml:space="preserve"> sheet, so there is no circular reference, and the iterative updates are managed via macros when smoothing. Hence, the calculation option can be left as automatic, without iteration.</w:t>
      </w:r>
    </w:p>
  </w:footnote>
  <w:footnote w:id="26">
    <w:p w:rsidR="00236AA5" w:rsidRPr="006E08F4" w:rsidRDefault="00236AA5" w:rsidP="007749FC">
      <w:pPr>
        <w:pStyle w:val="FootnoteText"/>
        <w:rPr>
          <w:rFonts w:ascii="Arial" w:hAnsi="Arial" w:cs="Arial"/>
        </w:rPr>
      </w:pPr>
      <w:r w:rsidRPr="00A25A3C">
        <w:rPr>
          <w:rStyle w:val="FootnoteReference"/>
          <w:rFonts w:ascii="Arial" w:hAnsi="Arial" w:cs="Arial"/>
        </w:rPr>
        <w:footnoteRef/>
      </w:r>
      <w:r w:rsidRPr="00A25A3C">
        <w:rPr>
          <w:rFonts w:ascii="Arial" w:hAnsi="Arial" w:cs="Arial"/>
        </w:rPr>
        <w:t xml:space="preserve"> </w:t>
      </w:r>
      <w:r w:rsidRPr="00A25A3C">
        <w:rPr>
          <w:rFonts w:ascii="Arial" w:hAnsi="Arial" w:cs="Arial"/>
        </w:rPr>
        <w:tab/>
      </w:r>
      <w:r w:rsidRPr="00FE6550">
        <w:rPr>
          <w:rFonts w:ascii="Arial" w:hAnsi="Arial" w:cs="Arial"/>
        </w:rPr>
        <w:t xml:space="preserve">In that case, the equity raising costs entered (in two places) in the </w:t>
      </w:r>
      <w:r w:rsidRPr="008A552B">
        <w:rPr>
          <w:rFonts w:ascii="Arial" w:hAnsi="Arial" w:cs="Arial"/>
          <w:b/>
        </w:rPr>
        <w:t>PTRM</w:t>
      </w:r>
      <w:r w:rsidRPr="00FE6550">
        <w:rPr>
          <w:rFonts w:ascii="Arial" w:hAnsi="Arial" w:cs="Arial"/>
        </w:rPr>
        <w:t xml:space="preserve"> </w:t>
      </w:r>
      <w:r w:rsidRPr="00FE6550">
        <w:rPr>
          <w:rFonts w:ascii="Arial" w:hAnsi="Arial" w:cs="Arial"/>
          <w:b/>
        </w:rPr>
        <w:t>input</w:t>
      </w:r>
      <w:r w:rsidRPr="00FE6550">
        <w:rPr>
          <w:rFonts w:ascii="Arial" w:hAnsi="Arial" w:cs="Arial"/>
        </w:rPr>
        <w:t xml:space="preserve"> sheet will not be updated to reflect the calculation in the </w:t>
      </w:r>
      <w:r w:rsidRPr="00FE6550">
        <w:rPr>
          <w:rFonts w:ascii="Arial" w:hAnsi="Arial" w:cs="Arial"/>
          <w:b/>
        </w:rPr>
        <w:t>Equity raising costs</w:t>
      </w:r>
      <w:r w:rsidRPr="00FE6550">
        <w:rPr>
          <w:rFonts w:ascii="Arial" w:hAnsi="Arial" w:cs="Arial"/>
        </w:rPr>
        <w:t xml:space="preserve"> sheet. A caution will appear in the </w:t>
      </w:r>
      <w:r w:rsidRPr="00FE6550">
        <w:rPr>
          <w:rFonts w:ascii="Arial" w:hAnsi="Arial" w:cs="Arial"/>
          <w:b/>
        </w:rPr>
        <w:t>X factors</w:t>
      </w:r>
      <w:r w:rsidRPr="00FE6550">
        <w:rPr>
          <w:rFonts w:ascii="Arial" w:hAnsi="Arial" w:cs="Arial"/>
        </w:rPr>
        <w:t xml:space="preserve"> sheet (cell D26) when the relevant values do not align.</w:t>
      </w:r>
    </w:p>
  </w:footnote>
  <w:footnote w:id="27">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944ED">
        <w:rPr>
          <w:rFonts w:ascii="Arial" w:hAnsi="Arial" w:cs="Arial"/>
        </w:rPr>
        <w:t>Also, the year-by-year tax rates (row 402) only require the first year (cell G402) to be entered; the PTRM will apply this tax rate to later years where there is no explicit tax rate entered.</w:t>
      </w:r>
    </w:p>
  </w:footnote>
  <w:footnote w:id="28">
    <w:p w:rsidR="00236AA5" w:rsidRPr="006E08F4" w:rsidRDefault="00236AA5" w:rsidP="007749FC">
      <w:pPr>
        <w:pStyle w:val="FootnoteText"/>
        <w:rPr>
          <w:rStyle w:val="AERtexthighlight"/>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944ED">
        <w:rPr>
          <w:rFonts w:ascii="Arial" w:hAnsi="Arial" w:cs="Arial"/>
        </w:rPr>
        <w:t>The PTRM will use the return on debt for a given year if entered, so if forecasts were entered for later years in the regulatory control period (and these values differ from the year 1 return on debt), this will be reflected in the building block calculations. However, this is not intended to be the default operation of the PTRM. If a TNSP was to propose (at the time of making the final decision) return on debt forecasts for year 2 onwards this would need to be assessed as part of an individual determination.</w:t>
      </w:r>
    </w:p>
  </w:footnote>
  <w:footnote w:id="29">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4944ED">
        <w:rPr>
          <w:rFonts w:ascii="Arial" w:hAnsi="Arial" w:cs="Arial"/>
        </w:rPr>
        <w:t>The ‘do NOT update ERC when smoothing’ option can be selected for certain analysis that seeks to isolate the impact of equity raising costs from the revenue requirement.</w:t>
      </w:r>
    </w:p>
  </w:footnote>
  <w:footnote w:id="30">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316E7B">
        <w:rPr>
          <w:rFonts w:ascii="Arial" w:hAnsi="Arial" w:cs="Arial"/>
        </w:rPr>
        <w:t>By default, the PTRM will use the most recent return on debt value as the forecast for later years (where the return on debt is not yet known). Hence, at each annual update the forecast for the remaining years in the regulatory control period will be updated.</w:t>
      </w:r>
    </w:p>
  </w:footnote>
  <w:footnote w:id="31">
    <w:p w:rsidR="00236AA5" w:rsidRPr="006E08F4" w:rsidRDefault="00236AA5" w:rsidP="007749FC">
      <w:pPr>
        <w:pStyle w:val="FootnoteText"/>
        <w:rPr>
          <w:rFonts w:ascii="Arial" w:hAnsi="Arial" w:cs="Arial"/>
        </w:rPr>
      </w:pPr>
      <w:r w:rsidRPr="006E08F4">
        <w:rPr>
          <w:rStyle w:val="FootnoteReference"/>
          <w:rFonts w:ascii="Arial" w:hAnsi="Arial" w:cs="Arial"/>
        </w:rPr>
        <w:footnoteRef/>
      </w:r>
      <w:r w:rsidRPr="006E08F4">
        <w:rPr>
          <w:rFonts w:ascii="Arial" w:hAnsi="Arial" w:cs="Arial"/>
        </w:rPr>
        <w:t xml:space="preserve"> </w:t>
      </w:r>
      <w:r w:rsidRPr="006E08F4">
        <w:rPr>
          <w:rFonts w:ascii="Arial" w:hAnsi="Arial" w:cs="Arial"/>
        </w:rPr>
        <w:tab/>
      </w:r>
      <w:r w:rsidRPr="00316E7B">
        <w:rPr>
          <w:rFonts w:ascii="Arial" w:hAnsi="Arial" w:cs="Arial"/>
        </w:rPr>
        <w:t>If a TNSP was to propose an alternative approach (for instance, where multiple X factors were changed in response to a given year's annual return on debt update) this would need to be assessed as part of an individual determination and approved as part of the final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6"/>
  </w:num>
  <w:num w:numId="5">
    <w:abstractNumId w:val="0"/>
  </w:num>
  <w:num w:numId="6">
    <w:abstractNumId w:val="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499"/>
          </w:tabs>
          <w:ind w:left="499"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
  </w:num>
  <w:num w:numId="8">
    <w:abstractNumId w:val="1"/>
  </w:num>
  <w:num w:numId="9">
    <w:abstractNumId w:val="5"/>
  </w:num>
  <w:num w:numId="10">
    <w:abstractNumId w:val="4"/>
  </w:num>
  <w:num w:numId="1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abstractNumId w:val="5"/>
    <w:lvlOverride w:ilvl="0">
      <w:lvl w:ilvl="0">
        <w:start w:val="1"/>
        <w:numFmt w:val="none"/>
        <w:pStyle w:val="AERbodytext"/>
        <w:lvlText w:val="%1"/>
        <w:lvlJc w:val="left"/>
        <w:pPr>
          <w:tabs>
            <w:tab w:val="num" w:pos="0"/>
          </w:tabs>
          <w:ind w:left="0" w:firstLine="0"/>
        </w:pPr>
        <w:rPr>
          <w:rFonts w:hint="default"/>
        </w:rPr>
      </w:lvl>
    </w:lvlOverride>
  </w:num>
  <w:num w:numId="14">
    <w:abstractNumId w:val="5"/>
    <w:lvlOverride w:ilvl="0">
      <w:lvl w:ilvl="0">
        <w:start w:val="1"/>
        <w:numFmt w:val="none"/>
        <w:pStyle w:val="AERbodytext"/>
        <w:lvlText w:val="%1"/>
        <w:lvlJc w:val="left"/>
        <w:pPr>
          <w:tabs>
            <w:tab w:val="num" w:pos="0"/>
          </w:tabs>
          <w:ind w:left="0" w:firstLine="0"/>
        </w:pPr>
        <w:rPr>
          <w:rFonts w:hint="default"/>
        </w:rPr>
      </w:lvl>
    </w:lvlOverride>
  </w:num>
  <w:num w:numId="15">
    <w:abstractNumId w:val="5"/>
    <w:lvlOverride w:ilvl="0">
      <w:lvl w:ilvl="0">
        <w:start w:val="1"/>
        <w:numFmt w:val="none"/>
        <w:pStyle w:val="AERbodytext"/>
        <w:lvlText w:val="%1"/>
        <w:lvlJc w:val="left"/>
        <w:pPr>
          <w:tabs>
            <w:tab w:val="num" w:pos="0"/>
          </w:tabs>
          <w:ind w:left="0" w:firstLine="0"/>
        </w:pPr>
        <w:rPr>
          <w:rFonts w:hint="default"/>
        </w:rPr>
      </w:lvl>
    </w:lvlOverride>
  </w:num>
  <w:num w:numId="16">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7">
    <w:abstractNumId w:val="4"/>
  </w:num>
  <w:num w:numId="18">
    <w:abstractNumId w:val="5"/>
    <w:lvlOverride w:ilvl="0">
      <w:lvl w:ilvl="0">
        <w:start w:val="1"/>
        <w:numFmt w:val="none"/>
        <w:pStyle w:val="AERbodytext"/>
        <w:lvlText w:val="%1"/>
        <w:lvlJc w:val="left"/>
        <w:pPr>
          <w:tabs>
            <w:tab w:val="num" w:pos="0"/>
          </w:tabs>
          <w:ind w:left="0" w:firstLine="0"/>
        </w:pPr>
        <w:rPr>
          <w:rFonts w:hint="default"/>
        </w:rPr>
      </w:lvl>
    </w:lvlOverride>
  </w:num>
  <w:num w:numId="19">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4">
    <w:abstractNumId w:val="5"/>
    <w:lvlOverride w:ilvl="0">
      <w:lvl w:ilvl="0">
        <w:start w:val="1"/>
        <w:numFmt w:val="none"/>
        <w:pStyle w:val="AERbodytext"/>
        <w:lvlText w:val="%1"/>
        <w:lvlJc w:val="left"/>
        <w:pPr>
          <w:tabs>
            <w:tab w:val="num" w:pos="0"/>
          </w:tabs>
          <w:ind w:left="0" w:firstLine="0"/>
        </w:pPr>
        <w:rPr>
          <w:rFonts w:hint="default"/>
        </w:rPr>
      </w:lvl>
    </w:lvlOverride>
  </w:num>
  <w:num w:numId="25">
    <w:abstractNumId w:val="4"/>
  </w:num>
  <w:num w:numId="26">
    <w:abstractNumId w:val="5"/>
    <w:lvlOverride w:ilvl="0">
      <w:lvl w:ilvl="0">
        <w:start w:val="1"/>
        <w:numFmt w:val="none"/>
        <w:pStyle w:val="AERbodytext"/>
        <w:lvlText w:val="%1"/>
        <w:lvlJc w:val="left"/>
        <w:pPr>
          <w:tabs>
            <w:tab w:val="num" w:pos="0"/>
          </w:tabs>
          <w:ind w:left="0" w:firstLine="0"/>
        </w:pPr>
        <w:rPr>
          <w:rFonts w:hint="default"/>
        </w:rPr>
      </w:lvl>
    </w:lvlOverride>
  </w:num>
  <w:num w:numId="27">
    <w:abstractNumId w:val="5"/>
    <w:lvlOverride w:ilvl="0">
      <w:lvl w:ilvl="0">
        <w:start w:val="1"/>
        <w:numFmt w:val="none"/>
        <w:pStyle w:val="AERbodytext"/>
        <w:lvlText w:val="%1"/>
        <w:lvlJc w:val="left"/>
        <w:pPr>
          <w:tabs>
            <w:tab w:val="num" w:pos="0"/>
          </w:tabs>
          <w:ind w:left="0" w:firstLine="0"/>
        </w:pPr>
        <w:rPr>
          <w:rFonts w:hint="default"/>
        </w:rPr>
      </w:lvl>
    </w:lvlOverride>
  </w:num>
  <w:num w:numId="28">
    <w:abstractNumId w:val="5"/>
    <w:lvlOverride w:ilvl="0">
      <w:lvl w:ilvl="0">
        <w:start w:val="1"/>
        <w:numFmt w:val="none"/>
        <w:pStyle w:val="AERbodytext"/>
        <w:lvlText w:val="%1"/>
        <w:lvlJc w:val="left"/>
        <w:pPr>
          <w:tabs>
            <w:tab w:val="num" w:pos="0"/>
          </w:tabs>
          <w:ind w:left="0" w:firstLine="0"/>
        </w:pPr>
        <w:rPr>
          <w:rFonts w:hint="default"/>
        </w:rPr>
      </w:lvl>
    </w:lvlOverride>
  </w:num>
  <w:num w:numId="29">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0">
    <w:abstractNumId w:val="5"/>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499"/>
          </w:tabs>
          <w:ind w:left="499" w:hanging="357"/>
        </w:pPr>
        <w:rPr>
          <w:rFonts w:hint="default"/>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24257">
      <o:colormru v:ext="edit" colors="silver,#ddd"/>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748\D14 161885  Final decision - proposed amendments to the transmission and distribution PTRMs.DOCX"/>
  </w:docVars>
  <w:rsids>
    <w:rsidRoot w:val="000C052F"/>
    <w:rsid w:val="00000702"/>
    <w:rsid w:val="00000FBB"/>
    <w:rsid w:val="0000147B"/>
    <w:rsid w:val="0000257E"/>
    <w:rsid w:val="00002B65"/>
    <w:rsid w:val="00003188"/>
    <w:rsid w:val="00003434"/>
    <w:rsid w:val="00003849"/>
    <w:rsid w:val="00003B01"/>
    <w:rsid w:val="000042F6"/>
    <w:rsid w:val="000045C3"/>
    <w:rsid w:val="00004F2A"/>
    <w:rsid w:val="00005DBA"/>
    <w:rsid w:val="000061AF"/>
    <w:rsid w:val="00006CC4"/>
    <w:rsid w:val="000105B6"/>
    <w:rsid w:val="00010680"/>
    <w:rsid w:val="000109A9"/>
    <w:rsid w:val="00011129"/>
    <w:rsid w:val="0001161D"/>
    <w:rsid w:val="00011EFE"/>
    <w:rsid w:val="00012401"/>
    <w:rsid w:val="00012880"/>
    <w:rsid w:val="00012CD3"/>
    <w:rsid w:val="00013022"/>
    <w:rsid w:val="000131E1"/>
    <w:rsid w:val="00013950"/>
    <w:rsid w:val="000146C6"/>
    <w:rsid w:val="00015F8C"/>
    <w:rsid w:val="0001633E"/>
    <w:rsid w:val="00016C3F"/>
    <w:rsid w:val="00017813"/>
    <w:rsid w:val="00017E54"/>
    <w:rsid w:val="0002175A"/>
    <w:rsid w:val="00021E47"/>
    <w:rsid w:val="00022606"/>
    <w:rsid w:val="000232E0"/>
    <w:rsid w:val="00023674"/>
    <w:rsid w:val="0002443A"/>
    <w:rsid w:val="00024902"/>
    <w:rsid w:val="00024DB0"/>
    <w:rsid w:val="00025152"/>
    <w:rsid w:val="00025CFC"/>
    <w:rsid w:val="00027666"/>
    <w:rsid w:val="00027908"/>
    <w:rsid w:val="00030066"/>
    <w:rsid w:val="000313A0"/>
    <w:rsid w:val="00031B91"/>
    <w:rsid w:val="00031D8C"/>
    <w:rsid w:val="0003213B"/>
    <w:rsid w:val="00033BFF"/>
    <w:rsid w:val="00034A30"/>
    <w:rsid w:val="00034D1A"/>
    <w:rsid w:val="000359C0"/>
    <w:rsid w:val="00035D89"/>
    <w:rsid w:val="00036E33"/>
    <w:rsid w:val="00040498"/>
    <w:rsid w:val="00040599"/>
    <w:rsid w:val="00040749"/>
    <w:rsid w:val="00040DDE"/>
    <w:rsid w:val="0004176A"/>
    <w:rsid w:val="000428EE"/>
    <w:rsid w:val="00042B1E"/>
    <w:rsid w:val="00044BDE"/>
    <w:rsid w:val="00045878"/>
    <w:rsid w:val="00045E0A"/>
    <w:rsid w:val="00046402"/>
    <w:rsid w:val="000464A0"/>
    <w:rsid w:val="0004760F"/>
    <w:rsid w:val="00047802"/>
    <w:rsid w:val="0004794B"/>
    <w:rsid w:val="00050A09"/>
    <w:rsid w:val="00050F47"/>
    <w:rsid w:val="00050FB6"/>
    <w:rsid w:val="000514DD"/>
    <w:rsid w:val="00051551"/>
    <w:rsid w:val="000526A1"/>
    <w:rsid w:val="000526B3"/>
    <w:rsid w:val="000528EB"/>
    <w:rsid w:val="0005369A"/>
    <w:rsid w:val="000538DF"/>
    <w:rsid w:val="00053B5C"/>
    <w:rsid w:val="0005467F"/>
    <w:rsid w:val="000547D4"/>
    <w:rsid w:val="000554A5"/>
    <w:rsid w:val="00055759"/>
    <w:rsid w:val="00055D12"/>
    <w:rsid w:val="000561B9"/>
    <w:rsid w:val="00057870"/>
    <w:rsid w:val="00057EA2"/>
    <w:rsid w:val="00060100"/>
    <w:rsid w:val="00060770"/>
    <w:rsid w:val="000625D7"/>
    <w:rsid w:val="00062889"/>
    <w:rsid w:val="00062A5F"/>
    <w:rsid w:val="00063169"/>
    <w:rsid w:val="0006337E"/>
    <w:rsid w:val="000633E6"/>
    <w:rsid w:val="00064605"/>
    <w:rsid w:val="00064665"/>
    <w:rsid w:val="00064FE6"/>
    <w:rsid w:val="000650E0"/>
    <w:rsid w:val="00066E03"/>
    <w:rsid w:val="0006747A"/>
    <w:rsid w:val="00070053"/>
    <w:rsid w:val="00071B86"/>
    <w:rsid w:val="00072936"/>
    <w:rsid w:val="00073208"/>
    <w:rsid w:val="0007365F"/>
    <w:rsid w:val="0007367D"/>
    <w:rsid w:val="00074339"/>
    <w:rsid w:val="00074470"/>
    <w:rsid w:val="00074860"/>
    <w:rsid w:val="000749DE"/>
    <w:rsid w:val="00074B4C"/>
    <w:rsid w:val="00074FBA"/>
    <w:rsid w:val="000764EC"/>
    <w:rsid w:val="000778A8"/>
    <w:rsid w:val="00081068"/>
    <w:rsid w:val="00081541"/>
    <w:rsid w:val="0008259F"/>
    <w:rsid w:val="00083592"/>
    <w:rsid w:val="000836C8"/>
    <w:rsid w:val="00084120"/>
    <w:rsid w:val="000847BB"/>
    <w:rsid w:val="00084F34"/>
    <w:rsid w:val="000851F1"/>
    <w:rsid w:val="00085CB2"/>
    <w:rsid w:val="00085EB6"/>
    <w:rsid w:val="00086505"/>
    <w:rsid w:val="00090478"/>
    <w:rsid w:val="00090DAA"/>
    <w:rsid w:val="0009184A"/>
    <w:rsid w:val="00091B2E"/>
    <w:rsid w:val="00091E6C"/>
    <w:rsid w:val="00092094"/>
    <w:rsid w:val="00092CE0"/>
    <w:rsid w:val="000932B3"/>
    <w:rsid w:val="0009356D"/>
    <w:rsid w:val="00094452"/>
    <w:rsid w:val="000945EE"/>
    <w:rsid w:val="00095E6B"/>
    <w:rsid w:val="00096559"/>
    <w:rsid w:val="00096718"/>
    <w:rsid w:val="000A1A55"/>
    <w:rsid w:val="000A1CC2"/>
    <w:rsid w:val="000A2B6A"/>
    <w:rsid w:val="000A2DF9"/>
    <w:rsid w:val="000A34E1"/>
    <w:rsid w:val="000A41C3"/>
    <w:rsid w:val="000A42CE"/>
    <w:rsid w:val="000A492C"/>
    <w:rsid w:val="000A4C7A"/>
    <w:rsid w:val="000A5216"/>
    <w:rsid w:val="000A5342"/>
    <w:rsid w:val="000A5512"/>
    <w:rsid w:val="000A647B"/>
    <w:rsid w:val="000A6680"/>
    <w:rsid w:val="000A7B22"/>
    <w:rsid w:val="000B03BA"/>
    <w:rsid w:val="000B066D"/>
    <w:rsid w:val="000B0F95"/>
    <w:rsid w:val="000B15CA"/>
    <w:rsid w:val="000B1720"/>
    <w:rsid w:val="000B245F"/>
    <w:rsid w:val="000B2C24"/>
    <w:rsid w:val="000B2DD8"/>
    <w:rsid w:val="000B49F0"/>
    <w:rsid w:val="000B5321"/>
    <w:rsid w:val="000B54A6"/>
    <w:rsid w:val="000B57EA"/>
    <w:rsid w:val="000B5A02"/>
    <w:rsid w:val="000B6708"/>
    <w:rsid w:val="000B7DF0"/>
    <w:rsid w:val="000C052F"/>
    <w:rsid w:val="000C0F80"/>
    <w:rsid w:val="000C17B7"/>
    <w:rsid w:val="000C271A"/>
    <w:rsid w:val="000C2841"/>
    <w:rsid w:val="000C3062"/>
    <w:rsid w:val="000C3430"/>
    <w:rsid w:val="000C3976"/>
    <w:rsid w:val="000C4F08"/>
    <w:rsid w:val="000C53F0"/>
    <w:rsid w:val="000C6BFC"/>
    <w:rsid w:val="000C781B"/>
    <w:rsid w:val="000C7AA1"/>
    <w:rsid w:val="000C7D07"/>
    <w:rsid w:val="000D03A8"/>
    <w:rsid w:val="000D03C2"/>
    <w:rsid w:val="000D04B1"/>
    <w:rsid w:val="000D1B53"/>
    <w:rsid w:val="000D1C2F"/>
    <w:rsid w:val="000D1F02"/>
    <w:rsid w:val="000D231B"/>
    <w:rsid w:val="000D2A68"/>
    <w:rsid w:val="000D2F5B"/>
    <w:rsid w:val="000D3171"/>
    <w:rsid w:val="000D32DB"/>
    <w:rsid w:val="000D3958"/>
    <w:rsid w:val="000D401F"/>
    <w:rsid w:val="000D49C4"/>
    <w:rsid w:val="000D4A4B"/>
    <w:rsid w:val="000D4A6A"/>
    <w:rsid w:val="000D5B70"/>
    <w:rsid w:val="000D6111"/>
    <w:rsid w:val="000D613F"/>
    <w:rsid w:val="000D6261"/>
    <w:rsid w:val="000D6CF7"/>
    <w:rsid w:val="000D7073"/>
    <w:rsid w:val="000E02C7"/>
    <w:rsid w:val="000E1A25"/>
    <w:rsid w:val="000E20C4"/>
    <w:rsid w:val="000E2483"/>
    <w:rsid w:val="000E3444"/>
    <w:rsid w:val="000E3C98"/>
    <w:rsid w:val="000E44B3"/>
    <w:rsid w:val="000E45DF"/>
    <w:rsid w:val="000E49A3"/>
    <w:rsid w:val="000E5087"/>
    <w:rsid w:val="000E50FD"/>
    <w:rsid w:val="000E5145"/>
    <w:rsid w:val="000E5357"/>
    <w:rsid w:val="000E540C"/>
    <w:rsid w:val="000E5416"/>
    <w:rsid w:val="000E5C53"/>
    <w:rsid w:val="000E6052"/>
    <w:rsid w:val="000E6238"/>
    <w:rsid w:val="000E66D1"/>
    <w:rsid w:val="000E676A"/>
    <w:rsid w:val="000E71D9"/>
    <w:rsid w:val="000E74F2"/>
    <w:rsid w:val="000E77E2"/>
    <w:rsid w:val="000E78BF"/>
    <w:rsid w:val="000E7C32"/>
    <w:rsid w:val="000E7E39"/>
    <w:rsid w:val="000F028A"/>
    <w:rsid w:val="000F0A33"/>
    <w:rsid w:val="000F0AAD"/>
    <w:rsid w:val="000F149F"/>
    <w:rsid w:val="000F1580"/>
    <w:rsid w:val="000F2699"/>
    <w:rsid w:val="000F30CC"/>
    <w:rsid w:val="000F3A6A"/>
    <w:rsid w:val="000F3B7B"/>
    <w:rsid w:val="000F41DC"/>
    <w:rsid w:val="000F4420"/>
    <w:rsid w:val="000F4708"/>
    <w:rsid w:val="000F4B85"/>
    <w:rsid w:val="000F56AA"/>
    <w:rsid w:val="000F6AB5"/>
    <w:rsid w:val="000F7618"/>
    <w:rsid w:val="001007F2"/>
    <w:rsid w:val="001008DB"/>
    <w:rsid w:val="0010192D"/>
    <w:rsid w:val="00101E24"/>
    <w:rsid w:val="00101E59"/>
    <w:rsid w:val="00102429"/>
    <w:rsid w:val="00102A34"/>
    <w:rsid w:val="00102BFC"/>
    <w:rsid w:val="001033B3"/>
    <w:rsid w:val="00104C88"/>
    <w:rsid w:val="00104CDE"/>
    <w:rsid w:val="00105219"/>
    <w:rsid w:val="00105636"/>
    <w:rsid w:val="00105DC1"/>
    <w:rsid w:val="001060C4"/>
    <w:rsid w:val="00106A70"/>
    <w:rsid w:val="001070C6"/>
    <w:rsid w:val="00107185"/>
    <w:rsid w:val="00110030"/>
    <w:rsid w:val="00110CDA"/>
    <w:rsid w:val="00112153"/>
    <w:rsid w:val="00112C84"/>
    <w:rsid w:val="001131D4"/>
    <w:rsid w:val="00114397"/>
    <w:rsid w:val="001148B7"/>
    <w:rsid w:val="00114ABE"/>
    <w:rsid w:val="001159E8"/>
    <w:rsid w:val="001162DD"/>
    <w:rsid w:val="00116CC1"/>
    <w:rsid w:val="00116ED0"/>
    <w:rsid w:val="0012037E"/>
    <w:rsid w:val="00121A45"/>
    <w:rsid w:val="001223D4"/>
    <w:rsid w:val="001225E6"/>
    <w:rsid w:val="00123623"/>
    <w:rsid w:val="00124A3E"/>
    <w:rsid w:val="00126B50"/>
    <w:rsid w:val="0012741E"/>
    <w:rsid w:val="0012766E"/>
    <w:rsid w:val="001277E6"/>
    <w:rsid w:val="00127837"/>
    <w:rsid w:val="00127E36"/>
    <w:rsid w:val="00127EDB"/>
    <w:rsid w:val="001300DA"/>
    <w:rsid w:val="00130149"/>
    <w:rsid w:val="0013022D"/>
    <w:rsid w:val="001304F9"/>
    <w:rsid w:val="00130AFB"/>
    <w:rsid w:val="001324C8"/>
    <w:rsid w:val="00132996"/>
    <w:rsid w:val="00132C2F"/>
    <w:rsid w:val="00133150"/>
    <w:rsid w:val="0013368B"/>
    <w:rsid w:val="00133FAE"/>
    <w:rsid w:val="00134AC3"/>
    <w:rsid w:val="001363F4"/>
    <w:rsid w:val="00137605"/>
    <w:rsid w:val="00140701"/>
    <w:rsid w:val="00140FCF"/>
    <w:rsid w:val="00141A68"/>
    <w:rsid w:val="00141A81"/>
    <w:rsid w:val="00141FF1"/>
    <w:rsid w:val="0014219C"/>
    <w:rsid w:val="001421F4"/>
    <w:rsid w:val="00142296"/>
    <w:rsid w:val="00142384"/>
    <w:rsid w:val="001429FB"/>
    <w:rsid w:val="00143B2A"/>
    <w:rsid w:val="00143E5F"/>
    <w:rsid w:val="00144011"/>
    <w:rsid w:val="00144789"/>
    <w:rsid w:val="00144D88"/>
    <w:rsid w:val="0014577D"/>
    <w:rsid w:val="00145CBE"/>
    <w:rsid w:val="0014650D"/>
    <w:rsid w:val="0014692D"/>
    <w:rsid w:val="00146C9A"/>
    <w:rsid w:val="00146DA7"/>
    <w:rsid w:val="001471C9"/>
    <w:rsid w:val="001510AD"/>
    <w:rsid w:val="001517A6"/>
    <w:rsid w:val="00152426"/>
    <w:rsid w:val="00152AF2"/>
    <w:rsid w:val="00152C82"/>
    <w:rsid w:val="00152FF5"/>
    <w:rsid w:val="00153518"/>
    <w:rsid w:val="001538AF"/>
    <w:rsid w:val="00153E85"/>
    <w:rsid w:val="00153EF5"/>
    <w:rsid w:val="00153EF8"/>
    <w:rsid w:val="001542E7"/>
    <w:rsid w:val="001543D2"/>
    <w:rsid w:val="001549D0"/>
    <w:rsid w:val="00154E43"/>
    <w:rsid w:val="00154F6B"/>
    <w:rsid w:val="001553F0"/>
    <w:rsid w:val="00155958"/>
    <w:rsid w:val="00155DD0"/>
    <w:rsid w:val="00155E8D"/>
    <w:rsid w:val="001560F4"/>
    <w:rsid w:val="0015690E"/>
    <w:rsid w:val="00156A05"/>
    <w:rsid w:val="00156E8A"/>
    <w:rsid w:val="001570F0"/>
    <w:rsid w:val="00160294"/>
    <w:rsid w:val="00160538"/>
    <w:rsid w:val="00160AD4"/>
    <w:rsid w:val="00161B32"/>
    <w:rsid w:val="001621C0"/>
    <w:rsid w:val="0016326F"/>
    <w:rsid w:val="001632B2"/>
    <w:rsid w:val="00163374"/>
    <w:rsid w:val="00163835"/>
    <w:rsid w:val="001640EB"/>
    <w:rsid w:val="001647B8"/>
    <w:rsid w:val="00164E80"/>
    <w:rsid w:val="00165BE2"/>
    <w:rsid w:val="00166CAA"/>
    <w:rsid w:val="001671F4"/>
    <w:rsid w:val="00167B00"/>
    <w:rsid w:val="00167C70"/>
    <w:rsid w:val="00167F52"/>
    <w:rsid w:val="00172E33"/>
    <w:rsid w:val="00172F30"/>
    <w:rsid w:val="00173A3E"/>
    <w:rsid w:val="00174026"/>
    <w:rsid w:val="00174B6F"/>
    <w:rsid w:val="0017503F"/>
    <w:rsid w:val="00175905"/>
    <w:rsid w:val="00175954"/>
    <w:rsid w:val="00175CBC"/>
    <w:rsid w:val="00176C19"/>
    <w:rsid w:val="00176D43"/>
    <w:rsid w:val="0017748D"/>
    <w:rsid w:val="00177514"/>
    <w:rsid w:val="001800EA"/>
    <w:rsid w:val="0018087D"/>
    <w:rsid w:val="00181402"/>
    <w:rsid w:val="0018268A"/>
    <w:rsid w:val="00182791"/>
    <w:rsid w:val="00184A47"/>
    <w:rsid w:val="001856EE"/>
    <w:rsid w:val="00186A17"/>
    <w:rsid w:val="00187306"/>
    <w:rsid w:val="00190CB4"/>
    <w:rsid w:val="00191862"/>
    <w:rsid w:val="00191C97"/>
    <w:rsid w:val="001923DC"/>
    <w:rsid w:val="0019284E"/>
    <w:rsid w:val="001936BB"/>
    <w:rsid w:val="00193785"/>
    <w:rsid w:val="00193C82"/>
    <w:rsid w:val="00193F67"/>
    <w:rsid w:val="00194BF0"/>
    <w:rsid w:val="00194C3C"/>
    <w:rsid w:val="00194D21"/>
    <w:rsid w:val="00195B4C"/>
    <w:rsid w:val="00195BBB"/>
    <w:rsid w:val="00195F38"/>
    <w:rsid w:val="0019662B"/>
    <w:rsid w:val="0019686E"/>
    <w:rsid w:val="00196A28"/>
    <w:rsid w:val="001972E2"/>
    <w:rsid w:val="001A03F4"/>
    <w:rsid w:val="001A09D9"/>
    <w:rsid w:val="001A0F4D"/>
    <w:rsid w:val="001A0F87"/>
    <w:rsid w:val="001A2088"/>
    <w:rsid w:val="001A21B2"/>
    <w:rsid w:val="001A23DB"/>
    <w:rsid w:val="001A2CF8"/>
    <w:rsid w:val="001A38F7"/>
    <w:rsid w:val="001A3FE5"/>
    <w:rsid w:val="001A42BA"/>
    <w:rsid w:val="001A5B13"/>
    <w:rsid w:val="001A5D0B"/>
    <w:rsid w:val="001A6075"/>
    <w:rsid w:val="001A68D8"/>
    <w:rsid w:val="001A6DD9"/>
    <w:rsid w:val="001A7126"/>
    <w:rsid w:val="001A7127"/>
    <w:rsid w:val="001A75B4"/>
    <w:rsid w:val="001B0A4E"/>
    <w:rsid w:val="001B0E5F"/>
    <w:rsid w:val="001B1885"/>
    <w:rsid w:val="001B1E9F"/>
    <w:rsid w:val="001B215E"/>
    <w:rsid w:val="001B2AF5"/>
    <w:rsid w:val="001B3430"/>
    <w:rsid w:val="001B4246"/>
    <w:rsid w:val="001B43F8"/>
    <w:rsid w:val="001B560D"/>
    <w:rsid w:val="001B6DC7"/>
    <w:rsid w:val="001B7135"/>
    <w:rsid w:val="001C0804"/>
    <w:rsid w:val="001C118C"/>
    <w:rsid w:val="001C12E5"/>
    <w:rsid w:val="001C1772"/>
    <w:rsid w:val="001C3523"/>
    <w:rsid w:val="001C36F5"/>
    <w:rsid w:val="001C3A09"/>
    <w:rsid w:val="001C3C62"/>
    <w:rsid w:val="001C3D19"/>
    <w:rsid w:val="001C4923"/>
    <w:rsid w:val="001C518E"/>
    <w:rsid w:val="001C56B9"/>
    <w:rsid w:val="001C586F"/>
    <w:rsid w:val="001C6836"/>
    <w:rsid w:val="001C6989"/>
    <w:rsid w:val="001C7109"/>
    <w:rsid w:val="001C7BDE"/>
    <w:rsid w:val="001D1580"/>
    <w:rsid w:val="001D15FE"/>
    <w:rsid w:val="001D1725"/>
    <w:rsid w:val="001D1CD2"/>
    <w:rsid w:val="001D267F"/>
    <w:rsid w:val="001D3581"/>
    <w:rsid w:val="001D369D"/>
    <w:rsid w:val="001D4F63"/>
    <w:rsid w:val="001D5760"/>
    <w:rsid w:val="001D5A94"/>
    <w:rsid w:val="001D5B10"/>
    <w:rsid w:val="001D5E25"/>
    <w:rsid w:val="001D6D50"/>
    <w:rsid w:val="001D7154"/>
    <w:rsid w:val="001D7C89"/>
    <w:rsid w:val="001E26C4"/>
    <w:rsid w:val="001E2758"/>
    <w:rsid w:val="001E32BF"/>
    <w:rsid w:val="001E3422"/>
    <w:rsid w:val="001E34DE"/>
    <w:rsid w:val="001E498A"/>
    <w:rsid w:val="001E4B02"/>
    <w:rsid w:val="001E4E7E"/>
    <w:rsid w:val="001E554F"/>
    <w:rsid w:val="001E5810"/>
    <w:rsid w:val="001E59D7"/>
    <w:rsid w:val="001E6976"/>
    <w:rsid w:val="001E6C66"/>
    <w:rsid w:val="001F0029"/>
    <w:rsid w:val="001F053A"/>
    <w:rsid w:val="001F0609"/>
    <w:rsid w:val="001F1034"/>
    <w:rsid w:val="001F144E"/>
    <w:rsid w:val="001F2FE3"/>
    <w:rsid w:val="001F41A9"/>
    <w:rsid w:val="001F4390"/>
    <w:rsid w:val="001F5262"/>
    <w:rsid w:val="001F52BC"/>
    <w:rsid w:val="001F5364"/>
    <w:rsid w:val="001F6CBC"/>
    <w:rsid w:val="001F7DC2"/>
    <w:rsid w:val="0020079E"/>
    <w:rsid w:val="00200DAD"/>
    <w:rsid w:val="00201013"/>
    <w:rsid w:val="002023EA"/>
    <w:rsid w:val="0020253B"/>
    <w:rsid w:val="00202ECA"/>
    <w:rsid w:val="0020348F"/>
    <w:rsid w:val="00203B4D"/>
    <w:rsid w:val="00203D93"/>
    <w:rsid w:val="00204238"/>
    <w:rsid w:val="00204D19"/>
    <w:rsid w:val="002055BC"/>
    <w:rsid w:val="00205C50"/>
    <w:rsid w:val="00205F7A"/>
    <w:rsid w:val="002063A9"/>
    <w:rsid w:val="00206FCA"/>
    <w:rsid w:val="0020711E"/>
    <w:rsid w:val="0020740F"/>
    <w:rsid w:val="00210029"/>
    <w:rsid w:val="002100AF"/>
    <w:rsid w:val="00210880"/>
    <w:rsid w:val="0021234D"/>
    <w:rsid w:val="00214C1C"/>
    <w:rsid w:val="00214DF1"/>
    <w:rsid w:val="00215660"/>
    <w:rsid w:val="00215827"/>
    <w:rsid w:val="002162FF"/>
    <w:rsid w:val="00217E39"/>
    <w:rsid w:val="0022049F"/>
    <w:rsid w:val="00220547"/>
    <w:rsid w:val="002208AD"/>
    <w:rsid w:val="00220D9D"/>
    <w:rsid w:val="002225A9"/>
    <w:rsid w:val="0022278C"/>
    <w:rsid w:val="0022350A"/>
    <w:rsid w:val="00223A15"/>
    <w:rsid w:val="00223C04"/>
    <w:rsid w:val="00223F9E"/>
    <w:rsid w:val="00223FD6"/>
    <w:rsid w:val="0022481F"/>
    <w:rsid w:val="00224982"/>
    <w:rsid w:val="00224A10"/>
    <w:rsid w:val="00224AFC"/>
    <w:rsid w:val="002257B9"/>
    <w:rsid w:val="00225910"/>
    <w:rsid w:val="00226008"/>
    <w:rsid w:val="002261C1"/>
    <w:rsid w:val="00226695"/>
    <w:rsid w:val="0022669A"/>
    <w:rsid w:val="0022673F"/>
    <w:rsid w:val="00226ACC"/>
    <w:rsid w:val="00227CD8"/>
    <w:rsid w:val="0023116F"/>
    <w:rsid w:val="0023137D"/>
    <w:rsid w:val="00231586"/>
    <w:rsid w:val="00231D4E"/>
    <w:rsid w:val="00232523"/>
    <w:rsid w:val="002331F9"/>
    <w:rsid w:val="00233A2B"/>
    <w:rsid w:val="00234558"/>
    <w:rsid w:val="00235EC8"/>
    <w:rsid w:val="00236171"/>
    <w:rsid w:val="002365FD"/>
    <w:rsid w:val="002368D4"/>
    <w:rsid w:val="00236AA5"/>
    <w:rsid w:val="00237A11"/>
    <w:rsid w:val="00237D2E"/>
    <w:rsid w:val="0024000A"/>
    <w:rsid w:val="002402B9"/>
    <w:rsid w:val="00240815"/>
    <w:rsid w:val="00241898"/>
    <w:rsid w:val="00241933"/>
    <w:rsid w:val="00241AB0"/>
    <w:rsid w:val="002423F9"/>
    <w:rsid w:val="0024402E"/>
    <w:rsid w:val="00244A7D"/>
    <w:rsid w:val="0024523B"/>
    <w:rsid w:val="00245AED"/>
    <w:rsid w:val="002468DA"/>
    <w:rsid w:val="00247D18"/>
    <w:rsid w:val="00250023"/>
    <w:rsid w:val="00251873"/>
    <w:rsid w:val="00251AD6"/>
    <w:rsid w:val="0025234F"/>
    <w:rsid w:val="00252460"/>
    <w:rsid w:val="00252DE2"/>
    <w:rsid w:val="00254681"/>
    <w:rsid w:val="00254947"/>
    <w:rsid w:val="00254AB6"/>
    <w:rsid w:val="00255254"/>
    <w:rsid w:val="00256EE9"/>
    <w:rsid w:val="0025716A"/>
    <w:rsid w:val="00257C8E"/>
    <w:rsid w:val="00260420"/>
    <w:rsid w:val="0026085C"/>
    <w:rsid w:val="002609DE"/>
    <w:rsid w:val="00260D13"/>
    <w:rsid w:val="0026215E"/>
    <w:rsid w:val="00262FF7"/>
    <w:rsid w:val="00263142"/>
    <w:rsid w:val="00263210"/>
    <w:rsid w:val="00264BAF"/>
    <w:rsid w:val="00264C4F"/>
    <w:rsid w:val="00265930"/>
    <w:rsid w:val="00266710"/>
    <w:rsid w:val="002669AE"/>
    <w:rsid w:val="00266E83"/>
    <w:rsid w:val="00267CA3"/>
    <w:rsid w:val="00270000"/>
    <w:rsid w:val="00270A6F"/>
    <w:rsid w:val="00271039"/>
    <w:rsid w:val="00271AD4"/>
    <w:rsid w:val="00271AFE"/>
    <w:rsid w:val="00272C34"/>
    <w:rsid w:val="00272DEA"/>
    <w:rsid w:val="002735E7"/>
    <w:rsid w:val="00273824"/>
    <w:rsid w:val="00273929"/>
    <w:rsid w:val="002740E5"/>
    <w:rsid w:val="002758BC"/>
    <w:rsid w:val="00276A11"/>
    <w:rsid w:val="002771A5"/>
    <w:rsid w:val="00277D08"/>
    <w:rsid w:val="002805B8"/>
    <w:rsid w:val="0028078E"/>
    <w:rsid w:val="00281D47"/>
    <w:rsid w:val="00282209"/>
    <w:rsid w:val="002829C2"/>
    <w:rsid w:val="002832BA"/>
    <w:rsid w:val="00283AAD"/>
    <w:rsid w:val="0028475D"/>
    <w:rsid w:val="00284B9D"/>
    <w:rsid w:val="00284C99"/>
    <w:rsid w:val="00285FF7"/>
    <w:rsid w:val="00287DB0"/>
    <w:rsid w:val="00290F02"/>
    <w:rsid w:val="002914D2"/>
    <w:rsid w:val="002921EE"/>
    <w:rsid w:val="00292750"/>
    <w:rsid w:val="00292ED2"/>
    <w:rsid w:val="00292F5A"/>
    <w:rsid w:val="002938CE"/>
    <w:rsid w:val="00293929"/>
    <w:rsid w:val="00293C09"/>
    <w:rsid w:val="00293ED1"/>
    <w:rsid w:val="00294A91"/>
    <w:rsid w:val="00294D56"/>
    <w:rsid w:val="0029516F"/>
    <w:rsid w:val="00295546"/>
    <w:rsid w:val="0029584F"/>
    <w:rsid w:val="00295A46"/>
    <w:rsid w:val="00295EE4"/>
    <w:rsid w:val="002960F5"/>
    <w:rsid w:val="00296807"/>
    <w:rsid w:val="002A0C7D"/>
    <w:rsid w:val="002A1B39"/>
    <w:rsid w:val="002A21E6"/>
    <w:rsid w:val="002A22E3"/>
    <w:rsid w:val="002A3246"/>
    <w:rsid w:val="002A33B5"/>
    <w:rsid w:val="002A3D7A"/>
    <w:rsid w:val="002A4067"/>
    <w:rsid w:val="002A4190"/>
    <w:rsid w:val="002A4216"/>
    <w:rsid w:val="002A5152"/>
    <w:rsid w:val="002A6517"/>
    <w:rsid w:val="002A737F"/>
    <w:rsid w:val="002A75D9"/>
    <w:rsid w:val="002B0005"/>
    <w:rsid w:val="002B0332"/>
    <w:rsid w:val="002B0834"/>
    <w:rsid w:val="002B0F56"/>
    <w:rsid w:val="002B11B1"/>
    <w:rsid w:val="002B122C"/>
    <w:rsid w:val="002B1714"/>
    <w:rsid w:val="002B1E90"/>
    <w:rsid w:val="002B29FE"/>
    <w:rsid w:val="002B2E31"/>
    <w:rsid w:val="002B419D"/>
    <w:rsid w:val="002B51E5"/>
    <w:rsid w:val="002B54C3"/>
    <w:rsid w:val="002B5AF2"/>
    <w:rsid w:val="002B5FD7"/>
    <w:rsid w:val="002B6640"/>
    <w:rsid w:val="002C019B"/>
    <w:rsid w:val="002C0290"/>
    <w:rsid w:val="002C02A8"/>
    <w:rsid w:val="002C0563"/>
    <w:rsid w:val="002C1197"/>
    <w:rsid w:val="002C1E35"/>
    <w:rsid w:val="002C2BAA"/>
    <w:rsid w:val="002C4A5E"/>
    <w:rsid w:val="002C6DD7"/>
    <w:rsid w:val="002C788E"/>
    <w:rsid w:val="002C78D6"/>
    <w:rsid w:val="002C7F7C"/>
    <w:rsid w:val="002D099A"/>
    <w:rsid w:val="002D0AB4"/>
    <w:rsid w:val="002D0C94"/>
    <w:rsid w:val="002D0D97"/>
    <w:rsid w:val="002D0DB0"/>
    <w:rsid w:val="002D14CA"/>
    <w:rsid w:val="002D2213"/>
    <w:rsid w:val="002D23FC"/>
    <w:rsid w:val="002D2451"/>
    <w:rsid w:val="002D3286"/>
    <w:rsid w:val="002D3660"/>
    <w:rsid w:val="002D39BF"/>
    <w:rsid w:val="002D3ACD"/>
    <w:rsid w:val="002D3B42"/>
    <w:rsid w:val="002D46C9"/>
    <w:rsid w:val="002D5239"/>
    <w:rsid w:val="002D5B7D"/>
    <w:rsid w:val="002D5F57"/>
    <w:rsid w:val="002D61AC"/>
    <w:rsid w:val="002D70D8"/>
    <w:rsid w:val="002E0F2C"/>
    <w:rsid w:val="002E1699"/>
    <w:rsid w:val="002E4720"/>
    <w:rsid w:val="002E477F"/>
    <w:rsid w:val="002E4812"/>
    <w:rsid w:val="002E49AD"/>
    <w:rsid w:val="002E4D41"/>
    <w:rsid w:val="002E4DFF"/>
    <w:rsid w:val="002E5160"/>
    <w:rsid w:val="002E5812"/>
    <w:rsid w:val="002E64CA"/>
    <w:rsid w:val="002E7CFA"/>
    <w:rsid w:val="002F123E"/>
    <w:rsid w:val="002F158D"/>
    <w:rsid w:val="002F1A5F"/>
    <w:rsid w:val="002F1E97"/>
    <w:rsid w:val="002F2028"/>
    <w:rsid w:val="002F2251"/>
    <w:rsid w:val="002F27EF"/>
    <w:rsid w:val="002F39EE"/>
    <w:rsid w:val="002F3AE9"/>
    <w:rsid w:val="002F4557"/>
    <w:rsid w:val="002F4CE1"/>
    <w:rsid w:val="002F571D"/>
    <w:rsid w:val="002F5A81"/>
    <w:rsid w:val="002F62E6"/>
    <w:rsid w:val="002F6578"/>
    <w:rsid w:val="002F6DD7"/>
    <w:rsid w:val="002F6E6E"/>
    <w:rsid w:val="002F7E61"/>
    <w:rsid w:val="00300110"/>
    <w:rsid w:val="003009E4"/>
    <w:rsid w:val="00302645"/>
    <w:rsid w:val="003032AD"/>
    <w:rsid w:val="00303397"/>
    <w:rsid w:val="00303452"/>
    <w:rsid w:val="00303D46"/>
    <w:rsid w:val="00304104"/>
    <w:rsid w:val="003043AE"/>
    <w:rsid w:val="00305644"/>
    <w:rsid w:val="003056DB"/>
    <w:rsid w:val="0030646D"/>
    <w:rsid w:val="00306E12"/>
    <w:rsid w:val="0030703A"/>
    <w:rsid w:val="003071CD"/>
    <w:rsid w:val="00307304"/>
    <w:rsid w:val="003073C8"/>
    <w:rsid w:val="00307F55"/>
    <w:rsid w:val="0031043E"/>
    <w:rsid w:val="00310AEA"/>
    <w:rsid w:val="003115F6"/>
    <w:rsid w:val="00311B5B"/>
    <w:rsid w:val="00313566"/>
    <w:rsid w:val="003135A0"/>
    <w:rsid w:val="0031375E"/>
    <w:rsid w:val="00313E30"/>
    <w:rsid w:val="003148D1"/>
    <w:rsid w:val="00316141"/>
    <w:rsid w:val="00316955"/>
    <w:rsid w:val="00316CCF"/>
    <w:rsid w:val="00316E7B"/>
    <w:rsid w:val="0031721B"/>
    <w:rsid w:val="00317357"/>
    <w:rsid w:val="00317714"/>
    <w:rsid w:val="00317AF6"/>
    <w:rsid w:val="00317E5B"/>
    <w:rsid w:val="00320520"/>
    <w:rsid w:val="0032093A"/>
    <w:rsid w:val="003209CE"/>
    <w:rsid w:val="00320EBF"/>
    <w:rsid w:val="003211C0"/>
    <w:rsid w:val="00323BAF"/>
    <w:rsid w:val="00324305"/>
    <w:rsid w:val="00325101"/>
    <w:rsid w:val="0032552B"/>
    <w:rsid w:val="00325EDB"/>
    <w:rsid w:val="00326017"/>
    <w:rsid w:val="00326030"/>
    <w:rsid w:val="00326D87"/>
    <w:rsid w:val="00327ED3"/>
    <w:rsid w:val="0033028D"/>
    <w:rsid w:val="00330A15"/>
    <w:rsid w:val="00330ED9"/>
    <w:rsid w:val="00331201"/>
    <w:rsid w:val="003312CF"/>
    <w:rsid w:val="0033165C"/>
    <w:rsid w:val="00331DEA"/>
    <w:rsid w:val="003320E1"/>
    <w:rsid w:val="003324F7"/>
    <w:rsid w:val="00332FDC"/>
    <w:rsid w:val="003334E0"/>
    <w:rsid w:val="00333B70"/>
    <w:rsid w:val="003341AF"/>
    <w:rsid w:val="00334993"/>
    <w:rsid w:val="00334F88"/>
    <w:rsid w:val="0033529D"/>
    <w:rsid w:val="0033535C"/>
    <w:rsid w:val="00336498"/>
    <w:rsid w:val="00336F69"/>
    <w:rsid w:val="00337CFC"/>
    <w:rsid w:val="00340853"/>
    <w:rsid w:val="003416C7"/>
    <w:rsid w:val="0034172F"/>
    <w:rsid w:val="0034216C"/>
    <w:rsid w:val="00343D6E"/>
    <w:rsid w:val="00343FD0"/>
    <w:rsid w:val="00343FD8"/>
    <w:rsid w:val="003451B7"/>
    <w:rsid w:val="00345484"/>
    <w:rsid w:val="003461CE"/>
    <w:rsid w:val="003464F1"/>
    <w:rsid w:val="00346EEA"/>
    <w:rsid w:val="00347A98"/>
    <w:rsid w:val="00347EAD"/>
    <w:rsid w:val="00350498"/>
    <w:rsid w:val="00350876"/>
    <w:rsid w:val="00351B6D"/>
    <w:rsid w:val="003527FE"/>
    <w:rsid w:val="003528C6"/>
    <w:rsid w:val="00352F80"/>
    <w:rsid w:val="00353056"/>
    <w:rsid w:val="003530E8"/>
    <w:rsid w:val="00353440"/>
    <w:rsid w:val="003536A7"/>
    <w:rsid w:val="0035374B"/>
    <w:rsid w:val="00353930"/>
    <w:rsid w:val="00353BE7"/>
    <w:rsid w:val="00353C76"/>
    <w:rsid w:val="00353E35"/>
    <w:rsid w:val="00353EDE"/>
    <w:rsid w:val="003543F9"/>
    <w:rsid w:val="00354723"/>
    <w:rsid w:val="00354757"/>
    <w:rsid w:val="00354A72"/>
    <w:rsid w:val="003553C2"/>
    <w:rsid w:val="0035664E"/>
    <w:rsid w:val="00356977"/>
    <w:rsid w:val="00357427"/>
    <w:rsid w:val="00357695"/>
    <w:rsid w:val="003610DA"/>
    <w:rsid w:val="003612E5"/>
    <w:rsid w:val="00361317"/>
    <w:rsid w:val="0036148C"/>
    <w:rsid w:val="00361DAB"/>
    <w:rsid w:val="0036216C"/>
    <w:rsid w:val="00362253"/>
    <w:rsid w:val="00363CC5"/>
    <w:rsid w:val="003640EE"/>
    <w:rsid w:val="00364747"/>
    <w:rsid w:val="00364806"/>
    <w:rsid w:val="00364E93"/>
    <w:rsid w:val="003651B7"/>
    <w:rsid w:val="00365635"/>
    <w:rsid w:val="00365668"/>
    <w:rsid w:val="00365F18"/>
    <w:rsid w:val="00367393"/>
    <w:rsid w:val="00367494"/>
    <w:rsid w:val="0036797C"/>
    <w:rsid w:val="00367B22"/>
    <w:rsid w:val="00367BDB"/>
    <w:rsid w:val="00367DB7"/>
    <w:rsid w:val="00370403"/>
    <w:rsid w:val="003705F1"/>
    <w:rsid w:val="003707A0"/>
    <w:rsid w:val="003707DB"/>
    <w:rsid w:val="00370B67"/>
    <w:rsid w:val="00371C7A"/>
    <w:rsid w:val="00372E7E"/>
    <w:rsid w:val="00374232"/>
    <w:rsid w:val="00374892"/>
    <w:rsid w:val="00375AEC"/>
    <w:rsid w:val="003760F0"/>
    <w:rsid w:val="003761E1"/>
    <w:rsid w:val="00376236"/>
    <w:rsid w:val="003764E2"/>
    <w:rsid w:val="0037652C"/>
    <w:rsid w:val="003766A2"/>
    <w:rsid w:val="00376C95"/>
    <w:rsid w:val="003774D1"/>
    <w:rsid w:val="003800E4"/>
    <w:rsid w:val="003801EE"/>
    <w:rsid w:val="00380E1A"/>
    <w:rsid w:val="00380FF5"/>
    <w:rsid w:val="003815A8"/>
    <w:rsid w:val="0038275D"/>
    <w:rsid w:val="003829C3"/>
    <w:rsid w:val="003831C2"/>
    <w:rsid w:val="0038385B"/>
    <w:rsid w:val="0038681C"/>
    <w:rsid w:val="003873D4"/>
    <w:rsid w:val="003875F4"/>
    <w:rsid w:val="00387ADA"/>
    <w:rsid w:val="003900BE"/>
    <w:rsid w:val="003911F7"/>
    <w:rsid w:val="00392130"/>
    <w:rsid w:val="0039282E"/>
    <w:rsid w:val="00393C0A"/>
    <w:rsid w:val="0039456F"/>
    <w:rsid w:val="00394570"/>
    <w:rsid w:val="003950FA"/>
    <w:rsid w:val="00395108"/>
    <w:rsid w:val="003962A2"/>
    <w:rsid w:val="00396C37"/>
    <w:rsid w:val="00396E5F"/>
    <w:rsid w:val="00396ED5"/>
    <w:rsid w:val="003972A1"/>
    <w:rsid w:val="00397369"/>
    <w:rsid w:val="00397AD2"/>
    <w:rsid w:val="003A0F44"/>
    <w:rsid w:val="003A10A1"/>
    <w:rsid w:val="003A17B3"/>
    <w:rsid w:val="003A4475"/>
    <w:rsid w:val="003A44A0"/>
    <w:rsid w:val="003A594E"/>
    <w:rsid w:val="003A5EEC"/>
    <w:rsid w:val="003A6174"/>
    <w:rsid w:val="003A771A"/>
    <w:rsid w:val="003A78F0"/>
    <w:rsid w:val="003B054C"/>
    <w:rsid w:val="003B058E"/>
    <w:rsid w:val="003B0DEA"/>
    <w:rsid w:val="003B184B"/>
    <w:rsid w:val="003B286A"/>
    <w:rsid w:val="003B2D45"/>
    <w:rsid w:val="003B475C"/>
    <w:rsid w:val="003B4870"/>
    <w:rsid w:val="003B59A3"/>
    <w:rsid w:val="003B5CDD"/>
    <w:rsid w:val="003B671D"/>
    <w:rsid w:val="003B6CAE"/>
    <w:rsid w:val="003B7070"/>
    <w:rsid w:val="003B71F3"/>
    <w:rsid w:val="003B750E"/>
    <w:rsid w:val="003C0055"/>
    <w:rsid w:val="003C00B9"/>
    <w:rsid w:val="003C2014"/>
    <w:rsid w:val="003C2483"/>
    <w:rsid w:val="003C2686"/>
    <w:rsid w:val="003C2D87"/>
    <w:rsid w:val="003C4A39"/>
    <w:rsid w:val="003C6BED"/>
    <w:rsid w:val="003C7308"/>
    <w:rsid w:val="003C74B1"/>
    <w:rsid w:val="003C7E57"/>
    <w:rsid w:val="003D0342"/>
    <w:rsid w:val="003D0CA6"/>
    <w:rsid w:val="003D0DB6"/>
    <w:rsid w:val="003D1EEA"/>
    <w:rsid w:val="003D288B"/>
    <w:rsid w:val="003D2BB1"/>
    <w:rsid w:val="003D2CE1"/>
    <w:rsid w:val="003D3B37"/>
    <w:rsid w:val="003D454D"/>
    <w:rsid w:val="003D45CA"/>
    <w:rsid w:val="003D4731"/>
    <w:rsid w:val="003D48A2"/>
    <w:rsid w:val="003D4E7A"/>
    <w:rsid w:val="003D5243"/>
    <w:rsid w:val="003D5696"/>
    <w:rsid w:val="003D6C50"/>
    <w:rsid w:val="003D6CFB"/>
    <w:rsid w:val="003D7E29"/>
    <w:rsid w:val="003E01EC"/>
    <w:rsid w:val="003E0C47"/>
    <w:rsid w:val="003E0D03"/>
    <w:rsid w:val="003E24FC"/>
    <w:rsid w:val="003E2EB4"/>
    <w:rsid w:val="003E39B2"/>
    <w:rsid w:val="003E5B5E"/>
    <w:rsid w:val="003E5C29"/>
    <w:rsid w:val="003E5F03"/>
    <w:rsid w:val="003E62CC"/>
    <w:rsid w:val="003E69DA"/>
    <w:rsid w:val="003E6F72"/>
    <w:rsid w:val="003E7CC1"/>
    <w:rsid w:val="003F0410"/>
    <w:rsid w:val="003F0738"/>
    <w:rsid w:val="003F143B"/>
    <w:rsid w:val="003F14F4"/>
    <w:rsid w:val="003F1B8F"/>
    <w:rsid w:val="003F22FD"/>
    <w:rsid w:val="003F2F35"/>
    <w:rsid w:val="003F3428"/>
    <w:rsid w:val="003F3EA8"/>
    <w:rsid w:val="003F557C"/>
    <w:rsid w:val="003F559E"/>
    <w:rsid w:val="003F59D0"/>
    <w:rsid w:val="003F5EE4"/>
    <w:rsid w:val="003F6187"/>
    <w:rsid w:val="003F665C"/>
    <w:rsid w:val="003F7FCF"/>
    <w:rsid w:val="0040020D"/>
    <w:rsid w:val="00400982"/>
    <w:rsid w:val="0040159D"/>
    <w:rsid w:val="00401B28"/>
    <w:rsid w:val="00402AA3"/>
    <w:rsid w:val="00402AF5"/>
    <w:rsid w:val="00402D26"/>
    <w:rsid w:val="00402D9F"/>
    <w:rsid w:val="004030AB"/>
    <w:rsid w:val="00403482"/>
    <w:rsid w:val="0040357E"/>
    <w:rsid w:val="004048D7"/>
    <w:rsid w:val="004054B2"/>
    <w:rsid w:val="004059C5"/>
    <w:rsid w:val="00405B2A"/>
    <w:rsid w:val="0040708A"/>
    <w:rsid w:val="004073A2"/>
    <w:rsid w:val="00407E8D"/>
    <w:rsid w:val="00407EE9"/>
    <w:rsid w:val="00410440"/>
    <w:rsid w:val="004106A7"/>
    <w:rsid w:val="00410C4C"/>
    <w:rsid w:val="00411628"/>
    <w:rsid w:val="004119B7"/>
    <w:rsid w:val="00412282"/>
    <w:rsid w:val="00413AAB"/>
    <w:rsid w:val="00414928"/>
    <w:rsid w:val="0041657A"/>
    <w:rsid w:val="00416774"/>
    <w:rsid w:val="004167F9"/>
    <w:rsid w:val="00416B67"/>
    <w:rsid w:val="00416E79"/>
    <w:rsid w:val="00417728"/>
    <w:rsid w:val="00417DE5"/>
    <w:rsid w:val="00420BBF"/>
    <w:rsid w:val="004215D2"/>
    <w:rsid w:val="00421B91"/>
    <w:rsid w:val="00421DC7"/>
    <w:rsid w:val="00422716"/>
    <w:rsid w:val="00422CDA"/>
    <w:rsid w:val="00422DC4"/>
    <w:rsid w:val="00423234"/>
    <w:rsid w:val="004242C4"/>
    <w:rsid w:val="0042432A"/>
    <w:rsid w:val="00424722"/>
    <w:rsid w:val="00424AB9"/>
    <w:rsid w:val="00424E0E"/>
    <w:rsid w:val="004253A4"/>
    <w:rsid w:val="004256BA"/>
    <w:rsid w:val="00425E6B"/>
    <w:rsid w:val="004260F1"/>
    <w:rsid w:val="00426CE3"/>
    <w:rsid w:val="0042767A"/>
    <w:rsid w:val="004279A5"/>
    <w:rsid w:val="00427EF1"/>
    <w:rsid w:val="004305F2"/>
    <w:rsid w:val="004307DB"/>
    <w:rsid w:val="00431999"/>
    <w:rsid w:val="00431B18"/>
    <w:rsid w:val="00431D93"/>
    <w:rsid w:val="00431FC8"/>
    <w:rsid w:val="0043205C"/>
    <w:rsid w:val="00432CF1"/>
    <w:rsid w:val="00432EC6"/>
    <w:rsid w:val="00433553"/>
    <w:rsid w:val="004337E1"/>
    <w:rsid w:val="00433E3E"/>
    <w:rsid w:val="004340D3"/>
    <w:rsid w:val="00434FB7"/>
    <w:rsid w:val="0043520E"/>
    <w:rsid w:val="00435682"/>
    <w:rsid w:val="00435908"/>
    <w:rsid w:val="004359D1"/>
    <w:rsid w:val="00435F12"/>
    <w:rsid w:val="00436E97"/>
    <w:rsid w:val="004371B9"/>
    <w:rsid w:val="0044056F"/>
    <w:rsid w:val="00440F9E"/>
    <w:rsid w:val="00441D75"/>
    <w:rsid w:val="00442EE8"/>
    <w:rsid w:val="004431FC"/>
    <w:rsid w:val="00443294"/>
    <w:rsid w:val="00443E76"/>
    <w:rsid w:val="00444423"/>
    <w:rsid w:val="0044527B"/>
    <w:rsid w:val="00445797"/>
    <w:rsid w:val="0044581E"/>
    <w:rsid w:val="00445F50"/>
    <w:rsid w:val="0044633C"/>
    <w:rsid w:val="004471C3"/>
    <w:rsid w:val="0044747F"/>
    <w:rsid w:val="00447850"/>
    <w:rsid w:val="004501EA"/>
    <w:rsid w:val="004515B1"/>
    <w:rsid w:val="00451AAD"/>
    <w:rsid w:val="0045224C"/>
    <w:rsid w:val="00453479"/>
    <w:rsid w:val="0045351C"/>
    <w:rsid w:val="00453930"/>
    <w:rsid w:val="00453CAF"/>
    <w:rsid w:val="00453CBD"/>
    <w:rsid w:val="00454281"/>
    <w:rsid w:val="004543A1"/>
    <w:rsid w:val="004544C3"/>
    <w:rsid w:val="00454D13"/>
    <w:rsid w:val="00455291"/>
    <w:rsid w:val="00455DCE"/>
    <w:rsid w:val="00456081"/>
    <w:rsid w:val="0045793A"/>
    <w:rsid w:val="0046087C"/>
    <w:rsid w:val="00460B7E"/>
    <w:rsid w:val="00460DD3"/>
    <w:rsid w:val="00461031"/>
    <w:rsid w:val="00461195"/>
    <w:rsid w:val="00462298"/>
    <w:rsid w:val="0046261B"/>
    <w:rsid w:val="00462659"/>
    <w:rsid w:val="00462C05"/>
    <w:rsid w:val="004634A4"/>
    <w:rsid w:val="0046357E"/>
    <w:rsid w:val="00463E08"/>
    <w:rsid w:val="00464309"/>
    <w:rsid w:val="00464BC3"/>
    <w:rsid w:val="00464F5D"/>
    <w:rsid w:val="004650B4"/>
    <w:rsid w:val="00465F52"/>
    <w:rsid w:val="00466182"/>
    <w:rsid w:val="0046623F"/>
    <w:rsid w:val="00466E3C"/>
    <w:rsid w:val="0046716F"/>
    <w:rsid w:val="00467F43"/>
    <w:rsid w:val="00471677"/>
    <w:rsid w:val="00472D74"/>
    <w:rsid w:val="00473B5B"/>
    <w:rsid w:val="00473EB2"/>
    <w:rsid w:val="00474CB4"/>
    <w:rsid w:val="00474FBD"/>
    <w:rsid w:val="00475377"/>
    <w:rsid w:val="00475AB6"/>
    <w:rsid w:val="00476009"/>
    <w:rsid w:val="00476411"/>
    <w:rsid w:val="004766CF"/>
    <w:rsid w:val="004770F1"/>
    <w:rsid w:val="0047741F"/>
    <w:rsid w:val="00480110"/>
    <w:rsid w:val="0048095D"/>
    <w:rsid w:val="00480BCB"/>
    <w:rsid w:val="00480BDF"/>
    <w:rsid w:val="00480D3C"/>
    <w:rsid w:val="00481478"/>
    <w:rsid w:val="00481AAC"/>
    <w:rsid w:val="0048240F"/>
    <w:rsid w:val="004827F4"/>
    <w:rsid w:val="00482FEC"/>
    <w:rsid w:val="00483C6F"/>
    <w:rsid w:val="00484827"/>
    <w:rsid w:val="004850EF"/>
    <w:rsid w:val="004856FD"/>
    <w:rsid w:val="0048574D"/>
    <w:rsid w:val="00485ACE"/>
    <w:rsid w:val="00485AE2"/>
    <w:rsid w:val="004860CB"/>
    <w:rsid w:val="00486438"/>
    <w:rsid w:val="0048681E"/>
    <w:rsid w:val="00486D78"/>
    <w:rsid w:val="00487084"/>
    <w:rsid w:val="00487CC6"/>
    <w:rsid w:val="004901B3"/>
    <w:rsid w:val="004901E9"/>
    <w:rsid w:val="00490608"/>
    <w:rsid w:val="00490628"/>
    <w:rsid w:val="004914CD"/>
    <w:rsid w:val="00491668"/>
    <w:rsid w:val="00491692"/>
    <w:rsid w:val="00491D7D"/>
    <w:rsid w:val="00492464"/>
    <w:rsid w:val="00492A71"/>
    <w:rsid w:val="00493B02"/>
    <w:rsid w:val="004944ED"/>
    <w:rsid w:val="0049483B"/>
    <w:rsid w:val="00494CC1"/>
    <w:rsid w:val="004963EA"/>
    <w:rsid w:val="0049711B"/>
    <w:rsid w:val="004A0825"/>
    <w:rsid w:val="004A0E4A"/>
    <w:rsid w:val="004A12A4"/>
    <w:rsid w:val="004A1379"/>
    <w:rsid w:val="004A1AE1"/>
    <w:rsid w:val="004A1D5E"/>
    <w:rsid w:val="004A1D6A"/>
    <w:rsid w:val="004A1D7B"/>
    <w:rsid w:val="004A1DF7"/>
    <w:rsid w:val="004A2785"/>
    <w:rsid w:val="004A2BE1"/>
    <w:rsid w:val="004A3247"/>
    <w:rsid w:val="004A3CF9"/>
    <w:rsid w:val="004A44B7"/>
    <w:rsid w:val="004A4B88"/>
    <w:rsid w:val="004A4EE3"/>
    <w:rsid w:val="004A5246"/>
    <w:rsid w:val="004A6937"/>
    <w:rsid w:val="004A6AA2"/>
    <w:rsid w:val="004A7544"/>
    <w:rsid w:val="004A768B"/>
    <w:rsid w:val="004A7741"/>
    <w:rsid w:val="004B05EE"/>
    <w:rsid w:val="004B0773"/>
    <w:rsid w:val="004B1208"/>
    <w:rsid w:val="004B2411"/>
    <w:rsid w:val="004B293A"/>
    <w:rsid w:val="004B350D"/>
    <w:rsid w:val="004B459E"/>
    <w:rsid w:val="004B4AD0"/>
    <w:rsid w:val="004B5777"/>
    <w:rsid w:val="004B5A22"/>
    <w:rsid w:val="004B5A42"/>
    <w:rsid w:val="004B5D3A"/>
    <w:rsid w:val="004B5FAC"/>
    <w:rsid w:val="004B6D39"/>
    <w:rsid w:val="004B6E23"/>
    <w:rsid w:val="004C01C2"/>
    <w:rsid w:val="004C05D2"/>
    <w:rsid w:val="004C0C0B"/>
    <w:rsid w:val="004C0F19"/>
    <w:rsid w:val="004C117D"/>
    <w:rsid w:val="004C1880"/>
    <w:rsid w:val="004C322C"/>
    <w:rsid w:val="004C3590"/>
    <w:rsid w:val="004C3F45"/>
    <w:rsid w:val="004C485F"/>
    <w:rsid w:val="004C4AA1"/>
    <w:rsid w:val="004C5553"/>
    <w:rsid w:val="004C6708"/>
    <w:rsid w:val="004C67C1"/>
    <w:rsid w:val="004C6F33"/>
    <w:rsid w:val="004C70DC"/>
    <w:rsid w:val="004C71C8"/>
    <w:rsid w:val="004D0656"/>
    <w:rsid w:val="004D09DD"/>
    <w:rsid w:val="004D1440"/>
    <w:rsid w:val="004D1B6D"/>
    <w:rsid w:val="004D1DF5"/>
    <w:rsid w:val="004D2DAA"/>
    <w:rsid w:val="004D3047"/>
    <w:rsid w:val="004D482D"/>
    <w:rsid w:val="004D4FC9"/>
    <w:rsid w:val="004D6B1B"/>
    <w:rsid w:val="004D79C4"/>
    <w:rsid w:val="004E0D32"/>
    <w:rsid w:val="004E149E"/>
    <w:rsid w:val="004E19AB"/>
    <w:rsid w:val="004E29C0"/>
    <w:rsid w:val="004E357A"/>
    <w:rsid w:val="004E358E"/>
    <w:rsid w:val="004E390D"/>
    <w:rsid w:val="004E40EF"/>
    <w:rsid w:val="004E4B3B"/>
    <w:rsid w:val="004E50DD"/>
    <w:rsid w:val="004E681F"/>
    <w:rsid w:val="004E68A6"/>
    <w:rsid w:val="004E6EC3"/>
    <w:rsid w:val="004E7335"/>
    <w:rsid w:val="004E73F7"/>
    <w:rsid w:val="004F0E48"/>
    <w:rsid w:val="004F11F4"/>
    <w:rsid w:val="004F1453"/>
    <w:rsid w:val="004F16C3"/>
    <w:rsid w:val="004F1AC6"/>
    <w:rsid w:val="004F1C80"/>
    <w:rsid w:val="004F2619"/>
    <w:rsid w:val="004F26E7"/>
    <w:rsid w:val="004F2B2F"/>
    <w:rsid w:val="004F2ECB"/>
    <w:rsid w:val="004F35B5"/>
    <w:rsid w:val="004F368D"/>
    <w:rsid w:val="004F44BB"/>
    <w:rsid w:val="004F4634"/>
    <w:rsid w:val="004F516A"/>
    <w:rsid w:val="004F66E9"/>
    <w:rsid w:val="004F76A0"/>
    <w:rsid w:val="004F7C11"/>
    <w:rsid w:val="004F7E86"/>
    <w:rsid w:val="00500E7F"/>
    <w:rsid w:val="00501324"/>
    <w:rsid w:val="00502320"/>
    <w:rsid w:val="00502BAF"/>
    <w:rsid w:val="005031A7"/>
    <w:rsid w:val="005037B2"/>
    <w:rsid w:val="00504C31"/>
    <w:rsid w:val="0050523F"/>
    <w:rsid w:val="0050617A"/>
    <w:rsid w:val="005064EF"/>
    <w:rsid w:val="005066EE"/>
    <w:rsid w:val="0050732E"/>
    <w:rsid w:val="00511440"/>
    <w:rsid w:val="0051275D"/>
    <w:rsid w:val="0051289A"/>
    <w:rsid w:val="00512E4B"/>
    <w:rsid w:val="005134A5"/>
    <w:rsid w:val="00513676"/>
    <w:rsid w:val="00513A20"/>
    <w:rsid w:val="00513C38"/>
    <w:rsid w:val="00513D25"/>
    <w:rsid w:val="005145C5"/>
    <w:rsid w:val="0051531C"/>
    <w:rsid w:val="005157B8"/>
    <w:rsid w:val="00515D1D"/>
    <w:rsid w:val="00515E2C"/>
    <w:rsid w:val="00516B10"/>
    <w:rsid w:val="00516F79"/>
    <w:rsid w:val="00517141"/>
    <w:rsid w:val="00517A47"/>
    <w:rsid w:val="00517CDB"/>
    <w:rsid w:val="00517EA8"/>
    <w:rsid w:val="005202F3"/>
    <w:rsid w:val="00520C3F"/>
    <w:rsid w:val="005212D6"/>
    <w:rsid w:val="0052179D"/>
    <w:rsid w:val="0052268B"/>
    <w:rsid w:val="0052274B"/>
    <w:rsid w:val="00523B20"/>
    <w:rsid w:val="00523FC7"/>
    <w:rsid w:val="00524C1F"/>
    <w:rsid w:val="00524C50"/>
    <w:rsid w:val="00524C85"/>
    <w:rsid w:val="0052533C"/>
    <w:rsid w:val="00525349"/>
    <w:rsid w:val="005254A4"/>
    <w:rsid w:val="0052577F"/>
    <w:rsid w:val="00525F67"/>
    <w:rsid w:val="00526085"/>
    <w:rsid w:val="00526B23"/>
    <w:rsid w:val="0052752E"/>
    <w:rsid w:val="00527927"/>
    <w:rsid w:val="00530718"/>
    <w:rsid w:val="00530DFB"/>
    <w:rsid w:val="00530EC6"/>
    <w:rsid w:val="0053143B"/>
    <w:rsid w:val="00531CD6"/>
    <w:rsid w:val="00531CF2"/>
    <w:rsid w:val="00531F95"/>
    <w:rsid w:val="0053255A"/>
    <w:rsid w:val="00532898"/>
    <w:rsid w:val="005336AE"/>
    <w:rsid w:val="00534476"/>
    <w:rsid w:val="00534F3B"/>
    <w:rsid w:val="00535280"/>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5F57"/>
    <w:rsid w:val="00546A0A"/>
    <w:rsid w:val="005478F4"/>
    <w:rsid w:val="00550493"/>
    <w:rsid w:val="00550AEF"/>
    <w:rsid w:val="00550CDC"/>
    <w:rsid w:val="00550F4A"/>
    <w:rsid w:val="00551962"/>
    <w:rsid w:val="00551EDC"/>
    <w:rsid w:val="005536D1"/>
    <w:rsid w:val="00553993"/>
    <w:rsid w:val="00553C05"/>
    <w:rsid w:val="005547E6"/>
    <w:rsid w:val="00554C96"/>
    <w:rsid w:val="00554F10"/>
    <w:rsid w:val="005554BB"/>
    <w:rsid w:val="005554EF"/>
    <w:rsid w:val="005557FD"/>
    <w:rsid w:val="0055588A"/>
    <w:rsid w:val="00555D52"/>
    <w:rsid w:val="00556356"/>
    <w:rsid w:val="00556373"/>
    <w:rsid w:val="005564E4"/>
    <w:rsid w:val="005566D7"/>
    <w:rsid w:val="005567E4"/>
    <w:rsid w:val="005569C6"/>
    <w:rsid w:val="005573F6"/>
    <w:rsid w:val="0055752A"/>
    <w:rsid w:val="005578D8"/>
    <w:rsid w:val="005609CC"/>
    <w:rsid w:val="00561F7F"/>
    <w:rsid w:val="00562A7F"/>
    <w:rsid w:val="0056366D"/>
    <w:rsid w:val="00563DBE"/>
    <w:rsid w:val="00563FEC"/>
    <w:rsid w:val="00564A22"/>
    <w:rsid w:val="00566112"/>
    <w:rsid w:val="00566B35"/>
    <w:rsid w:val="00566FE5"/>
    <w:rsid w:val="00567F77"/>
    <w:rsid w:val="00570A5A"/>
    <w:rsid w:val="0057124D"/>
    <w:rsid w:val="00571D2C"/>
    <w:rsid w:val="005732CC"/>
    <w:rsid w:val="00573697"/>
    <w:rsid w:val="00574504"/>
    <w:rsid w:val="00574636"/>
    <w:rsid w:val="00575422"/>
    <w:rsid w:val="00575E90"/>
    <w:rsid w:val="0057680D"/>
    <w:rsid w:val="005771A4"/>
    <w:rsid w:val="00577964"/>
    <w:rsid w:val="005803F5"/>
    <w:rsid w:val="00580D2D"/>
    <w:rsid w:val="00580F6F"/>
    <w:rsid w:val="005812E3"/>
    <w:rsid w:val="0058146D"/>
    <w:rsid w:val="00581D34"/>
    <w:rsid w:val="0058269F"/>
    <w:rsid w:val="005832E7"/>
    <w:rsid w:val="00583C35"/>
    <w:rsid w:val="00583DE7"/>
    <w:rsid w:val="00583F06"/>
    <w:rsid w:val="005843BA"/>
    <w:rsid w:val="00584947"/>
    <w:rsid w:val="005866EB"/>
    <w:rsid w:val="005868C1"/>
    <w:rsid w:val="0058728F"/>
    <w:rsid w:val="005879F4"/>
    <w:rsid w:val="00592350"/>
    <w:rsid w:val="00592361"/>
    <w:rsid w:val="0059288F"/>
    <w:rsid w:val="00592BE6"/>
    <w:rsid w:val="00592EF3"/>
    <w:rsid w:val="0059339E"/>
    <w:rsid w:val="005938C6"/>
    <w:rsid w:val="005938E1"/>
    <w:rsid w:val="005939C9"/>
    <w:rsid w:val="00593BAC"/>
    <w:rsid w:val="00594049"/>
    <w:rsid w:val="005947A5"/>
    <w:rsid w:val="00594E87"/>
    <w:rsid w:val="0059520B"/>
    <w:rsid w:val="005956F3"/>
    <w:rsid w:val="00596708"/>
    <w:rsid w:val="00596A75"/>
    <w:rsid w:val="00596D28"/>
    <w:rsid w:val="00597A9D"/>
    <w:rsid w:val="005A0387"/>
    <w:rsid w:val="005A0431"/>
    <w:rsid w:val="005A04F8"/>
    <w:rsid w:val="005A0CB5"/>
    <w:rsid w:val="005A1763"/>
    <w:rsid w:val="005A1F5B"/>
    <w:rsid w:val="005A20BA"/>
    <w:rsid w:val="005A2899"/>
    <w:rsid w:val="005A29F6"/>
    <w:rsid w:val="005A2BD9"/>
    <w:rsid w:val="005A427E"/>
    <w:rsid w:val="005A516C"/>
    <w:rsid w:val="005A5FB6"/>
    <w:rsid w:val="005A6063"/>
    <w:rsid w:val="005A64C4"/>
    <w:rsid w:val="005A6DB5"/>
    <w:rsid w:val="005A7190"/>
    <w:rsid w:val="005A746C"/>
    <w:rsid w:val="005A7AF5"/>
    <w:rsid w:val="005A7FD7"/>
    <w:rsid w:val="005B051C"/>
    <w:rsid w:val="005B06C4"/>
    <w:rsid w:val="005B0E5E"/>
    <w:rsid w:val="005B141E"/>
    <w:rsid w:val="005B1A6A"/>
    <w:rsid w:val="005B21F4"/>
    <w:rsid w:val="005B24AA"/>
    <w:rsid w:val="005B2F78"/>
    <w:rsid w:val="005B3752"/>
    <w:rsid w:val="005B5861"/>
    <w:rsid w:val="005B5D7B"/>
    <w:rsid w:val="005B6130"/>
    <w:rsid w:val="005B61C2"/>
    <w:rsid w:val="005B64C7"/>
    <w:rsid w:val="005B73C9"/>
    <w:rsid w:val="005B7C49"/>
    <w:rsid w:val="005C0115"/>
    <w:rsid w:val="005C0AEF"/>
    <w:rsid w:val="005C0E2E"/>
    <w:rsid w:val="005C1214"/>
    <w:rsid w:val="005C218B"/>
    <w:rsid w:val="005C267F"/>
    <w:rsid w:val="005C278B"/>
    <w:rsid w:val="005C299A"/>
    <w:rsid w:val="005C2CFC"/>
    <w:rsid w:val="005C3084"/>
    <w:rsid w:val="005C314B"/>
    <w:rsid w:val="005C4036"/>
    <w:rsid w:val="005C4328"/>
    <w:rsid w:val="005C4C3C"/>
    <w:rsid w:val="005C4E27"/>
    <w:rsid w:val="005C5CBC"/>
    <w:rsid w:val="005C5ED4"/>
    <w:rsid w:val="005C6240"/>
    <w:rsid w:val="005C7A3A"/>
    <w:rsid w:val="005D03EF"/>
    <w:rsid w:val="005D0782"/>
    <w:rsid w:val="005D09EA"/>
    <w:rsid w:val="005D0CB7"/>
    <w:rsid w:val="005D1643"/>
    <w:rsid w:val="005D1E12"/>
    <w:rsid w:val="005D2480"/>
    <w:rsid w:val="005D25A0"/>
    <w:rsid w:val="005D26B7"/>
    <w:rsid w:val="005D2723"/>
    <w:rsid w:val="005D3D0D"/>
    <w:rsid w:val="005D41B2"/>
    <w:rsid w:val="005D4AA1"/>
    <w:rsid w:val="005D4B42"/>
    <w:rsid w:val="005D5172"/>
    <w:rsid w:val="005D6334"/>
    <w:rsid w:val="005D7EF7"/>
    <w:rsid w:val="005E02DB"/>
    <w:rsid w:val="005E0771"/>
    <w:rsid w:val="005E200A"/>
    <w:rsid w:val="005E2123"/>
    <w:rsid w:val="005E215E"/>
    <w:rsid w:val="005E228C"/>
    <w:rsid w:val="005E22FD"/>
    <w:rsid w:val="005E2355"/>
    <w:rsid w:val="005E262E"/>
    <w:rsid w:val="005E2B52"/>
    <w:rsid w:val="005E3A90"/>
    <w:rsid w:val="005E4A5A"/>
    <w:rsid w:val="005E4CBD"/>
    <w:rsid w:val="005E4EDF"/>
    <w:rsid w:val="005E5D3E"/>
    <w:rsid w:val="005E5ED8"/>
    <w:rsid w:val="005E6437"/>
    <w:rsid w:val="005E6DD8"/>
    <w:rsid w:val="005E6FBE"/>
    <w:rsid w:val="005E7351"/>
    <w:rsid w:val="005E7D02"/>
    <w:rsid w:val="005F1F86"/>
    <w:rsid w:val="005F2019"/>
    <w:rsid w:val="005F3835"/>
    <w:rsid w:val="005F3A5A"/>
    <w:rsid w:val="005F4EE4"/>
    <w:rsid w:val="005F4FA0"/>
    <w:rsid w:val="005F5B73"/>
    <w:rsid w:val="005F7245"/>
    <w:rsid w:val="005F7C10"/>
    <w:rsid w:val="005F7D5D"/>
    <w:rsid w:val="005F7EC8"/>
    <w:rsid w:val="005F7F03"/>
    <w:rsid w:val="005F7FC3"/>
    <w:rsid w:val="006012F4"/>
    <w:rsid w:val="0060146C"/>
    <w:rsid w:val="0060207D"/>
    <w:rsid w:val="00602492"/>
    <w:rsid w:val="006035B6"/>
    <w:rsid w:val="0060368E"/>
    <w:rsid w:val="00603946"/>
    <w:rsid w:val="006039F2"/>
    <w:rsid w:val="00603A31"/>
    <w:rsid w:val="00604E1B"/>
    <w:rsid w:val="0060576E"/>
    <w:rsid w:val="0060582C"/>
    <w:rsid w:val="006061B0"/>
    <w:rsid w:val="00606821"/>
    <w:rsid w:val="00607148"/>
    <w:rsid w:val="006072EB"/>
    <w:rsid w:val="0060732E"/>
    <w:rsid w:val="006076A9"/>
    <w:rsid w:val="00607E68"/>
    <w:rsid w:val="006100FA"/>
    <w:rsid w:val="006104B8"/>
    <w:rsid w:val="00610874"/>
    <w:rsid w:val="00610C7F"/>
    <w:rsid w:val="006114DE"/>
    <w:rsid w:val="00611521"/>
    <w:rsid w:val="0061187C"/>
    <w:rsid w:val="00611D05"/>
    <w:rsid w:val="00611DCF"/>
    <w:rsid w:val="00612024"/>
    <w:rsid w:val="006120BD"/>
    <w:rsid w:val="006143D5"/>
    <w:rsid w:val="006160E0"/>
    <w:rsid w:val="00616924"/>
    <w:rsid w:val="006170E4"/>
    <w:rsid w:val="006172C4"/>
    <w:rsid w:val="00617440"/>
    <w:rsid w:val="006174F4"/>
    <w:rsid w:val="00617F19"/>
    <w:rsid w:val="0062061D"/>
    <w:rsid w:val="006208CB"/>
    <w:rsid w:val="00620D4D"/>
    <w:rsid w:val="00620F6C"/>
    <w:rsid w:val="00621685"/>
    <w:rsid w:val="00621DE2"/>
    <w:rsid w:val="006235C0"/>
    <w:rsid w:val="0062425F"/>
    <w:rsid w:val="006242DD"/>
    <w:rsid w:val="00624446"/>
    <w:rsid w:val="0062445B"/>
    <w:rsid w:val="00624472"/>
    <w:rsid w:val="006246B7"/>
    <w:rsid w:val="006259E9"/>
    <w:rsid w:val="00625E92"/>
    <w:rsid w:val="00625F2D"/>
    <w:rsid w:val="00627007"/>
    <w:rsid w:val="00627A91"/>
    <w:rsid w:val="006306F3"/>
    <w:rsid w:val="00630F66"/>
    <w:rsid w:val="006311BB"/>
    <w:rsid w:val="0063141B"/>
    <w:rsid w:val="00631D41"/>
    <w:rsid w:val="00631E49"/>
    <w:rsid w:val="00632DD4"/>
    <w:rsid w:val="00633528"/>
    <w:rsid w:val="00634481"/>
    <w:rsid w:val="00634C1D"/>
    <w:rsid w:val="00634C22"/>
    <w:rsid w:val="00635952"/>
    <w:rsid w:val="00635C90"/>
    <w:rsid w:val="006360BD"/>
    <w:rsid w:val="006360F2"/>
    <w:rsid w:val="0063699B"/>
    <w:rsid w:val="0063716F"/>
    <w:rsid w:val="006406AA"/>
    <w:rsid w:val="006410D0"/>
    <w:rsid w:val="0064149B"/>
    <w:rsid w:val="00641800"/>
    <w:rsid w:val="00641AA5"/>
    <w:rsid w:val="006448A3"/>
    <w:rsid w:val="0064495C"/>
    <w:rsid w:val="00645670"/>
    <w:rsid w:val="006467B8"/>
    <w:rsid w:val="00646C1D"/>
    <w:rsid w:val="006472F0"/>
    <w:rsid w:val="00647535"/>
    <w:rsid w:val="00647538"/>
    <w:rsid w:val="006507DC"/>
    <w:rsid w:val="006516C1"/>
    <w:rsid w:val="00652659"/>
    <w:rsid w:val="0065324B"/>
    <w:rsid w:val="006536D3"/>
    <w:rsid w:val="006544EA"/>
    <w:rsid w:val="00655A33"/>
    <w:rsid w:val="0065648F"/>
    <w:rsid w:val="00657133"/>
    <w:rsid w:val="00657241"/>
    <w:rsid w:val="006572B5"/>
    <w:rsid w:val="00657452"/>
    <w:rsid w:val="00660DF5"/>
    <w:rsid w:val="00660FC9"/>
    <w:rsid w:val="00661732"/>
    <w:rsid w:val="006629FD"/>
    <w:rsid w:val="00663401"/>
    <w:rsid w:val="006635B3"/>
    <w:rsid w:val="00664261"/>
    <w:rsid w:val="00664E1A"/>
    <w:rsid w:val="0066569F"/>
    <w:rsid w:val="006656B5"/>
    <w:rsid w:val="00665CFF"/>
    <w:rsid w:val="00666020"/>
    <w:rsid w:val="0066625F"/>
    <w:rsid w:val="0066631A"/>
    <w:rsid w:val="0066638D"/>
    <w:rsid w:val="00667564"/>
    <w:rsid w:val="00667C33"/>
    <w:rsid w:val="00670394"/>
    <w:rsid w:val="00670774"/>
    <w:rsid w:val="006712B2"/>
    <w:rsid w:val="00671576"/>
    <w:rsid w:val="00671D49"/>
    <w:rsid w:val="0067222A"/>
    <w:rsid w:val="006722E4"/>
    <w:rsid w:val="00672B50"/>
    <w:rsid w:val="00673C9A"/>
    <w:rsid w:val="00674A0C"/>
    <w:rsid w:val="00674CCF"/>
    <w:rsid w:val="00675F62"/>
    <w:rsid w:val="00676427"/>
    <w:rsid w:val="0067686A"/>
    <w:rsid w:val="00676E60"/>
    <w:rsid w:val="006772CA"/>
    <w:rsid w:val="0067730B"/>
    <w:rsid w:val="00680812"/>
    <w:rsid w:val="00680E67"/>
    <w:rsid w:val="006818CA"/>
    <w:rsid w:val="0068336E"/>
    <w:rsid w:val="00683B1A"/>
    <w:rsid w:val="0068497C"/>
    <w:rsid w:val="0068549E"/>
    <w:rsid w:val="006864C4"/>
    <w:rsid w:val="00687744"/>
    <w:rsid w:val="00687A31"/>
    <w:rsid w:val="00687FAF"/>
    <w:rsid w:val="0069004B"/>
    <w:rsid w:val="006906D9"/>
    <w:rsid w:val="006911E3"/>
    <w:rsid w:val="006913D5"/>
    <w:rsid w:val="00691954"/>
    <w:rsid w:val="00692672"/>
    <w:rsid w:val="00692EE2"/>
    <w:rsid w:val="006931F4"/>
    <w:rsid w:val="00694EBE"/>
    <w:rsid w:val="00695062"/>
    <w:rsid w:val="00695148"/>
    <w:rsid w:val="006959A9"/>
    <w:rsid w:val="006963D4"/>
    <w:rsid w:val="00696967"/>
    <w:rsid w:val="00697432"/>
    <w:rsid w:val="00697D05"/>
    <w:rsid w:val="006A08ED"/>
    <w:rsid w:val="006A2058"/>
    <w:rsid w:val="006A21CB"/>
    <w:rsid w:val="006A2F24"/>
    <w:rsid w:val="006A462A"/>
    <w:rsid w:val="006A5BCC"/>
    <w:rsid w:val="006A668F"/>
    <w:rsid w:val="006A6F8D"/>
    <w:rsid w:val="006A7276"/>
    <w:rsid w:val="006A7EF2"/>
    <w:rsid w:val="006B0390"/>
    <w:rsid w:val="006B065E"/>
    <w:rsid w:val="006B08EB"/>
    <w:rsid w:val="006B0B54"/>
    <w:rsid w:val="006B11D0"/>
    <w:rsid w:val="006B13D1"/>
    <w:rsid w:val="006B1478"/>
    <w:rsid w:val="006B4255"/>
    <w:rsid w:val="006B448C"/>
    <w:rsid w:val="006B481F"/>
    <w:rsid w:val="006B54AB"/>
    <w:rsid w:val="006B56B6"/>
    <w:rsid w:val="006B5BBB"/>
    <w:rsid w:val="006B5C72"/>
    <w:rsid w:val="006C04A7"/>
    <w:rsid w:val="006C0D83"/>
    <w:rsid w:val="006C1B7F"/>
    <w:rsid w:val="006C1E5B"/>
    <w:rsid w:val="006C1FE2"/>
    <w:rsid w:val="006C2076"/>
    <w:rsid w:val="006C2762"/>
    <w:rsid w:val="006C305D"/>
    <w:rsid w:val="006C39E9"/>
    <w:rsid w:val="006C3C67"/>
    <w:rsid w:val="006C3FBC"/>
    <w:rsid w:val="006C75B3"/>
    <w:rsid w:val="006C7636"/>
    <w:rsid w:val="006D180D"/>
    <w:rsid w:val="006D183B"/>
    <w:rsid w:val="006D27F4"/>
    <w:rsid w:val="006D4386"/>
    <w:rsid w:val="006D46C0"/>
    <w:rsid w:val="006D476D"/>
    <w:rsid w:val="006D4DAC"/>
    <w:rsid w:val="006D4DD8"/>
    <w:rsid w:val="006D4F78"/>
    <w:rsid w:val="006D5918"/>
    <w:rsid w:val="006D5B0A"/>
    <w:rsid w:val="006D63C0"/>
    <w:rsid w:val="006D70D6"/>
    <w:rsid w:val="006D71F8"/>
    <w:rsid w:val="006D770A"/>
    <w:rsid w:val="006D7887"/>
    <w:rsid w:val="006E08F4"/>
    <w:rsid w:val="006E0EAF"/>
    <w:rsid w:val="006E10A8"/>
    <w:rsid w:val="006E1466"/>
    <w:rsid w:val="006E2790"/>
    <w:rsid w:val="006E2797"/>
    <w:rsid w:val="006E2D2C"/>
    <w:rsid w:val="006E3B90"/>
    <w:rsid w:val="006E479A"/>
    <w:rsid w:val="006E4CA1"/>
    <w:rsid w:val="006E4D65"/>
    <w:rsid w:val="006E4E93"/>
    <w:rsid w:val="006E5EDE"/>
    <w:rsid w:val="006E6214"/>
    <w:rsid w:val="006E74AB"/>
    <w:rsid w:val="006E78F8"/>
    <w:rsid w:val="006E7E9B"/>
    <w:rsid w:val="006E7FB5"/>
    <w:rsid w:val="006F0D39"/>
    <w:rsid w:val="006F138C"/>
    <w:rsid w:val="006F1483"/>
    <w:rsid w:val="006F2519"/>
    <w:rsid w:val="006F2FC9"/>
    <w:rsid w:val="006F427C"/>
    <w:rsid w:val="006F436F"/>
    <w:rsid w:val="006F5216"/>
    <w:rsid w:val="006F5EBC"/>
    <w:rsid w:val="006F6328"/>
    <w:rsid w:val="006F638E"/>
    <w:rsid w:val="006F67F4"/>
    <w:rsid w:val="006F6BC2"/>
    <w:rsid w:val="006F78EC"/>
    <w:rsid w:val="006F7C80"/>
    <w:rsid w:val="006F7E6E"/>
    <w:rsid w:val="00700967"/>
    <w:rsid w:val="00701382"/>
    <w:rsid w:val="00701F54"/>
    <w:rsid w:val="007023EB"/>
    <w:rsid w:val="007026D4"/>
    <w:rsid w:val="0070329F"/>
    <w:rsid w:val="007033A9"/>
    <w:rsid w:val="00703CCF"/>
    <w:rsid w:val="00703E42"/>
    <w:rsid w:val="00704094"/>
    <w:rsid w:val="007045FC"/>
    <w:rsid w:val="00706928"/>
    <w:rsid w:val="00707E48"/>
    <w:rsid w:val="007108A2"/>
    <w:rsid w:val="007109EE"/>
    <w:rsid w:val="00710A27"/>
    <w:rsid w:val="00710C9F"/>
    <w:rsid w:val="00710D78"/>
    <w:rsid w:val="007113BD"/>
    <w:rsid w:val="007118D4"/>
    <w:rsid w:val="00712035"/>
    <w:rsid w:val="00712BA1"/>
    <w:rsid w:val="00713702"/>
    <w:rsid w:val="00714AD6"/>
    <w:rsid w:val="00715014"/>
    <w:rsid w:val="00715B0B"/>
    <w:rsid w:val="00715C8F"/>
    <w:rsid w:val="007161A6"/>
    <w:rsid w:val="007171D3"/>
    <w:rsid w:val="00717BE2"/>
    <w:rsid w:val="0072011C"/>
    <w:rsid w:val="007202AE"/>
    <w:rsid w:val="0072066E"/>
    <w:rsid w:val="00720D0A"/>
    <w:rsid w:val="007211E6"/>
    <w:rsid w:val="00721209"/>
    <w:rsid w:val="00721C5B"/>
    <w:rsid w:val="00721E33"/>
    <w:rsid w:val="0072292B"/>
    <w:rsid w:val="00723B28"/>
    <w:rsid w:val="0072401D"/>
    <w:rsid w:val="007244F9"/>
    <w:rsid w:val="0072452C"/>
    <w:rsid w:val="00724E88"/>
    <w:rsid w:val="00724FEA"/>
    <w:rsid w:val="0072545A"/>
    <w:rsid w:val="00725EC7"/>
    <w:rsid w:val="007272B0"/>
    <w:rsid w:val="0072766F"/>
    <w:rsid w:val="00727EB4"/>
    <w:rsid w:val="00730367"/>
    <w:rsid w:val="00730C75"/>
    <w:rsid w:val="00730F19"/>
    <w:rsid w:val="007314C1"/>
    <w:rsid w:val="0073157A"/>
    <w:rsid w:val="00731921"/>
    <w:rsid w:val="00731C94"/>
    <w:rsid w:val="00732949"/>
    <w:rsid w:val="007329F8"/>
    <w:rsid w:val="00733135"/>
    <w:rsid w:val="007336D2"/>
    <w:rsid w:val="00734675"/>
    <w:rsid w:val="00734945"/>
    <w:rsid w:val="00735078"/>
    <w:rsid w:val="007355CE"/>
    <w:rsid w:val="007360E3"/>
    <w:rsid w:val="0073668A"/>
    <w:rsid w:val="007368AD"/>
    <w:rsid w:val="00737205"/>
    <w:rsid w:val="00737296"/>
    <w:rsid w:val="00737556"/>
    <w:rsid w:val="00737AC7"/>
    <w:rsid w:val="0074030B"/>
    <w:rsid w:val="0074092C"/>
    <w:rsid w:val="00741424"/>
    <w:rsid w:val="007425FA"/>
    <w:rsid w:val="007434E9"/>
    <w:rsid w:val="0074382F"/>
    <w:rsid w:val="00743B5B"/>
    <w:rsid w:val="00745618"/>
    <w:rsid w:val="0074562B"/>
    <w:rsid w:val="007459BC"/>
    <w:rsid w:val="00746797"/>
    <w:rsid w:val="007477C0"/>
    <w:rsid w:val="00747EEE"/>
    <w:rsid w:val="00750B2B"/>
    <w:rsid w:val="00750CCA"/>
    <w:rsid w:val="007516A0"/>
    <w:rsid w:val="007516DB"/>
    <w:rsid w:val="00751D2A"/>
    <w:rsid w:val="00751D6D"/>
    <w:rsid w:val="0075210C"/>
    <w:rsid w:val="00752EFA"/>
    <w:rsid w:val="00753760"/>
    <w:rsid w:val="0075415B"/>
    <w:rsid w:val="0075417F"/>
    <w:rsid w:val="007545A3"/>
    <w:rsid w:val="007548B7"/>
    <w:rsid w:val="00754945"/>
    <w:rsid w:val="00754E03"/>
    <w:rsid w:val="00755095"/>
    <w:rsid w:val="0075524D"/>
    <w:rsid w:val="00755A32"/>
    <w:rsid w:val="00755B75"/>
    <w:rsid w:val="00755DD6"/>
    <w:rsid w:val="00756A24"/>
    <w:rsid w:val="00757F81"/>
    <w:rsid w:val="007607E1"/>
    <w:rsid w:val="00760F3E"/>
    <w:rsid w:val="007621C8"/>
    <w:rsid w:val="00763446"/>
    <w:rsid w:val="0076350A"/>
    <w:rsid w:val="00763DCE"/>
    <w:rsid w:val="0076533C"/>
    <w:rsid w:val="00766871"/>
    <w:rsid w:val="00766B0C"/>
    <w:rsid w:val="0076718C"/>
    <w:rsid w:val="007679EA"/>
    <w:rsid w:val="0077171B"/>
    <w:rsid w:val="00771E54"/>
    <w:rsid w:val="00772064"/>
    <w:rsid w:val="00772284"/>
    <w:rsid w:val="0077232D"/>
    <w:rsid w:val="0077256D"/>
    <w:rsid w:val="00772EFF"/>
    <w:rsid w:val="00773D47"/>
    <w:rsid w:val="007742DF"/>
    <w:rsid w:val="0077445B"/>
    <w:rsid w:val="007749FC"/>
    <w:rsid w:val="00775C8C"/>
    <w:rsid w:val="0077632E"/>
    <w:rsid w:val="007768B8"/>
    <w:rsid w:val="00776B85"/>
    <w:rsid w:val="0077754B"/>
    <w:rsid w:val="00780CA6"/>
    <w:rsid w:val="00780E29"/>
    <w:rsid w:val="00781517"/>
    <w:rsid w:val="007820EF"/>
    <w:rsid w:val="00783510"/>
    <w:rsid w:val="007836C7"/>
    <w:rsid w:val="00783B16"/>
    <w:rsid w:val="0078406B"/>
    <w:rsid w:val="0078413F"/>
    <w:rsid w:val="00784984"/>
    <w:rsid w:val="00785055"/>
    <w:rsid w:val="00785266"/>
    <w:rsid w:val="007855F3"/>
    <w:rsid w:val="007856EA"/>
    <w:rsid w:val="007858B1"/>
    <w:rsid w:val="00785A40"/>
    <w:rsid w:val="00785F65"/>
    <w:rsid w:val="00786450"/>
    <w:rsid w:val="0078730A"/>
    <w:rsid w:val="00790760"/>
    <w:rsid w:val="00790859"/>
    <w:rsid w:val="00790EA1"/>
    <w:rsid w:val="00791066"/>
    <w:rsid w:val="00792158"/>
    <w:rsid w:val="00792600"/>
    <w:rsid w:val="007928A3"/>
    <w:rsid w:val="0079466A"/>
    <w:rsid w:val="00795BBE"/>
    <w:rsid w:val="00796774"/>
    <w:rsid w:val="00796A07"/>
    <w:rsid w:val="00797847"/>
    <w:rsid w:val="007A05D3"/>
    <w:rsid w:val="007A0632"/>
    <w:rsid w:val="007A0E1D"/>
    <w:rsid w:val="007A154F"/>
    <w:rsid w:val="007A17A8"/>
    <w:rsid w:val="007A1BFE"/>
    <w:rsid w:val="007A2C7D"/>
    <w:rsid w:val="007A414C"/>
    <w:rsid w:val="007A4B9A"/>
    <w:rsid w:val="007A5B59"/>
    <w:rsid w:val="007A5C5C"/>
    <w:rsid w:val="007A5FF8"/>
    <w:rsid w:val="007A641B"/>
    <w:rsid w:val="007A677A"/>
    <w:rsid w:val="007A69A3"/>
    <w:rsid w:val="007A7287"/>
    <w:rsid w:val="007B10B4"/>
    <w:rsid w:val="007B131B"/>
    <w:rsid w:val="007B1744"/>
    <w:rsid w:val="007B276D"/>
    <w:rsid w:val="007B35C9"/>
    <w:rsid w:val="007B515A"/>
    <w:rsid w:val="007B5266"/>
    <w:rsid w:val="007B5ADA"/>
    <w:rsid w:val="007B5CAF"/>
    <w:rsid w:val="007C1250"/>
    <w:rsid w:val="007C2215"/>
    <w:rsid w:val="007C3128"/>
    <w:rsid w:val="007C32E8"/>
    <w:rsid w:val="007C3986"/>
    <w:rsid w:val="007C3B11"/>
    <w:rsid w:val="007C429E"/>
    <w:rsid w:val="007C5007"/>
    <w:rsid w:val="007C5E9A"/>
    <w:rsid w:val="007C6394"/>
    <w:rsid w:val="007C641B"/>
    <w:rsid w:val="007C698F"/>
    <w:rsid w:val="007C7065"/>
    <w:rsid w:val="007C729F"/>
    <w:rsid w:val="007C7D1B"/>
    <w:rsid w:val="007D0903"/>
    <w:rsid w:val="007D0B96"/>
    <w:rsid w:val="007D135D"/>
    <w:rsid w:val="007D1880"/>
    <w:rsid w:val="007D1983"/>
    <w:rsid w:val="007D2347"/>
    <w:rsid w:val="007D27A7"/>
    <w:rsid w:val="007D3558"/>
    <w:rsid w:val="007D3AB3"/>
    <w:rsid w:val="007D3B9A"/>
    <w:rsid w:val="007D3CD4"/>
    <w:rsid w:val="007D461D"/>
    <w:rsid w:val="007D470F"/>
    <w:rsid w:val="007D4C2A"/>
    <w:rsid w:val="007D4E90"/>
    <w:rsid w:val="007D59BE"/>
    <w:rsid w:val="007D62EF"/>
    <w:rsid w:val="007D660D"/>
    <w:rsid w:val="007D7A85"/>
    <w:rsid w:val="007E14A8"/>
    <w:rsid w:val="007E1810"/>
    <w:rsid w:val="007E1A6C"/>
    <w:rsid w:val="007E1BCF"/>
    <w:rsid w:val="007E1C61"/>
    <w:rsid w:val="007E2289"/>
    <w:rsid w:val="007E29B5"/>
    <w:rsid w:val="007E3C46"/>
    <w:rsid w:val="007E5C2C"/>
    <w:rsid w:val="007E677A"/>
    <w:rsid w:val="007F0C9C"/>
    <w:rsid w:val="007F10E3"/>
    <w:rsid w:val="007F137C"/>
    <w:rsid w:val="007F17B2"/>
    <w:rsid w:val="007F18B8"/>
    <w:rsid w:val="007F214A"/>
    <w:rsid w:val="007F2C0E"/>
    <w:rsid w:val="007F336B"/>
    <w:rsid w:val="007F3380"/>
    <w:rsid w:val="007F345C"/>
    <w:rsid w:val="007F395C"/>
    <w:rsid w:val="007F3E80"/>
    <w:rsid w:val="007F3F3C"/>
    <w:rsid w:val="007F40EE"/>
    <w:rsid w:val="007F43CA"/>
    <w:rsid w:val="007F5084"/>
    <w:rsid w:val="007F63FB"/>
    <w:rsid w:val="007F6B8F"/>
    <w:rsid w:val="007F6C20"/>
    <w:rsid w:val="007F6D14"/>
    <w:rsid w:val="007F6D8E"/>
    <w:rsid w:val="007F6EAA"/>
    <w:rsid w:val="007F7610"/>
    <w:rsid w:val="007F79BA"/>
    <w:rsid w:val="00800576"/>
    <w:rsid w:val="00800AE9"/>
    <w:rsid w:val="00801CE8"/>
    <w:rsid w:val="00802398"/>
    <w:rsid w:val="008024FD"/>
    <w:rsid w:val="008027A3"/>
    <w:rsid w:val="008031BB"/>
    <w:rsid w:val="0080374B"/>
    <w:rsid w:val="00803C7F"/>
    <w:rsid w:val="00804751"/>
    <w:rsid w:val="0080484B"/>
    <w:rsid w:val="00804AEB"/>
    <w:rsid w:val="00804BFC"/>
    <w:rsid w:val="008059F7"/>
    <w:rsid w:val="00806046"/>
    <w:rsid w:val="008062F6"/>
    <w:rsid w:val="00806330"/>
    <w:rsid w:val="00806C1B"/>
    <w:rsid w:val="00806E55"/>
    <w:rsid w:val="00807500"/>
    <w:rsid w:val="008076A7"/>
    <w:rsid w:val="008079F0"/>
    <w:rsid w:val="00807C76"/>
    <w:rsid w:val="008103BA"/>
    <w:rsid w:val="0081108C"/>
    <w:rsid w:val="00811170"/>
    <w:rsid w:val="0081153F"/>
    <w:rsid w:val="00811BE8"/>
    <w:rsid w:val="00813410"/>
    <w:rsid w:val="00813AE2"/>
    <w:rsid w:val="0081410A"/>
    <w:rsid w:val="008141C5"/>
    <w:rsid w:val="00814B0E"/>
    <w:rsid w:val="0081522E"/>
    <w:rsid w:val="00816A7A"/>
    <w:rsid w:val="00816BB5"/>
    <w:rsid w:val="008170B2"/>
    <w:rsid w:val="008170D7"/>
    <w:rsid w:val="008175FC"/>
    <w:rsid w:val="00817A44"/>
    <w:rsid w:val="0082125D"/>
    <w:rsid w:val="00821C20"/>
    <w:rsid w:val="00821FF8"/>
    <w:rsid w:val="00823388"/>
    <w:rsid w:val="008236C8"/>
    <w:rsid w:val="00823D95"/>
    <w:rsid w:val="00824C49"/>
    <w:rsid w:val="00824CC8"/>
    <w:rsid w:val="00825020"/>
    <w:rsid w:val="00826031"/>
    <w:rsid w:val="0082629A"/>
    <w:rsid w:val="008262CE"/>
    <w:rsid w:val="008263A2"/>
    <w:rsid w:val="00826414"/>
    <w:rsid w:val="008265C1"/>
    <w:rsid w:val="008273CA"/>
    <w:rsid w:val="008301FD"/>
    <w:rsid w:val="00831445"/>
    <w:rsid w:val="008332E1"/>
    <w:rsid w:val="008337FF"/>
    <w:rsid w:val="0083401B"/>
    <w:rsid w:val="008350D0"/>
    <w:rsid w:val="00835343"/>
    <w:rsid w:val="008354FD"/>
    <w:rsid w:val="00836AD2"/>
    <w:rsid w:val="00836D17"/>
    <w:rsid w:val="00837028"/>
    <w:rsid w:val="00837263"/>
    <w:rsid w:val="00837E7A"/>
    <w:rsid w:val="00840449"/>
    <w:rsid w:val="00840A55"/>
    <w:rsid w:val="00840CEB"/>
    <w:rsid w:val="00840D83"/>
    <w:rsid w:val="00840E18"/>
    <w:rsid w:val="008412AE"/>
    <w:rsid w:val="008412E7"/>
    <w:rsid w:val="00841E25"/>
    <w:rsid w:val="00841FBD"/>
    <w:rsid w:val="00841FEA"/>
    <w:rsid w:val="0084365A"/>
    <w:rsid w:val="0084384B"/>
    <w:rsid w:val="00843F11"/>
    <w:rsid w:val="00844D8E"/>
    <w:rsid w:val="008454C6"/>
    <w:rsid w:val="00846269"/>
    <w:rsid w:val="008464CD"/>
    <w:rsid w:val="008466C8"/>
    <w:rsid w:val="0084684E"/>
    <w:rsid w:val="0084699D"/>
    <w:rsid w:val="00846B1A"/>
    <w:rsid w:val="0084798A"/>
    <w:rsid w:val="0085062E"/>
    <w:rsid w:val="008508F2"/>
    <w:rsid w:val="008513B0"/>
    <w:rsid w:val="008515EE"/>
    <w:rsid w:val="008516E4"/>
    <w:rsid w:val="00852499"/>
    <w:rsid w:val="00852845"/>
    <w:rsid w:val="00852B53"/>
    <w:rsid w:val="00852BC8"/>
    <w:rsid w:val="00853F38"/>
    <w:rsid w:val="00854124"/>
    <w:rsid w:val="008550FB"/>
    <w:rsid w:val="00855488"/>
    <w:rsid w:val="00855566"/>
    <w:rsid w:val="00855917"/>
    <w:rsid w:val="00855D8C"/>
    <w:rsid w:val="0085600D"/>
    <w:rsid w:val="00856B1C"/>
    <w:rsid w:val="00856DCC"/>
    <w:rsid w:val="00856F7D"/>
    <w:rsid w:val="008575B9"/>
    <w:rsid w:val="008575E3"/>
    <w:rsid w:val="00857CDD"/>
    <w:rsid w:val="00860299"/>
    <w:rsid w:val="00860760"/>
    <w:rsid w:val="008609B3"/>
    <w:rsid w:val="008615F6"/>
    <w:rsid w:val="008619AC"/>
    <w:rsid w:val="00861BD8"/>
    <w:rsid w:val="00861C4E"/>
    <w:rsid w:val="00861D3A"/>
    <w:rsid w:val="00862667"/>
    <w:rsid w:val="00863543"/>
    <w:rsid w:val="008641D8"/>
    <w:rsid w:val="0086490E"/>
    <w:rsid w:val="00865477"/>
    <w:rsid w:val="008659B7"/>
    <w:rsid w:val="00866079"/>
    <w:rsid w:val="008661DF"/>
    <w:rsid w:val="00866327"/>
    <w:rsid w:val="00866D21"/>
    <w:rsid w:val="00866DF9"/>
    <w:rsid w:val="008676A1"/>
    <w:rsid w:val="00867796"/>
    <w:rsid w:val="00867E8C"/>
    <w:rsid w:val="008701C4"/>
    <w:rsid w:val="00870A20"/>
    <w:rsid w:val="00870D0E"/>
    <w:rsid w:val="008710FA"/>
    <w:rsid w:val="0087190C"/>
    <w:rsid w:val="008720E6"/>
    <w:rsid w:val="0087280B"/>
    <w:rsid w:val="00872D85"/>
    <w:rsid w:val="00872DCF"/>
    <w:rsid w:val="00873A9B"/>
    <w:rsid w:val="008740EE"/>
    <w:rsid w:val="008744DC"/>
    <w:rsid w:val="008745FB"/>
    <w:rsid w:val="00875620"/>
    <w:rsid w:val="00875720"/>
    <w:rsid w:val="008763AE"/>
    <w:rsid w:val="00876A2F"/>
    <w:rsid w:val="008773A6"/>
    <w:rsid w:val="0088147D"/>
    <w:rsid w:val="00881828"/>
    <w:rsid w:val="008818D7"/>
    <w:rsid w:val="00881DCA"/>
    <w:rsid w:val="00883446"/>
    <w:rsid w:val="00883DDA"/>
    <w:rsid w:val="00884CBD"/>
    <w:rsid w:val="00885EA8"/>
    <w:rsid w:val="00886648"/>
    <w:rsid w:val="00886791"/>
    <w:rsid w:val="00886F13"/>
    <w:rsid w:val="0088713B"/>
    <w:rsid w:val="008873E4"/>
    <w:rsid w:val="00890188"/>
    <w:rsid w:val="008903DF"/>
    <w:rsid w:val="00891755"/>
    <w:rsid w:val="00891FF9"/>
    <w:rsid w:val="00892298"/>
    <w:rsid w:val="008927D6"/>
    <w:rsid w:val="008928B2"/>
    <w:rsid w:val="00892DA2"/>
    <w:rsid w:val="00893367"/>
    <w:rsid w:val="00893612"/>
    <w:rsid w:val="0089379F"/>
    <w:rsid w:val="008939F6"/>
    <w:rsid w:val="00893D07"/>
    <w:rsid w:val="00893EDD"/>
    <w:rsid w:val="00895F40"/>
    <w:rsid w:val="008978DC"/>
    <w:rsid w:val="00897F23"/>
    <w:rsid w:val="008A041A"/>
    <w:rsid w:val="008A0661"/>
    <w:rsid w:val="008A0929"/>
    <w:rsid w:val="008A1927"/>
    <w:rsid w:val="008A21C4"/>
    <w:rsid w:val="008A2435"/>
    <w:rsid w:val="008A2D4C"/>
    <w:rsid w:val="008A306D"/>
    <w:rsid w:val="008A43FC"/>
    <w:rsid w:val="008A442E"/>
    <w:rsid w:val="008A4C5C"/>
    <w:rsid w:val="008A4CED"/>
    <w:rsid w:val="008A5300"/>
    <w:rsid w:val="008A552B"/>
    <w:rsid w:val="008A5705"/>
    <w:rsid w:val="008A597A"/>
    <w:rsid w:val="008A65FD"/>
    <w:rsid w:val="008A66E4"/>
    <w:rsid w:val="008A6B05"/>
    <w:rsid w:val="008A7139"/>
    <w:rsid w:val="008A746B"/>
    <w:rsid w:val="008B0078"/>
    <w:rsid w:val="008B02A0"/>
    <w:rsid w:val="008B06FC"/>
    <w:rsid w:val="008B1D08"/>
    <w:rsid w:val="008B24D4"/>
    <w:rsid w:val="008B25DE"/>
    <w:rsid w:val="008B2746"/>
    <w:rsid w:val="008B2906"/>
    <w:rsid w:val="008B29AD"/>
    <w:rsid w:val="008B31CA"/>
    <w:rsid w:val="008B382B"/>
    <w:rsid w:val="008B3C64"/>
    <w:rsid w:val="008B40CD"/>
    <w:rsid w:val="008B53C4"/>
    <w:rsid w:val="008B76A1"/>
    <w:rsid w:val="008B7956"/>
    <w:rsid w:val="008B7FC5"/>
    <w:rsid w:val="008C0014"/>
    <w:rsid w:val="008C082D"/>
    <w:rsid w:val="008C0C5F"/>
    <w:rsid w:val="008C1B03"/>
    <w:rsid w:val="008C2B93"/>
    <w:rsid w:val="008C32F3"/>
    <w:rsid w:val="008C33BD"/>
    <w:rsid w:val="008C35C5"/>
    <w:rsid w:val="008C3722"/>
    <w:rsid w:val="008C3B67"/>
    <w:rsid w:val="008C3E91"/>
    <w:rsid w:val="008C3F48"/>
    <w:rsid w:val="008C4EDA"/>
    <w:rsid w:val="008C558F"/>
    <w:rsid w:val="008C5FDA"/>
    <w:rsid w:val="008C6418"/>
    <w:rsid w:val="008C6421"/>
    <w:rsid w:val="008C6913"/>
    <w:rsid w:val="008C697E"/>
    <w:rsid w:val="008C6BE6"/>
    <w:rsid w:val="008C71F8"/>
    <w:rsid w:val="008C726C"/>
    <w:rsid w:val="008C7585"/>
    <w:rsid w:val="008C7597"/>
    <w:rsid w:val="008C7FC9"/>
    <w:rsid w:val="008D1092"/>
    <w:rsid w:val="008D1610"/>
    <w:rsid w:val="008D413C"/>
    <w:rsid w:val="008D49B4"/>
    <w:rsid w:val="008D49E5"/>
    <w:rsid w:val="008D50B5"/>
    <w:rsid w:val="008D51F4"/>
    <w:rsid w:val="008D5DD9"/>
    <w:rsid w:val="008D63B1"/>
    <w:rsid w:val="008D66CB"/>
    <w:rsid w:val="008D6C1E"/>
    <w:rsid w:val="008D705D"/>
    <w:rsid w:val="008D7498"/>
    <w:rsid w:val="008D76D9"/>
    <w:rsid w:val="008D76F8"/>
    <w:rsid w:val="008D7CC1"/>
    <w:rsid w:val="008E09BC"/>
    <w:rsid w:val="008E1594"/>
    <w:rsid w:val="008E275D"/>
    <w:rsid w:val="008E3FA2"/>
    <w:rsid w:val="008E4AE5"/>
    <w:rsid w:val="008E52ED"/>
    <w:rsid w:val="008E58C0"/>
    <w:rsid w:val="008E74D4"/>
    <w:rsid w:val="008E7687"/>
    <w:rsid w:val="008F06B6"/>
    <w:rsid w:val="008F13CC"/>
    <w:rsid w:val="008F167D"/>
    <w:rsid w:val="008F2B9B"/>
    <w:rsid w:val="008F2BDE"/>
    <w:rsid w:val="008F3259"/>
    <w:rsid w:val="008F344E"/>
    <w:rsid w:val="008F35D3"/>
    <w:rsid w:val="008F444D"/>
    <w:rsid w:val="008F563A"/>
    <w:rsid w:val="008F616B"/>
    <w:rsid w:val="008F65A5"/>
    <w:rsid w:val="008F67AB"/>
    <w:rsid w:val="008F6F4F"/>
    <w:rsid w:val="008F7898"/>
    <w:rsid w:val="00900056"/>
    <w:rsid w:val="009007AD"/>
    <w:rsid w:val="00900C13"/>
    <w:rsid w:val="009010F7"/>
    <w:rsid w:val="00901268"/>
    <w:rsid w:val="00901423"/>
    <w:rsid w:val="00901431"/>
    <w:rsid w:val="00901AD6"/>
    <w:rsid w:val="0090264C"/>
    <w:rsid w:val="00904773"/>
    <w:rsid w:val="00904CF0"/>
    <w:rsid w:val="0090573C"/>
    <w:rsid w:val="00905D44"/>
    <w:rsid w:val="0090720F"/>
    <w:rsid w:val="009072DA"/>
    <w:rsid w:val="00907454"/>
    <w:rsid w:val="009074E8"/>
    <w:rsid w:val="009103BF"/>
    <w:rsid w:val="009106E8"/>
    <w:rsid w:val="00910873"/>
    <w:rsid w:val="00910C47"/>
    <w:rsid w:val="009116EF"/>
    <w:rsid w:val="0091180C"/>
    <w:rsid w:val="00911C85"/>
    <w:rsid w:val="00912153"/>
    <w:rsid w:val="00912276"/>
    <w:rsid w:val="0091417F"/>
    <w:rsid w:val="0091438C"/>
    <w:rsid w:val="00915080"/>
    <w:rsid w:val="00915FF3"/>
    <w:rsid w:val="00916E44"/>
    <w:rsid w:val="00917054"/>
    <w:rsid w:val="0091727F"/>
    <w:rsid w:val="00917868"/>
    <w:rsid w:val="00917D0B"/>
    <w:rsid w:val="00917EED"/>
    <w:rsid w:val="009203A9"/>
    <w:rsid w:val="00920418"/>
    <w:rsid w:val="009223B4"/>
    <w:rsid w:val="00922CBC"/>
    <w:rsid w:val="0092342C"/>
    <w:rsid w:val="009236A3"/>
    <w:rsid w:val="00923B08"/>
    <w:rsid w:val="00923FD4"/>
    <w:rsid w:val="0092463B"/>
    <w:rsid w:val="00924A5F"/>
    <w:rsid w:val="00924B59"/>
    <w:rsid w:val="00924C6C"/>
    <w:rsid w:val="00924E24"/>
    <w:rsid w:val="00925C1D"/>
    <w:rsid w:val="00925CEA"/>
    <w:rsid w:val="00926450"/>
    <w:rsid w:val="00926F96"/>
    <w:rsid w:val="0092756B"/>
    <w:rsid w:val="00927698"/>
    <w:rsid w:val="00927F77"/>
    <w:rsid w:val="009302BC"/>
    <w:rsid w:val="00930502"/>
    <w:rsid w:val="00931A46"/>
    <w:rsid w:val="00932621"/>
    <w:rsid w:val="00932B7C"/>
    <w:rsid w:val="00932E96"/>
    <w:rsid w:val="00933960"/>
    <w:rsid w:val="00933E21"/>
    <w:rsid w:val="00934AC7"/>
    <w:rsid w:val="009357C1"/>
    <w:rsid w:val="00935AC9"/>
    <w:rsid w:val="00936ACD"/>
    <w:rsid w:val="00937CE8"/>
    <w:rsid w:val="0094013C"/>
    <w:rsid w:val="00940350"/>
    <w:rsid w:val="009412C9"/>
    <w:rsid w:val="00941700"/>
    <w:rsid w:val="009418E6"/>
    <w:rsid w:val="00941A02"/>
    <w:rsid w:val="00942143"/>
    <w:rsid w:val="0094235F"/>
    <w:rsid w:val="0094279F"/>
    <w:rsid w:val="009429A5"/>
    <w:rsid w:val="00942E5B"/>
    <w:rsid w:val="009444B6"/>
    <w:rsid w:val="009454FD"/>
    <w:rsid w:val="009468D2"/>
    <w:rsid w:val="00946AD5"/>
    <w:rsid w:val="00946B98"/>
    <w:rsid w:val="00946F41"/>
    <w:rsid w:val="0095015D"/>
    <w:rsid w:val="0095036E"/>
    <w:rsid w:val="0095052A"/>
    <w:rsid w:val="00950EB5"/>
    <w:rsid w:val="00951C06"/>
    <w:rsid w:val="009529B2"/>
    <w:rsid w:val="00953AF4"/>
    <w:rsid w:val="00953C53"/>
    <w:rsid w:val="00954465"/>
    <w:rsid w:val="00954973"/>
    <w:rsid w:val="00954ABD"/>
    <w:rsid w:val="00954F42"/>
    <w:rsid w:val="00955E20"/>
    <w:rsid w:val="0095605A"/>
    <w:rsid w:val="00956D0B"/>
    <w:rsid w:val="00956D5A"/>
    <w:rsid w:val="009604E8"/>
    <w:rsid w:val="00960E5E"/>
    <w:rsid w:val="00960F5D"/>
    <w:rsid w:val="00961CE6"/>
    <w:rsid w:val="00962182"/>
    <w:rsid w:val="009621B2"/>
    <w:rsid w:val="00964C26"/>
    <w:rsid w:val="00964F17"/>
    <w:rsid w:val="00964FC4"/>
    <w:rsid w:val="00965151"/>
    <w:rsid w:val="009658F0"/>
    <w:rsid w:val="00965B22"/>
    <w:rsid w:val="00966C81"/>
    <w:rsid w:val="009671BD"/>
    <w:rsid w:val="00967757"/>
    <w:rsid w:val="00967E7F"/>
    <w:rsid w:val="0097125E"/>
    <w:rsid w:val="00971655"/>
    <w:rsid w:val="00971950"/>
    <w:rsid w:val="00971C63"/>
    <w:rsid w:val="009730A6"/>
    <w:rsid w:val="00973271"/>
    <w:rsid w:val="00973660"/>
    <w:rsid w:val="00973ECF"/>
    <w:rsid w:val="00974068"/>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03D1"/>
    <w:rsid w:val="0098153C"/>
    <w:rsid w:val="0098181A"/>
    <w:rsid w:val="00982231"/>
    <w:rsid w:val="00982AF5"/>
    <w:rsid w:val="00983411"/>
    <w:rsid w:val="00984293"/>
    <w:rsid w:val="00984C4B"/>
    <w:rsid w:val="00985A69"/>
    <w:rsid w:val="00985CBA"/>
    <w:rsid w:val="00986D27"/>
    <w:rsid w:val="009879E2"/>
    <w:rsid w:val="009909E7"/>
    <w:rsid w:val="00990CDE"/>
    <w:rsid w:val="00990FD9"/>
    <w:rsid w:val="0099102F"/>
    <w:rsid w:val="00991435"/>
    <w:rsid w:val="00991876"/>
    <w:rsid w:val="00991A0A"/>
    <w:rsid w:val="00991EDD"/>
    <w:rsid w:val="00992B9F"/>
    <w:rsid w:val="009934D8"/>
    <w:rsid w:val="009934E3"/>
    <w:rsid w:val="00994B30"/>
    <w:rsid w:val="00994D62"/>
    <w:rsid w:val="00994F63"/>
    <w:rsid w:val="009963E7"/>
    <w:rsid w:val="00996D3A"/>
    <w:rsid w:val="009A25DE"/>
    <w:rsid w:val="009A2779"/>
    <w:rsid w:val="009A33FA"/>
    <w:rsid w:val="009A341D"/>
    <w:rsid w:val="009A38F8"/>
    <w:rsid w:val="009A4AE9"/>
    <w:rsid w:val="009A4CD0"/>
    <w:rsid w:val="009A5AA2"/>
    <w:rsid w:val="009A5E3A"/>
    <w:rsid w:val="009A6C18"/>
    <w:rsid w:val="009B09C5"/>
    <w:rsid w:val="009B0D1C"/>
    <w:rsid w:val="009B15AA"/>
    <w:rsid w:val="009B1CA4"/>
    <w:rsid w:val="009B204B"/>
    <w:rsid w:val="009B2A3A"/>
    <w:rsid w:val="009B2B01"/>
    <w:rsid w:val="009B2BD3"/>
    <w:rsid w:val="009B30EF"/>
    <w:rsid w:val="009B343D"/>
    <w:rsid w:val="009B3C96"/>
    <w:rsid w:val="009B47A7"/>
    <w:rsid w:val="009B5235"/>
    <w:rsid w:val="009B5878"/>
    <w:rsid w:val="009B77B5"/>
    <w:rsid w:val="009C0A54"/>
    <w:rsid w:val="009C1593"/>
    <w:rsid w:val="009C16F5"/>
    <w:rsid w:val="009C1B31"/>
    <w:rsid w:val="009C1DEC"/>
    <w:rsid w:val="009C1E47"/>
    <w:rsid w:val="009C2242"/>
    <w:rsid w:val="009C398C"/>
    <w:rsid w:val="009C3F50"/>
    <w:rsid w:val="009C40E1"/>
    <w:rsid w:val="009C4277"/>
    <w:rsid w:val="009C43D5"/>
    <w:rsid w:val="009C46E8"/>
    <w:rsid w:val="009C5993"/>
    <w:rsid w:val="009C64A9"/>
    <w:rsid w:val="009C71D5"/>
    <w:rsid w:val="009C7632"/>
    <w:rsid w:val="009C797F"/>
    <w:rsid w:val="009C7D77"/>
    <w:rsid w:val="009C7E36"/>
    <w:rsid w:val="009D059B"/>
    <w:rsid w:val="009D0E04"/>
    <w:rsid w:val="009D0E5F"/>
    <w:rsid w:val="009D153B"/>
    <w:rsid w:val="009D1847"/>
    <w:rsid w:val="009D1B03"/>
    <w:rsid w:val="009D1D7A"/>
    <w:rsid w:val="009D3635"/>
    <w:rsid w:val="009D4370"/>
    <w:rsid w:val="009D449A"/>
    <w:rsid w:val="009D454B"/>
    <w:rsid w:val="009D4588"/>
    <w:rsid w:val="009D6A7F"/>
    <w:rsid w:val="009D71D5"/>
    <w:rsid w:val="009D764E"/>
    <w:rsid w:val="009E1C0C"/>
    <w:rsid w:val="009E2E65"/>
    <w:rsid w:val="009E3977"/>
    <w:rsid w:val="009E3EBA"/>
    <w:rsid w:val="009E420B"/>
    <w:rsid w:val="009E4BA9"/>
    <w:rsid w:val="009E665B"/>
    <w:rsid w:val="009E6C80"/>
    <w:rsid w:val="009E72A9"/>
    <w:rsid w:val="009E7DAD"/>
    <w:rsid w:val="009F092B"/>
    <w:rsid w:val="009F0A4D"/>
    <w:rsid w:val="009F0AE8"/>
    <w:rsid w:val="009F20AF"/>
    <w:rsid w:val="009F26E8"/>
    <w:rsid w:val="009F30FC"/>
    <w:rsid w:val="009F32BC"/>
    <w:rsid w:val="009F3816"/>
    <w:rsid w:val="009F49D0"/>
    <w:rsid w:val="009F49F8"/>
    <w:rsid w:val="009F4B43"/>
    <w:rsid w:val="009F4F5E"/>
    <w:rsid w:val="009F54AD"/>
    <w:rsid w:val="009F72FD"/>
    <w:rsid w:val="009F7868"/>
    <w:rsid w:val="009F7CE4"/>
    <w:rsid w:val="00A001F3"/>
    <w:rsid w:val="00A01873"/>
    <w:rsid w:val="00A01E96"/>
    <w:rsid w:val="00A0291E"/>
    <w:rsid w:val="00A043B7"/>
    <w:rsid w:val="00A054DD"/>
    <w:rsid w:val="00A05B91"/>
    <w:rsid w:val="00A10300"/>
    <w:rsid w:val="00A10768"/>
    <w:rsid w:val="00A10961"/>
    <w:rsid w:val="00A10A10"/>
    <w:rsid w:val="00A10EF8"/>
    <w:rsid w:val="00A11162"/>
    <w:rsid w:val="00A118BC"/>
    <w:rsid w:val="00A11AA2"/>
    <w:rsid w:val="00A11E21"/>
    <w:rsid w:val="00A130F8"/>
    <w:rsid w:val="00A13674"/>
    <w:rsid w:val="00A143A5"/>
    <w:rsid w:val="00A14530"/>
    <w:rsid w:val="00A159A5"/>
    <w:rsid w:val="00A168C3"/>
    <w:rsid w:val="00A16BEB"/>
    <w:rsid w:val="00A20001"/>
    <w:rsid w:val="00A2075B"/>
    <w:rsid w:val="00A20978"/>
    <w:rsid w:val="00A20B16"/>
    <w:rsid w:val="00A215F0"/>
    <w:rsid w:val="00A2175D"/>
    <w:rsid w:val="00A2283B"/>
    <w:rsid w:val="00A228CE"/>
    <w:rsid w:val="00A22AEC"/>
    <w:rsid w:val="00A23C07"/>
    <w:rsid w:val="00A2495C"/>
    <w:rsid w:val="00A2510E"/>
    <w:rsid w:val="00A25A3C"/>
    <w:rsid w:val="00A25E64"/>
    <w:rsid w:val="00A26920"/>
    <w:rsid w:val="00A26E11"/>
    <w:rsid w:val="00A277E7"/>
    <w:rsid w:val="00A27C77"/>
    <w:rsid w:val="00A27E0F"/>
    <w:rsid w:val="00A300FF"/>
    <w:rsid w:val="00A301B7"/>
    <w:rsid w:val="00A306E7"/>
    <w:rsid w:val="00A30C3D"/>
    <w:rsid w:val="00A31075"/>
    <w:rsid w:val="00A310C1"/>
    <w:rsid w:val="00A310CC"/>
    <w:rsid w:val="00A31D84"/>
    <w:rsid w:val="00A32039"/>
    <w:rsid w:val="00A325DB"/>
    <w:rsid w:val="00A326F9"/>
    <w:rsid w:val="00A32AE0"/>
    <w:rsid w:val="00A332C1"/>
    <w:rsid w:val="00A336A1"/>
    <w:rsid w:val="00A3372A"/>
    <w:rsid w:val="00A3390F"/>
    <w:rsid w:val="00A34DA2"/>
    <w:rsid w:val="00A369C5"/>
    <w:rsid w:val="00A36AD1"/>
    <w:rsid w:val="00A36C35"/>
    <w:rsid w:val="00A376B8"/>
    <w:rsid w:val="00A37700"/>
    <w:rsid w:val="00A378B6"/>
    <w:rsid w:val="00A37A58"/>
    <w:rsid w:val="00A37C87"/>
    <w:rsid w:val="00A37D64"/>
    <w:rsid w:val="00A410E3"/>
    <w:rsid w:val="00A430DD"/>
    <w:rsid w:val="00A43227"/>
    <w:rsid w:val="00A434E8"/>
    <w:rsid w:val="00A4364D"/>
    <w:rsid w:val="00A4391A"/>
    <w:rsid w:val="00A44918"/>
    <w:rsid w:val="00A44AE0"/>
    <w:rsid w:val="00A459C2"/>
    <w:rsid w:val="00A45CE0"/>
    <w:rsid w:val="00A46503"/>
    <w:rsid w:val="00A46CCD"/>
    <w:rsid w:val="00A50A55"/>
    <w:rsid w:val="00A50D2D"/>
    <w:rsid w:val="00A5143D"/>
    <w:rsid w:val="00A51487"/>
    <w:rsid w:val="00A52ED0"/>
    <w:rsid w:val="00A53043"/>
    <w:rsid w:val="00A548AD"/>
    <w:rsid w:val="00A54A27"/>
    <w:rsid w:val="00A54F60"/>
    <w:rsid w:val="00A55504"/>
    <w:rsid w:val="00A55A40"/>
    <w:rsid w:val="00A55BB8"/>
    <w:rsid w:val="00A55C6B"/>
    <w:rsid w:val="00A56ECD"/>
    <w:rsid w:val="00A57E35"/>
    <w:rsid w:val="00A57F2F"/>
    <w:rsid w:val="00A60920"/>
    <w:rsid w:val="00A610A4"/>
    <w:rsid w:val="00A6138C"/>
    <w:rsid w:val="00A61ADE"/>
    <w:rsid w:val="00A62A14"/>
    <w:rsid w:val="00A632D2"/>
    <w:rsid w:val="00A63952"/>
    <w:rsid w:val="00A64041"/>
    <w:rsid w:val="00A641B6"/>
    <w:rsid w:val="00A6476E"/>
    <w:rsid w:val="00A64B8C"/>
    <w:rsid w:val="00A64CD9"/>
    <w:rsid w:val="00A64E73"/>
    <w:rsid w:val="00A65133"/>
    <w:rsid w:val="00A651BA"/>
    <w:rsid w:val="00A652C5"/>
    <w:rsid w:val="00A65F47"/>
    <w:rsid w:val="00A660AC"/>
    <w:rsid w:val="00A6610B"/>
    <w:rsid w:val="00A6612E"/>
    <w:rsid w:val="00A673CF"/>
    <w:rsid w:val="00A719DB"/>
    <w:rsid w:val="00A71BDF"/>
    <w:rsid w:val="00A73787"/>
    <w:rsid w:val="00A73B31"/>
    <w:rsid w:val="00A73E4C"/>
    <w:rsid w:val="00A73EB2"/>
    <w:rsid w:val="00A74560"/>
    <w:rsid w:val="00A7500C"/>
    <w:rsid w:val="00A758EE"/>
    <w:rsid w:val="00A7598A"/>
    <w:rsid w:val="00A75C1F"/>
    <w:rsid w:val="00A75EC8"/>
    <w:rsid w:val="00A768E4"/>
    <w:rsid w:val="00A768F0"/>
    <w:rsid w:val="00A76AFB"/>
    <w:rsid w:val="00A76F0E"/>
    <w:rsid w:val="00A80BBF"/>
    <w:rsid w:val="00A81056"/>
    <w:rsid w:val="00A810FC"/>
    <w:rsid w:val="00A81733"/>
    <w:rsid w:val="00A81990"/>
    <w:rsid w:val="00A81C3E"/>
    <w:rsid w:val="00A827F3"/>
    <w:rsid w:val="00A831BC"/>
    <w:rsid w:val="00A84315"/>
    <w:rsid w:val="00A857B8"/>
    <w:rsid w:val="00A85C5A"/>
    <w:rsid w:val="00A87064"/>
    <w:rsid w:val="00A875A9"/>
    <w:rsid w:val="00A87604"/>
    <w:rsid w:val="00A877EC"/>
    <w:rsid w:val="00A908AA"/>
    <w:rsid w:val="00A91499"/>
    <w:rsid w:val="00A918C8"/>
    <w:rsid w:val="00A921AB"/>
    <w:rsid w:val="00A9238F"/>
    <w:rsid w:val="00A92472"/>
    <w:rsid w:val="00A93206"/>
    <w:rsid w:val="00A93796"/>
    <w:rsid w:val="00A93ED2"/>
    <w:rsid w:val="00A94324"/>
    <w:rsid w:val="00A94904"/>
    <w:rsid w:val="00A949B4"/>
    <w:rsid w:val="00A95C57"/>
    <w:rsid w:val="00A966C8"/>
    <w:rsid w:val="00A96A08"/>
    <w:rsid w:val="00A96EDF"/>
    <w:rsid w:val="00A97A9F"/>
    <w:rsid w:val="00A97B40"/>
    <w:rsid w:val="00AA0161"/>
    <w:rsid w:val="00AA09AE"/>
    <w:rsid w:val="00AA2113"/>
    <w:rsid w:val="00AA22B6"/>
    <w:rsid w:val="00AA2B7F"/>
    <w:rsid w:val="00AA41B4"/>
    <w:rsid w:val="00AA4E4C"/>
    <w:rsid w:val="00AA638F"/>
    <w:rsid w:val="00AA6AFE"/>
    <w:rsid w:val="00AA717F"/>
    <w:rsid w:val="00AA7E93"/>
    <w:rsid w:val="00AB0A8E"/>
    <w:rsid w:val="00AB1742"/>
    <w:rsid w:val="00AB1D08"/>
    <w:rsid w:val="00AB333E"/>
    <w:rsid w:val="00AB36A1"/>
    <w:rsid w:val="00AB4345"/>
    <w:rsid w:val="00AB45B2"/>
    <w:rsid w:val="00AB4F71"/>
    <w:rsid w:val="00AB4F79"/>
    <w:rsid w:val="00AB50D9"/>
    <w:rsid w:val="00AB5BD7"/>
    <w:rsid w:val="00AB5C0D"/>
    <w:rsid w:val="00AB612F"/>
    <w:rsid w:val="00AB6B32"/>
    <w:rsid w:val="00AB7794"/>
    <w:rsid w:val="00AC0135"/>
    <w:rsid w:val="00AC02B5"/>
    <w:rsid w:val="00AC070D"/>
    <w:rsid w:val="00AC0BC2"/>
    <w:rsid w:val="00AC105B"/>
    <w:rsid w:val="00AC13EA"/>
    <w:rsid w:val="00AC1514"/>
    <w:rsid w:val="00AC1B94"/>
    <w:rsid w:val="00AC248B"/>
    <w:rsid w:val="00AC2E36"/>
    <w:rsid w:val="00AC2FF4"/>
    <w:rsid w:val="00AC36F9"/>
    <w:rsid w:val="00AC39D9"/>
    <w:rsid w:val="00AC4CFC"/>
    <w:rsid w:val="00AC5753"/>
    <w:rsid w:val="00AC5930"/>
    <w:rsid w:val="00AC5E51"/>
    <w:rsid w:val="00AC6557"/>
    <w:rsid w:val="00AC677B"/>
    <w:rsid w:val="00AC6D3E"/>
    <w:rsid w:val="00AC6F25"/>
    <w:rsid w:val="00AC76DA"/>
    <w:rsid w:val="00AD0036"/>
    <w:rsid w:val="00AD0594"/>
    <w:rsid w:val="00AD05A6"/>
    <w:rsid w:val="00AD0616"/>
    <w:rsid w:val="00AD0753"/>
    <w:rsid w:val="00AD1E73"/>
    <w:rsid w:val="00AD2202"/>
    <w:rsid w:val="00AD34FF"/>
    <w:rsid w:val="00AD4DE6"/>
    <w:rsid w:val="00AD5DDD"/>
    <w:rsid w:val="00AD634F"/>
    <w:rsid w:val="00AD63C1"/>
    <w:rsid w:val="00AD698C"/>
    <w:rsid w:val="00AD78EF"/>
    <w:rsid w:val="00AE014D"/>
    <w:rsid w:val="00AE0A48"/>
    <w:rsid w:val="00AE27A2"/>
    <w:rsid w:val="00AE2B44"/>
    <w:rsid w:val="00AE2F1F"/>
    <w:rsid w:val="00AE3356"/>
    <w:rsid w:val="00AE42A3"/>
    <w:rsid w:val="00AE43C4"/>
    <w:rsid w:val="00AE4EAC"/>
    <w:rsid w:val="00AE5294"/>
    <w:rsid w:val="00AE5609"/>
    <w:rsid w:val="00AE5633"/>
    <w:rsid w:val="00AE58B0"/>
    <w:rsid w:val="00AE636D"/>
    <w:rsid w:val="00AE678A"/>
    <w:rsid w:val="00AE6DBC"/>
    <w:rsid w:val="00AE7541"/>
    <w:rsid w:val="00AF16A9"/>
    <w:rsid w:val="00AF235D"/>
    <w:rsid w:val="00AF2AFF"/>
    <w:rsid w:val="00AF30DE"/>
    <w:rsid w:val="00AF3E95"/>
    <w:rsid w:val="00AF4AE6"/>
    <w:rsid w:val="00AF4FAD"/>
    <w:rsid w:val="00AF5F10"/>
    <w:rsid w:val="00AF688C"/>
    <w:rsid w:val="00AF6E3D"/>
    <w:rsid w:val="00AF7374"/>
    <w:rsid w:val="00AF7C67"/>
    <w:rsid w:val="00AF7F18"/>
    <w:rsid w:val="00B00145"/>
    <w:rsid w:val="00B020CC"/>
    <w:rsid w:val="00B024AA"/>
    <w:rsid w:val="00B02A6D"/>
    <w:rsid w:val="00B03324"/>
    <w:rsid w:val="00B03942"/>
    <w:rsid w:val="00B04459"/>
    <w:rsid w:val="00B059DF"/>
    <w:rsid w:val="00B05A13"/>
    <w:rsid w:val="00B06A99"/>
    <w:rsid w:val="00B06E6B"/>
    <w:rsid w:val="00B0701B"/>
    <w:rsid w:val="00B101A5"/>
    <w:rsid w:val="00B1029D"/>
    <w:rsid w:val="00B11AD7"/>
    <w:rsid w:val="00B11D10"/>
    <w:rsid w:val="00B11D75"/>
    <w:rsid w:val="00B12311"/>
    <w:rsid w:val="00B124E9"/>
    <w:rsid w:val="00B12B64"/>
    <w:rsid w:val="00B13240"/>
    <w:rsid w:val="00B13933"/>
    <w:rsid w:val="00B13CC4"/>
    <w:rsid w:val="00B14A0C"/>
    <w:rsid w:val="00B152A2"/>
    <w:rsid w:val="00B15FE9"/>
    <w:rsid w:val="00B1645F"/>
    <w:rsid w:val="00B16FF4"/>
    <w:rsid w:val="00B172C0"/>
    <w:rsid w:val="00B173E3"/>
    <w:rsid w:val="00B17E10"/>
    <w:rsid w:val="00B20058"/>
    <w:rsid w:val="00B20491"/>
    <w:rsid w:val="00B205AA"/>
    <w:rsid w:val="00B21022"/>
    <w:rsid w:val="00B2122A"/>
    <w:rsid w:val="00B219D7"/>
    <w:rsid w:val="00B227E4"/>
    <w:rsid w:val="00B2304F"/>
    <w:rsid w:val="00B232CB"/>
    <w:rsid w:val="00B24247"/>
    <w:rsid w:val="00B24FF7"/>
    <w:rsid w:val="00B27130"/>
    <w:rsid w:val="00B271B7"/>
    <w:rsid w:val="00B27711"/>
    <w:rsid w:val="00B27A11"/>
    <w:rsid w:val="00B3061F"/>
    <w:rsid w:val="00B307CA"/>
    <w:rsid w:val="00B31C70"/>
    <w:rsid w:val="00B322E9"/>
    <w:rsid w:val="00B328C0"/>
    <w:rsid w:val="00B341C5"/>
    <w:rsid w:val="00B347B4"/>
    <w:rsid w:val="00B3535A"/>
    <w:rsid w:val="00B35A07"/>
    <w:rsid w:val="00B35B32"/>
    <w:rsid w:val="00B36673"/>
    <w:rsid w:val="00B37226"/>
    <w:rsid w:val="00B37F88"/>
    <w:rsid w:val="00B40456"/>
    <w:rsid w:val="00B40DDB"/>
    <w:rsid w:val="00B417B8"/>
    <w:rsid w:val="00B42217"/>
    <w:rsid w:val="00B42BCA"/>
    <w:rsid w:val="00B43B78"/>
    <w:rsid w:val="00B4437A"/>
    <w:rsid w:val="00B45769"/>
    <w:rsid w:val="00B45793"/>
    <w:rsid w:val="00B45EB0"/>
    <w:rsid w:val="00B47892"/>
    <w:rsid w:val="00B4797B"/>
    <w:rsid w:val="00B47BE8"/>
    <w:rsid w:val="00B47D58"/>
    <w:rsid w:val="00B50596"/>
    <w:rsid w:val="00B506DB"/>
    <w:rsid w:val="00B50DC5"/>
    <w:rsid w:val="00B50DFB"/>
    <w:rsid w:val="00B5122D"/>
    <w:rsid w:val="00B5170F"/>
    <w:rsid w:val="00B51883"/>
    <w:rsid w:val="00B51DCD"/>
    <w:rsid w:val="00B5228A"/>
    <w:rsid w:val="00B523B1"/>
    <w:rsid w:val="00B524AF"/>
    <w:rsid w:val="00B527A3"/>
    <w:rsid w:val="00B52902"/>
    <w:rsid w:val="00B52F1E"/>
    <w:rsid w:val="00B53444"/>
    <w:rsid w:val="00B53938"/>
    <w:rsid w:val="00B53AD1"/>
    <w:rsid w:val="00B54743"/>
    <w:rsid w:val="00B54987"/>
    <w:rsid w:val="00B552AA"/>
    <w:rsid w:val="00B56A8D"/>
    <w:rsid w:val="00B57509"/>
    <w:rsid w:val="00B57651"/>
    <w:rsid w:val="00B57C42"/>
    <w:rsid w:val="00B60CD4"/>
    <w:rsid w:val="00B61001"/>
    <w:rsid w:val="00B61FD4"/>
    <w:rsid w:val="00B622E9"/>
    <w:rsid w:val="00B62A1E"/>
    <w:rsid w:val="00B62AC5"/>
    <w:rsid w:val="00B63444"/>
    <w:rsid w:val="00B636DA"/>
    <w:rsid w:val="00B638D5"/>
    <w:rsid w:val="00B640CD"/>
    <w:rsid w:val="00B66292"/>
    <w:rsid w:val="00B662C5"/>
    <w:rsid w:val="00B66B19"/>
    <w:rsid w:val="00B66F95"/>
    <w:rsid w:val="00B67447"/>
    <w:rsid w:val="00B674DB"/>
    <w:rsid w:val="00B675F2"/>
    <w:rsid w:val="00B71534"/>
    <w:rsid w:val="00B71979"/>
    <w:rsid w:val="00B71C6D"/>
    <w:rsid w:val="00B72062"/>
    <w:rsid w:val="00B723EC"/>
    <w:rsid w:val="00B72924"/>
    <w:rsid w:val="00B73E35"/>
    <w:rsid w:val="00B73F44"/>
    <w:rsid w:val="00B74628"/>
    <w:rsid w:val="00B746F1"/>
    <w:rsid w:val="00B74D5B"/>
    <w:rsid w:val="00B75DB2"/>
    <w:rsid w:val="00B76392"/>
    <w:rsid w:val="00B76438"/>
    <w:rsid w:val="00B76785"/>
    <w:rsid w:val="00B76EC4"/>
    <w:rsid w:val="00B7756C"/>
    <w:rsid w:val="00B77954"/>
    <w:rsid w:val="00B77EC9"/>
    <w:rsid w:val="00B80A8D"/>
    <w:rsid w:val="00B80DCD"/>
    <w:rsid w:val="00B81D65"/>
    <w:rsid w:val="00B82360"/>
    <w:rsid w:val="00B82E8D"/>
    <w:rsid w:val="00B83B8B"/>
    <w:rsid w:val="00B84BA6"/>
    <w:rsid w:val="00B851D6"/>
    <w:rsid w:val="00B85426"/>
    <w:rsid w:val="00B85991"/>
    <w:rsid w:val="00B86B93"/>
    <w:rsid w:val="00B8718A"/>
    <w:rsid w:val="00B8739B"/>
    <w:rsid w:val="00B876D2"/>
    <w:rsid w:val="00B87A75"/>
    <w:rsid w:val="00B90390"/>
    <w:rsid w:val="00B91D79"/>
    <w:rsid w:val="00B9264D"/>
    <w:rsid w:val="00B9272B"/>
    <w:rsid w:val="00B92E3D"/>
    <w:rsid w:val="00B93011"/>
    <w:rsid w:val="00B9329F"/>
    <w:rsid w:val="00B93398"/>
    <w:rsid w:val="00B944BE"/>
    <w:rsid w:val="00B94D99"/>
    <w:rsid w:val="00B95B4B"/>
    <w:rsid w:val="00B95DED"/>
    <w:rsid w:val="00B9652C"/>
    <w:rsid w:val="00B96C00"/>
    <w:rsid w:val="00B97106"/>
    <w:rsid w:val="00B97825"/>
    <w:rsid w:val="00B97F9D"/>
    <w:rsid w:val="00BA0BF9"/>
    <w:rsid w:val="00BA0C1A"/>
    <w:rsid w:val="00BA0D0F"/>
    <w:rsid w:val="00BA0DCA"/>
    <w:rsid w:val="00BA1158"/>
    <w:rsid w:val="00BA1B30"/>
    <w:rsid w:val="00BA1B7E"/>
    <w:rsid w:val="00BA2DC4"/>
    <w:rsid w:val="00BA2ED9"/>
    <w:rsid w:val="00BA309F"/>
    <w:rsid w:val="00BA3786"/>
    <w:rsid w:val="00BA38EF"/>
    <w:rsid w:val="00BA3B2F"/>
    <w:rsid w:val="00BA3D5D"/>
    <w:rsid w:val="00BA5147"/>
    <w:rsid w:val="00BA5C38"/>
    <w:rsid w:val="00BA5DC0"/>
    <w:rsid w:val="00BA65F7"/>
    <w:rsid w:val="00BA67DA"/>
    <w:rsid w:val="00BA6BCA"/>
    <w:rsid w:val="00BA6C74"/>
    <w:rsid w:val="00BA6EE5"/>
    <w:rsid w:val="00BA7508"/>
    <w:rsid w:val="00BA788E"/>
    <w:rsid w:val="00BA7FE4"/>
    <w:rsid w:val="00BB18F1"/>
    <w:rsid w:val="00BB1BFF"/>
    <w:rsid w:val="00BB23A8"/>
    <w:rsid w:val="00BB2459"/>
    <w:rsid w:val="00BB24C0"/>
    <w:rsid w:val="00BB2ADC"/>
    <w:rsid w:val="00BB3EBF"/>
    <w:rsid w:val="00BB3FA1"/>
    <w:rsid w:val="00BB4555"/>
    <w:rsid w:val="00BB4814"/>
    <w:rsid w:val="00BB4DE8"/>
    <w:rsid w:val="00BB50F8"/>
    <w:rsid w:val="00BB52D9"/>
    <w:rsid w:val="00BB56A3"/>
    <w:rsid w:val="00BB62BB"/>
    <w:rsid w:val="00BB64E6"/>
    <w:rsid w:val="00BB6F8D"/>
    <w:rsid w:val="00BB761E"/>
    <w:rsid w:val="00BB79E7"/>
    <w:rsid w:val="00BC00FE"/>
    <w:rsid w:val="00BC05C5"/>
    <w:rsid w:val="00BC0FD1"/>
    <w:rsid w:val="00BC12B6"/>
    <w:rsid w:val="00BC16E8"/>
    <w:rsid w:val="00BC1A32"/>
    <w:rsid w:val="00BC1EA3"/>
    <w:rsid w:val="00BC25AF"/>
    <w:rsid w:val="00BC271C"/>
    <w:rsid w:val="00BC27B6"/>
    <w:rsid w:val="00BC2B94"/>
    <w:rsid w:val="00BC2E5F"/>
    <w:rsid w:val="00BC3963"/>
    <w:rsid w:val="00BC3C4F"/>
    <w:rsid w:val="00BC3F0A"/>
    <w:rsid w:val="00BC41AA"/>
    <w:rsid w:val="00BC421D"/>
    <w:rsid w:val="00BC49BC"/>
    <w:rsid w:val="00BC4AA6"/>
    <w:rsid w:val="00BC5689"/>
    <w:rsid w:val="00BC6450"/>
    <w:rsid w:val="00BC661A"/>
    <w:rsid w:val="00BC672B"/>
    <w:rsid w:val="00BD0098"/>
    <w:rsid w:val="00BD0308"/>
    <w:rsid w:val="00BD0356"/>
    <w:rsid w:val="00BD04BE"/>
    <w:rsid w:val="00BD1762"/>
    <w:rsid w:val="00BD1E20"/>
    <w:rsid w:val="00BD1F2D"/>
    <w:rsid w:val="00BD205C"/>
    <w:rsid w:val="00BD221D"/>
    <w:rsid w:val="00BD2B50"/>
    <w:rsid w:val="00BD2EBF"/>
    <w:rsid w:val="00BD307E"/>
    <w:rsid w:val="00BD42D9"/>
    <w:rsid w:val="00BD4B49"/>
    <w:rsid w:val="00BD4B92"/>
    <w:rsid w:val="00BD5DB6"/>
    <w:rsid w:val="00BD61B2"/>
    <w:rsid w:val="00BD6B38"/>
    <w:rsid w:val="00BD7039"/>
    <w:rsid w:val="00BD7280"/>
    <w:rsid w:val="00BD73BF"/>
    <w:rsid w:val="00BE0F10"/>
    <w:rsid w:val="00BE1DF4"/>
    <w:rsid w:val="00BE218D"/>
    <w:rsid w:val="00BE2298"/>
    <w:rsid w:val="00BE3381"/>
    <w:rsid w:val="00BE3A11"/>
    <w:rsid w:val="00BE3A41"/>
    <w:rsid w:val="00BE408A"/>
    <w:rsid w:val="00BE5090"/>
    <w:rsid w:val="00BE58C8"/>
    <w:rsid w:val="00BE5C92"/>
    <w:rsid w:val="00BE68FB"/>
    <w:rsid w:val="00BE6F28"/>
    <w:rsid w:val="00BE76F8"/>
    <w:rsid w:val="00BE7A73"/>
    <w:rsid w:val="00BF00BC"/>
    <w:rsid w:val="00BF017E"/>
    <w:rsid w:val="00BF0AF6"/>
    <w:rsid w:val="00BF0B03"/>
    <w:rsid w:val="00BF1074"/>
    <w:rsid w:val="00BF1095"/>
    <w:rsid w:val="00BF1860"/>
    <w:rsid w:val="00BF1876"/>
    <w:rsid w:val="00BF24F5"/>
    <w:rsid w:val="00BF29FA"/>
    <w:rsid w:val="00BF2F1F"/>
    <w:rsid w:val="00BF39D1"/>
    <w:rsid w:val="00BF5BDC"/>
    <w:rsid w:val="00BF6229"/>
    <w:rsid w:val="00BF79C0"/>
    <w:rsid w:val="00C00758"/>
    <w:rsid w:val="00C00EE9"/>
    <w:rsid w:val="00C01455"/>
    <w:rsid w:val="00C0161A"/>
    <w:rsid w:val="00C017B4"/>
    <w:rsid w:val="00C02163"/>
    <w:rsid w:val="00C023DC"/>
    <w:rsid w:val="00C03611"/>
    <w:rsid w:val="00C03D5B"/>
    <w:rsid w:val="00C03F6E"/>
    <w:rsid w:val="00C041C9"/>
    <w:rsid w:val="00C04D2B"/>
    <w:rsid w:val="00C04E05"/>
    <w:rsid w:val="00C04F7E"/>
    <w:rsid w:val="00C0618F"/>
    <w:rsid w:val="00C06414"/>
    <w:rsid w:val="00C06657"/>
    <w:rsid w:val="00C06CE5"/>
    <w:rsid w:val="00C07609"/>
    <w:rsid w:val="00C1046F"/>
    <w:rsid w:val="00C1119B"/>
    <w:rsid w:val="00C1121C"/>
    <w:rsid w:val="00C118CF"/>
    <w:rsid w:val="00C11DBB"/>
    <w:rsid w:val="00C128B6"/>
    <w:rsid w:val="00C12D15"/>
    <w:rsid w:val="00C13191"/>
    <w:rsid w:val="00C131B2"/>
    <w:rsid w:val="00C1373B"/>
    <w:rsid w:val="00C13C31"/>
    <w:rsid w:val="00C1493F"/>
    <w:rsid w:val="00C14C75"/>
    <w:rsid w:val="00C15081"/>
    <w:rsid w:val="00C15A2F"/>
    <w:rsid w:val="00C15DB4"/>
    <w:rsid w:val="00C1682D"/>
    <w:rsid w:val="00C17B8D"/>
    <w:rsid w:val="00C17ED3"/>
    <w:rsid w:val="00C202D3"/>
    <w:rsid w:val="00C213CE"/>
    <w:rsid w:val="00C21F83"/>
    <w:rsid w:val="00C221F5"/>
    <w:rsid w:val="00C22B81"/>
    <w:rsid w:val="00C2398F"/>
    <w:rsid w:val="00C25143"/>
    <w:rsid w:val="00C25419"/>
    <w:rsid w:val="00C25545"/>
    <w:rsid w:val="00C25568"/>
    <w:rsid w:val="00C259A8"/>
    <w:rsid w:val="00C260BF"/>
    <w:rsid w:val="00C262CE"/>
    <w:rsid w:val="00C262EF"/>
    <w:rsid w:val="00C26581"/>
    <w:rsid w:val="00C26EF6"/>
    <w:rsid w:val="00C27E06"/>
    <w:rsid w:val="00C305CE"/>
    <w:rsid w:val="00C308D9"/>
    <w:rsid w:val="00C30A58"/>
    <w:rsid w:val="00C30ADA"/>
    <w:rsid w:val="00C3122B"/>
    <w:rsid w:val="00C31283"/>
    <w:rsid w:val="00C31A95"/>
    <w:rsid w:val="00C32F31"/>
    <w:rsid w:val="00C331B2"/>
    <w:rsid w:val="00C34010"/>
    <w:rsid w:val="00C351C0"/>
    <w:rsid w:val="00C40972"/>
    <w:rsid w:val="00C41533"/>
    <w:rsid w:val="00C42FE1"/>
    <w:rsid w:val="00C437D1"/>
    <w:rsid w:val="00C44ACC"/>
    <w:rsid w:val="00C44BD2"/>
    <w:rsid w:val="00C44F15"/>
    <w:rsid w:val="00C45493"/>
    <w:rsid w:val="00C45812"/>
    <w:rsid w:val="00C45C91"/>
    <w:rsid w:val="00C45DAF"/>
    <w:rsid w:val="00C46050"/>
    <w:rsid w:val="00C461AF"/>
    <w:rsid w:val="00C475EE"/>
    <w:rsid w:val="00C50AE4"/>
    <w:rsid w:val="00C5132E"/>
    <w:rsid w:val="00C51598"/>
    <w:rsid w:val="00C518E4"/>
    <w:rsid w:val="00C52301"/>
    <w:rsid w:val="00C52F34"/>
    <w:rsid w:val="00C53B4F"/>
    <w:rsid w:val="00C547D8"/>
    <w:rsid w:val="00C55378"/>
    <w:rsid w:val="00C55AB1"/>
    <w:rsid w:val="00C57C4A"/>
    <w:rsid w:val="00C609E9"/>
    <w:rsid w:val="00C60BDD"/>
    <w:rsid w:val="00C6120F"/>
    <w:rsid w:val="00C613D3"/>
    <w:rsid w:val="00C61A7A"/>
    <w:rsid w:val="00C61CDD"/>
    <w:rsid w:val="00C61EF0"/>
    <w:rsid w:val="00C62AE5"/>
    <w:rsid w:val="00C640A1"/>
    <w:rsid w:val="00C643B1"/>
    <w:rsid w:val="00C64FAF"/>
    <w:rsid w:val="00C65469"/>
    <w:rsid w:val="00C6549D"/>
    <w:rsid w:val="00C65DFF"/>
    <w:rsid w:val="00C6642E"/>
    <w:rsid w:val="00C66F3E"/>
    <w:rsid w:val="00C679AE"/>
    <w:rsid w:val="00C67A74"/>
    <w:rsid w:val="00C702AD"/>
    <w:rsid w:val="00C70AB8"/>
    <w:rsid w:val="00C70B5D"/>
    <w:rsid w:val="00C71036"/>
    <w:rsid w:val="00C712C5"/>
    <w:rsid w:val="00C718CE"/>
    <w:rsid w:val="00C72284"/>
    <w:rsid w:val="00C7275E"/>
    <w:rsid w:val="00C73472"/>
    <w:rsid w:val="00C7370A"/>
    <w:rsid w:val="00C737C5"/>
    <w:rsid w:val="00C73FBC"/>
    <w:rsid w:val="00C74B76"/>
    <w:rsid w:val="00C75304"/>
    <w:rsid w:val="00C76FCE"/>
    <w:rsid w:val="00C77023"/>
    <w:rsid w:val="00C77068"/>
    <w:rsid w:val="00C8007F"/>
    <w:rsid w:val="00C800F3"/>
    <w:rsid w:val="00C804BA"/>
    <w:rsid w:val="00C80C46"/>
    <w:rsid w:val="00C80C6F"/>
    <w:rsid w:val="00C80ED2"/>
    <w:rsid w:val="00C82EEC"/>
    <w:rsid w:val="00C831DB"/>
    <w:rsid w:val="00C83999"/>
    <w:rsid w:val="00C83D86"/>
    <w:rsid w:val="00C8482D"/>
    <w:rsid w:val="00C84F02"/>
    <w:rsid w:val="00C86015"/>
    <w:rsid w:val="00C869AE"/>
    <w:rsid w:val="00C871FE"/>
    <w:rsid w:val="00C87B7F"/>
    <w:rsid w:val="00C87CB7"/>
    <w:rsid w:val="00C9088C"/>
    <w:rsid w:val="00C9365E"/>
    <w:rsid w:val="00C93A5A"/>
    <w:rsid w:val="00C945D7"/>
    <w:rsid w:val="00C94970"/>
    <w:rsid w:val="00C95781"/>
    <w:rsid w:val="00C9769E"/>
    <w:rsid w:val="00CA07A6"/>
    <w:rsid w:val="00CA088C"/>
    <w:rsid w:val="00CA1C8A"/>
    <w:rsid w:val="00CA1E79"/>
    <w:rsid w:val="00CA25E4"/>
    <w:rsid w:val="00CA334C"/>
    <w:rsid w:val="00CA3540"/>
    <w:rsid w:val="00CA3D6D"/>
    <w:rsid w:val="00CA3D91"/>
    <w:rsid w:val="00CA5387"/>
    <w:rsid w:val="00CA5989"/>
    <w:rsid w:val="00CA5B61"/>
    <w:rsid w:val="00CA6DED"/>
    <w:rsid w:val="00CA6E79"/>
    <w:rsid w:val="00CB0215"/>
    <w:rsid w:val="00CB02F2"/>
    <w:rsid w:val="00CB0724"/>
    <w:rsid w:val="00CB09A2"/>
    <w:rsid w:val="00CB2392"/>
    <w:rsid w:val="00CB2A04"/>
    <w:rsid w:val="00CB2DA5"/>
    <w:rsid w:val="00CB3BCB"/>
    <w:rsid w:val="00CB4F24"/>
    <w:rsid w:val="00CB6067"/>
    <w:rsid w:val="00CB6B8B"/>
    <w:rsid w:val="00CB7477"/>
    <w:rsid w:val="00CC01BD"/>
    <w:rsid w:val="00CC112B"/>
    <w:rsid w:val="00CC1156"/>
    <w:rsid w:val="00CC1CD2"/>
    <w:rsid w:val="00CC1EC1"/>
    <w:rsid w:val="00CC27E4"/>
    <w:rsid w:val="00CC2EB8"/>
    <w:rsid w:val="00CC35C5"/>
    <w:rsid w:val="00CC4921"/>
    <w:rsid w:val="00CC49D4"/>
    <w:rsid w:val="00CC4E75"/>
    <w:rsid w:val="00CC54FF"/>
    <w:rsid w:val="00CC5685"/>
    <w:rsid w:val="00CC56F0"/>
    <w:rsid w:val="00CC7742"/>
    <w:rsid w:val="00CC799D"/>
    <w:rsid w:val="00CC7B06"/>
    <w:rsid w:val="00CD0783"/>
    <w:rsid w:val="00CD0CA0"/>
    <w:rsid w:val="00CD138A"/>
    <w:rsid w:val="00CD13C8"/>
    <w:rsid w:val="00CD1CE2"/>
    <w:rsid w:val="00CD1F76"/>
    <w:rsid w:val="00CD22B3"/>
    <w:rsid w:val="00CD35C9"/>
    <w:rsid w:val="00CD460D"/>
    <w:rsid w:val="00CD485F"/>
    <w:rsid w:val="00CD5B40"/>
    <w:rsid w:val="00CD60F8"/>
    <w:rsid w:val="00CD6A12"/>
    <w:rsid w:val="00CD748C"/>
    <w:rsid w:val="00CD7C96"/>
    <w:rsid w:val="00CE0223"/>
    <w:rsid w:val="00CE1141"/>
    <w:rsid w:val="00CE1518"/>
    <w:rsid w:val="00CE1587"/>
    <w:rsid w:val="00CE17B4"/>
    <w:rsid w:val="00CE307F"/>
    <w:rsid w:val="00CE323E"/>
    <w:rsid w:val="00CE340A"/>
    <w:rsid w:val="00CE396A"/>
    <w:rsid w:val="00CE3A4B"/>
    <w:rsid w:val="00CE42E7"/>
    <w:rsid w:val="00CE47D4"/>
    <w:rsid w:val="00CE4C2B"/>
    <w:rsid w:val="00CE51F9"/>
    <w:rsid w:val="00CE5623"/>
    <w:rsid w:val="00CE56FE"/>
    <w:rsid w:val="00CE5C76"/>
    <w:rsid w:val="00CE6D91"/>
    <w:rsid w:val="00CE6F5A"/>
    <w:rsid w:val="00CE71BD"/>
    <w:rsid w:val="00CE77FD"/>
    <w:rsid w:val="00CE7D31"/>
    <w:rsid w:val="00CE7D47"/>
    <w:rsid w:val="00CE7DF5"/>
    <w:rsid w:val="00CF139E"/>
    <w:rsid w:val="00CF3BF7"/>
    <w:rsid w:val="00CF3C9A"/>
    <w:rsid w:val="00CF405C"/>
    <w:rsid w:val="00CF42CF"/>
    <w:rsid w:val="00CF47F0"/>
    <w:rsid w:val="00CF4A19"/>
    <w:rsid w:val="00CF5841"/>
    <w:rsid w:val="00CF5988"/>
    <w:rsid w:val="00CF5AB5"/>
    <w:rsid w:val="00CF6E46"/>
    <w:rsid w:val="00CF7FC0"/>
    <w:rsid w:val="00D00BEE"/>
    <w:rsid w:val="00D0126E"/>
    <w:rsid w:val="00D0173E"/>
    <w:rsid w:val="00D01807"/>
    <w:rsid w:val="00D01BFA"/>
    <w:rsid w:val="00D0257E"/>
    <w:rsid w:val="00D02856"/>
    <w:rsid w:val="00D03424"/>
    <w:rsid w:val="00D03509"/>
    <w:rsid w:val="00D0386E"/>
    <w:rsid w:val="00D03D4C"/>
    <w:rsid w:val="00D03F3B"/>
    <w:rsid w:val="00D0441F"/>
    <w:rsid w:val="00D04F5B"/>
    <w:rsid w:val="00D0563A"/>
    <w:rsid w:val="00D0597A"/>
    <w:rsid w:val="00D05ADA"/>
    <w:rsid w:val="00D05C08"/>
    <w:rsid w:val="00D05D26"/>
    <w:rsid w:val="00D05E4F"/>
    <w:rsid w:val="00D101A1"/>
    <w:rsid w:val="00D102E9"/>
    <w:rsid w:val="00D1066A"/>
    <w:rsid w:val="00D115DD"/>
    <w:rsid w:val="00D11B39"/>
    <w:rsid w:val="00D11B9E"/>
    <w:rsid w:val="00D11CF9"/>
    <w:rsid w:val="00D11D6B"/>
    <w:rsid w:val="00D11F8E"/>
    <w:rsid w:val="00D12010"/>
    <w:rsid w:val="00D13453"/>
    <w:rsid w:val="00D13509"/>
    <w:rsid w:val="00D144E1"/>
    <w:rsid w:val="00D1571A"/>
    <w:rsid w:val="00D158FD"/>
    <w:rsid w:val="00D1688F"/>
    <w:rsid w:val="00D17121"/>
    <w:rsid w:val="00D17A21"/>
    <w:rsid w:val="00D17B23"/>
    <w:rsid w:val="00D20311"/>
    <w:rsid w:val="00D20B51"/>
    <w:rsid w:val="00D20D8B"/>
    <w:rsid w:val="00D2117F"/>
    <w:rsid w:val="00D21C71"/>
    <w:rsid w:val="00D21DA2"/>
    <w:rsid w:val="00D21EF4"/>
    <w:rsid w:val="00D23147"/>
    <w:rsid w:val="00D23387"/>
    <w:rsid w:val="00D23887"/>
    <w:rsid w:val="00D23AFD"/>
    <w:rsid w:val="00D23C1B"/>
    <w:rsid w:val="00D24B8B"/>
    <w:rsid w:val="00D24DEE"/>
    <w:rsid w:val="00D25317"/>
    <w:rsid w:val="00D254FC"/>
    <w:rsid w:val="00D25BB9"/>
    <w:rsid w:val="00D25E58"/>
    <w:rsid w:val="00D27554"/>
    <w:rsid w:val="00D27A1B"/>
    <w:rsid w:val="00D30076"/>
    <w:rsid w:val="00D3030B"/>
    <w:rsid w:val="00D32396"/>
    <w:rsid w:val="00D32CF1"/>
    <w:rsid w:val="00D32FCF"/>
    <w:rsid w:val="00D330F7"/>
    <w:rsid w:val="00D34C97"/>
    <w:rsid w:val="00D35625"/>
    <w:rsid w:val="00D358A0"/>
    <w:rsid w:val="00D358E6"/>
    <w:rsid w:val="00D35E10"/>
    <w:rsid w:val="00D36AD0"/>
    <w:rsid w:val="00D36CDE"/>
    <w:rsid w:val="00D37487"/>
    <w:rsid w:val="00D377E3"/>
    <w:rsid w:val="00D400A7"/>
    <w:rsid w:val="00D406AD"/>
    <w:rsid w:val="00D41181"/>
    <w:rsid w:val="00D413D5"/>
    <w:rsid w:val="00D436B1"/>
    <w:rsid w:val="00D44602"/>
    <w:rsid w:val="00D44C42"/>
    <w:rsid w:val="00D4636A"/>
    <w:rsid w:val="00D46BA9"/>
    <w:rsid w:val="00D473F8"/>
    <w:rsid w:val="00D47448"/>
    <w:rsid w:val="00D47BEC"/>
    <w:rsid w:val="00D47FF4"/>
    <w:rsid w:val="00D50493"/>
    <w:rsid w:val="00D50A1F"/>
    <w:rsid w:val="00D510F4"/>
    <w:rsid w:val="00D51F3E"/>
    <w:rsid w:val="00D53A77"/>
    <w:rsid w:val="00D53AB7"/>
    <w:rsid w:val="00D54461"/>
    <w:rsid w:val="00D5564C"/>
    <w:rsid w:val="00D55670"/>
    <w:rsid w:val="00D55B9A"/>
    <w:rsid w:val="00D55DB2"/>
    <w:rsid w:val="00D56957"/>
    <w:rsid w:val="00D56CF2"/>
    <w:rsid w:val="00D56F13"/>
    <w:rsid w:val="00D575E0"/>
    <w:rsid w:val="00D57BAD"/>
    <w:rsid w:val="00D60AD7"/>
    <w:rsid w:val="00D6101A"/>
    <w:rsid w:val="00D6154F"/>
    <w:rsid w:val="00D624B5"/>
    <w:rsid w:val="00D62535"/>
    <w:rsid w:val="00D63422"/>
    <w:rsid w:val="00D6363F"/>
    <w:rsid w:val="00D644BD"/>
    <w:rsid w:val="00D6542E"/>
    <w:rsid w:val="00D65836"/>
    <w:rsid w:val="00D66959"/>
    <w:rsid w:val="00D66E8B"/>
    <w:rsid w:val="00D66E9A"/>
    <w:rsid w:val="00D6775F"/>
    <w:rsid w:val="00D67BB5"/>
    <w:rsid w:val="00D704BD"/>
    <w:rsid w:val="00D706DC"/>
    <w:rsid w:val="00D7090C"/>
    <w:rsid w:val="00D70F02"/>
    <w:rsid w:val="00D71037"/>
    <w:rsid w:val="00D71BB3"/>
    <w:rsid w:val="00D725F4"/>
    <w:rsid w:val="00D729C9"/>
    <w:rsid w:val="00D734FA"/>
    <w:rsid w:val="00D73E6A"/>
    <w:rsid w:val="00D741E7"/>
    <w:rsid w:val="00D7580F"/>
    <w:rsid w:val="00D7643D"/>
    <w:rsid w:val="00D767A3"/>
    <w:rsid w:val="00D77C96"/>
    <w:rsid w:val="00D80891"/>
    <w:rsid w:val="00D818D1"/>
    <w:rsid w:val="00D81E92"/>
    <w:rsid w:val="00D82364"/>
    <w:rsid w:val="00D83279"/>
    <w:rsid w:val="00D8467A"/>
    <w:rsid w:val="00D84686"/>
    <w:rsid w:val="00D84F0A"/>
    <w:rsid w:val="00D85715"/>
    <w:rsid w:val="00D85AAF"/>
    <w:rsid w:val="00D85F30"/>
    <w:rsid w:val="00D8615E"/>
    <w:rsid w:val="00D86566"/>
    <w:rsid w:val="00D86D36"/>
    <w:rsid w:val="00D8706C"/>
    <w:rsid w:val="00D87EE8"/>
    <w:rsid w:val="00D90DAD"/>
    <w:rsid w:val="00D9193B"/>
    <w:rsid w:val="00D92850"/>
    <w:rsid w:val="00D934C2"/>
    <w:rsid w:val="00D95A76"/>
    <w:rsid w:val="00D95CDF"/>
    <w:rsid w:val="00D9606B"/>
    <w:rsid w:val="00D9641B"/>
    <w:rsid w:val="00D967BA"/>
    <w:rsid w:val="00D97737"/>
    <w:rsid w:val="00D979AF"/>
    <w:rsid w:val="00D97A48"/>
    <w:rsid w:val="00D97B19"/>
    <w:rsid w:val="00DA0AE1"/>
    <w:rsid w:val="00DA0B3F"/>
    <w:rsid w:val="00DA0E64"/>
    <w:rsid w:val="00DA142A"/>
    <w:rsid w:val="00DA2044"/>
    <w:rsid w:val="00DA36A1"/>
    <w:rsid w:val="00DA3843"/>
    <w:rsid w:val="00DA3DEB"/>
    <w:rsid w:val="00DA4187"/>
    <w:rsid w:val="00DA461E"/>
    <w:rsid w:val="00DA4633"/>
    <w:rsid w:val="00DA4C62"/>
    <w:rsid w:val="00DA4F8B"/>
    <w:rsid w:val="00DA54B9"/>
    <w:rsid w:val="00DA55DF"/>
    <w:rsid w:val="00DA5F87"/>
    <w:rsid w:val="00DB040D"/>
    <w:rsid w:val="00DB1731"/>
    <w:rsid w:val="00DB2CF5"/>
    <w:rsid w:val="00DB4244"/>
    <w:rsid w:val="00DB4817"/>
    <w:rsid w:val="00DB503F"/>
    <w:rsid w:val="00DB6A17"/>
    <w:rsid w:val="00DB6EFE"/>
    <w:rsid w:val="00DB7025"/>
    <w:rsid w:val="00DB70CF"/>
    <w:rsid w:val="00DB7F46"/>
    <w:rsid w:val="00DC029A"/>
    <w:rsid w:val="00DC0BA6"/>
    <w:rsid w:val="00DC0EEE"/>
    <w:rsid w:val="00DC1DD6"/>
    <w:rsid w:val="00DC201F"/>
    <w:rsid w:val="00DC27D7"/>
    <w:rsid w:val="00DC2876"/>
    <w:rsid w:val="00DC30A7"/>
    <w:rsid w:val="00DC331F"/>
    <w:rsid w:val="00DC3403"/>
    <w:rsid w:val="00DC3857"/>
    <w:rsid w:val="00DC3C78"/>
    <w:rsid w:val="00DC592F"/>
    <w:rsid w:val="00DC5C78"/>
    <w:rsid w:val="00DC60EC"/>
    <w:rsid w:val="00DC60F8"/>
    <w:rsid w:val="00DC6989"/>
    <w:rsid w:val="00DC7248"/>
    <w:rsid w:val="00DD04F5"/>
    <w:rsid w:val="00DD14C0"/>
    <w:rsid w:val="00DD1811"/>
    <w:rsid w:val="00DD1B72"/>
    <w:rsid w:val="00DD1D27"/>
    <w:rsid w:val="00DD2387"/>
    <w:rsid w:val="00DD297F"/>
    <w:rsid w:val="00DD2CB3"/>
    <w:rsid w:val="00DD37EA"/>
    <w:rsid w:val="00DD3B30"/>
    <w:rsid w:val="00DD3D26"/>
    <w:rsid w:val="00DD3E07"/>
    <w:rsid w:val="00DD42D8"/>
    <w:rsid w:val="00DD430C"/>
    <w:rsid w:val="00DD475E"/>
    <w:rsid w:val="00DD4E84"/>
    <w:rsid w:val="00DD5520"/>
    <w:rsid w:val="00DD5E11"/>
    <w:rsid w:val="00DD67D6"/>
    <w:rsid w:val="00DD6F68"/>
    <w:rsid w:val="00DD72FF"/>
    <w:rsid w:val="00DD778E"/>
    <w:rsid w:val="00DE0359"/>
    <w:rsid w:val="00DE1DA5"/>
    <w:rsid w:val="00DE2087"/>
    <w:rsid w:val="00DE2281"/>
    <w:rsid w:val="00DE2844"/>
    <w:rsid w:val="00DE3867"/>
    <w:rsid w:val="00DE3A7A"/>
    <w:rsid w:val="00DE3ACF"/>
    <w:rsid w:val="00DE43E9"/>
    <w:rsid w:val="00DE4C88"/>
    <w:rsid w:val="00DE51B7"/>
    <w:rsid w:val="00DE5FC9"/>
    <w:rsid w:val="00DE6672"/>
    <w:rsid w:val="00DE67A4"/>
    <w:rsid w:val="00DE6809"/>
    <w:rsid w:val="00DE7150"/>
    <w:rsid w:val="00DE723E"/>
    <w:rsid w:val="00DE7C84"/>
    <w:rsid w:val="00DF02EC"/>
    <w:rsid w:val="00DF03F5"/>
    <w:rsid w:val="00DF0593"/>
    <w:rsid w:val="00DF088F"/>
    <w:rsid w:val="00DF0ECC"/>
    <w:rsid w:val="00DF16C2"/>
    <w:rsid w:val="00DF1DFF"/>
    <w:rsid w:val="00DF2C70"/>
    <w:rsid w:val="00DF3452"/>
    <w:rsid w:val="00DF3C5E"/>
    <w:rsid w:val="00DF4F35"/>
    <w:rsid w:val="00DF542B"/>
    <w:rsid w:val="00DF770E"/>
    <w:rsid w:val="00E00F76"/>
    <w:rsid w:val="00E011C0"/>
    <w:rsid w:val="00E013A3"/>
    <w:rsid w:val="00E01457"/>
    <w:rsid w:val="00E01635"/>
    <w:rsid w:val="00E01A3A"/>
    <w:rsid w:val="00E02335"/>
    <w:rsid w:val="00E03824"/>
    <w:rsid w:val="00E03FCC"/>
    <w:rsid w:val="00E04509"/>
    <w:rsid w:val="00E04848"/>
    <w:rsid w:val="00E049E0"/>
    <w:rsid w:val="00E04D0F"/>
    <w:rsid w:val="00E05049"/>
    <w:rsid w:val="00E0529F"/>
    <w:rsid w:val="00E06872"/>
    <w:rsid w:val="00E06A22"/>
    <w:rsid w:val="00E0776B"/>
    <w:rsid w:val="00E07780"/>
    <w:rsid w:val="00E12340"/>
    <w:rsid w:val="00E12623"/>
    <w:rsid w:val="00E14490"/>
    <w:rsid w:val="00E14578"/>
    <w:rsid w:val="00E14880"/>
    <w:rsid w:val="00E15671"/>
    <w:rsid w:val="00E160B0"/>
    <w:rsid w:val="00E209A5"/>
    <w:rsid w:val="00E20B8B"/>
    <w:rsid w:val="00E21856"/>
    <w:rsid w:val="00E21E75"/>
    <w:rsid w:val="00E22458"/>
    <w:rsid w:val="00E22A67"/>
    <w:rsid w:val="00E2306E"/>
    <w:rsid w:val="00E231E9"/>
    <w:rsid w:val="00E23724"/>
    <w:rsid w:val="00E23B43"/>
    <w:rsid w:val="00E24C19"/>
    <w:rsid w:val="00E25230"/>
    <w:rsid w:val="00E26445"/>
    <w:rsid w:val="00E270E5"/>
    <w:rsid w:val="00E27A41"/>
    <w:rsid w:val="00E300AD"/>
    <w:rsid w:val="00E3018A"/>
    <w:rsid w:val="00E30925"/>
    <w:rsid w:val="00E30A88"/>
    <w:rsid w:val="00E30ECC"/>
    <w:rsid w:val="00E30EF5"/>
    <w:rsid w:val="00E31343"/>
    <w:rsid w:val="00E31A06"/>
    <w:rsid w:val="00E322EB"/>
    <w:rsid w:val="00E32E2D"/>
    <w:rsid w:val="00E337E9"/>
    <w:rsid w:val="00E33A10"/>
    <w:rsid w:val="00E348AA"/>
    <w:rsid w:val="00E35610"/>
    <w:rsid w:val="00E3567E"/>
    <w:rsid w:val="00E37176"/>
    <w:rsid w:val="00E374E1"/>
    <w:rsid w:val="00E374F5"/>
    <w:rsid w:val="00E3760B"/>
    <w:rsid w:val="00E37823"/>
    <w:rsid w:val="00E37AAE"/>
    <w:rsid w:val="00E37C2C"/>
    <w:rsid w:val="00E37CB7"/>
    <w:rsid w:val="00E37FD3"/>
    <w:rsid w:val="00E411E9"/>
    <w:rsid w:val="00E4158F"/>
    <w:rsid w:val="00E41949"/>
    <w:rsid w:val="00E42A95"/>
    <w:rsid w:val="00E431C4"/>
    <w:rsid w:val="00E43BB1"/>
    <w:rsid w:val="00E43EF9"/>
    <w:rsid w:val="00E44A48"/>
    <w:rsid w:val="00E44EC5"/>
    <w:rsid w:val="00E45657"/>
    <w:rsid w:val="00E45667"/>
    <w:rsid w:val="00E458C1"/>
    <w:rsid w:val="00E458E7"/>
    <w:rsid w:val="00E45F6A"/>
    <w:rsid w:val="00E4657E"/>
    <w:rsid w:val="00E4728A"/>
    <w:rsid w:val="00E473FA"/>
    <w:rsid w:val="00E47CA3"/>
    <w:rsid w:val="00E47CEB"/>
    <w:rsid w:val="00E504E8"/>
    <w:rsid w:val="00E50747"/>
    <w:rsid w:val="00E5091C"/>
    <w:rsid w:val="00E50DBD"/>
    <w:rsid w:val="00E519DC"/>
    <w:rsid w:val="00E51DC3"/>
    <w:rsid w:val="00E51EFF"/>
    <w:rsid w:val="00E525A5"/>
    <w:rsid w:val="00E52E4E"/>
    <w:rsid w:val="00E53A50"/>
    <w:rsid w:val="00E53DD9"/>
    <w:rsid w:val="00E553BC"/>
    <w:rsid w:val="00E556BD"/>
    <w:rsid w:val="00E55DB3"/>
    <w:rsid w:val="00E55FA5"/>
    <w:rsid w:val="00E56468"/>
    <w:rsid w:val="00E56B41"/>
    <w:rsid w:val="00E574E8"/>
    <w:rsid w:val="00E57BF1"/>
    <w:rsid w:val="00E61326"/>
    <w:rsid w:val="00E61EB8"/>
    <w:rsid w:val="00E62CB9"/>
    <w:rsid w:val="00E62E2A"/>
    <w:rsid w:val="00E630D4"/>
    <w:rsid w:val="00E63455"/>
    <w:rsid w:val="00E649EA"/>
    <w:rsid w:val="00E64AD7"/>
    <w:rsid w:val="00E64DD7"/>
    <w:rsid w:val="00E64F7D"/>
    <w:rsid w:val="00E65768"/>
    <w:rsid w:val="00E65832"/>
    <w:rsid w:val="00E65A56"/>
    <w:rsid w:val="00E670CE"/>
    <w:rsid w:val="00E709AD"/>
    <w:rsid w:val="00E70D7C"/>
    <w:rsid w:val="00E71203"/>
    <w:rsid w:val="00E71317"/>
    <w:rsid w:val="00E7140B"/>
    <w:rsid w:val="00E71FC5"/>
    <w:rsid w:val="00E72063"/>
    <w:rsid w:val="00E7248D"/>
    <w:rsid w:val="00E724AC"/>
    <w:rsid w:val="00E72BEB"/>
    <w:rsid w:val="00E72D75"/>
    <w:rsid w:val="00E7321E"/>
    <w:rsid w:val="00E741A4"/>
    <w:rsid w:val="00E74D9D"/>
    <w:rsid w:val="00E7559F"/>
    <w:rsid w:val="00E757D9"/>
    <w:rsid w:val="00E75F02"/>
    <w:rsid w:val="00E763F7"/>
    <w:rsid w:val="00E76C3E"/>
    <w:rsid w:val="00E77139"/>
    <w:rsid w:val="00E807DA"/>
    <w:rsid w:val="00E80A34"/>
    <w:rsid w:val="00E8175D"/>
    <w:rsid w:val="00E819A2"/>
    <w:rsid w:val="00E84E3A"/>
    <w:rsid w:val="00E850E6"/>
    <w:rsid w:val="00E85151"/>
    <w:rsid w:val="00E851F5"/>
    <w:rsid w:val="00E85937"/>
    <w:rsid w:val="00E862E6"/>
    <w:rsid w:val="00E86A05"/>
    <w:rsid w:val="00E86BA6"/>
    <w:rsid w:val="00E870BF"/>
    <w:rsid w:val="00E87174"/>
    <w:rsid w:val="00E879DB"/>
    <w:rsid w:val="00E87D4E"/>
    <w:rsid w:val="00E90738"/>
    <w:rsid w:val="00E91564"/>
    <w:rsid w:val="00E9165A"/>
    <w:rsid w:val="00E9184F"/>
    <w:rsid w:val="00E91E11"/>
    <w:rsid w:val="00E922E5"/>
    <w:rsid w:val="00E93C63"/>
    <w:rsid w:val="00E940B8"/>
    <w:rsid w:val="00E94144"/>
    <w:rsid w:val="00E94467"/>
    <w:rsid w:val="00E944CA"/>
    <w:rsid w:val="00E961FE"/>
    <w:rsid w:val="00E963DC"/>
    <w:rsid w:val="00E9668B"/>
    <w:rsid w:val="00E96F16"/>
    <w:rsid w:val="00E9709E"/>
    <w:rsid w:val="00E97274"/>
    <w:rsid w:val="00E97458"/>
    <w:rsid w:val="00EA040E"/>
    <w:rsid w:val="00EA05AF"/>
    <w:rsid w:val="00EA1381"/>
    <w:rsid w:val="00EA16AD"/>
    <w:rsid w:val="00EA1C72"/>
    <w:rsid w:val="00EA245D"/>
    <w:rsid w:val="00EA2605"/>
    <w:rsid w:val="00EA2971"/>
    <w:rsid w:val="00EA3634"/>
    <w:rsid w:val="00EA3DC6"/>
    <w:rsid w:val="00EA40BA"/>
    <w:rsid w:val="00EA4AB9"/>
    <w:rsid w:val="00EA4D3F"/>
    <w:rsid w:val="00EA53CC"/>
    <w:rsid w:val="00EA5912"/>
    <w:rsid w:val="00EA60EB"/>
    <w:rsid w:val="00EA77BD"/>
    <w:rsid w:val="00EA7F7B"/>
    <w:rsid w:val="00EB0911"/>
    <w:rsid w:val="00EB215C"/>
    <w:rsid w:val="00EB2182"/>
    <w:rsid w:val="00EB29F2"/>
    <w:rsid w:val="00EB4BDF"/>
    <w:rsid w:val="00EB4C18"/>
    <w:rsid w:val="00EB4E23"/>
    <w:rsid w:val="00EB5108"/>
    <w:rsid w:val="00EB54A7"/>
    <w:rsid w:val="00EB5CDF"/>
    <w:rsid w:val="00EB6B4F"/>
    <w:rsid w:val="00EB6CBE"/>
    <w:rsid w:val="00EB713C"/>
    <w:rsid w:val="00EC0188"/>
    <w:rsid w:val="00EC0462"/>
    <w:rsid w:val="00EC046E"/>
    <w:rsid w:val="00EC13B7"/>
    <w:rsid w:val="00EC1BBD"/>
    <w:rsid w:val="00EC25CE"/>
    <w:rsid w:val="00EC292F"/>
    <w:rsid w:val="00EC2D3D"/>
    <w:rsid w:val="00EC351C"/>
    <w:rsid w:val="00EC3597"/>
    <w:rsid w:val="00EC392A"/>
    <w:rsid w:val="00EC40E3"/>
    <w:rsid w:val="00EC4389"/>
    <w:rsid w:val="00EC43B9"/>
    <w:rsid w:val="00EC4F9D"/>
    <w:rsid w:val="00EC5E19"/>
    <w:rsid w:val="00EC5E1E"/>
    <w:rsid w:val="00EC6034"/>
    <w:rsid w:val="00EC6F32"/>
    <w:rsid w:val="00EC6F88"/>
    <w:rsid w:val="00EC72C9"/>
    <w:rsid w:val="00EC74B5"/>
    <w:rsid w:val="00EC7A54"/>
    <w:rsid w:val="00ED0947"/>
    <w:rsid w:val="00ED105B"/>
    <w:rsid w:val="00ED1073"/>
    <w:rsid w:val="00ED1233"/>
    <w:rsid w:val="00ED2139"/>
    <w:rsid w:val="00ED2F2B"/>
    <w:rsid w:val="00ED36E7"/>
    <w:rsid w:val="00ED3A28"/>
    <w:rsid w:val="00ED3E98"/>
    <w:rsid w:val="00ED4463"/>
    <w:rsid w:val="00ED477C"/>
    <w:rsid w:val="00ED4C8E"/>
    <w:rsid w:val="00ED4D69"/>
    <w:rsid w:val="00ED533C"/>
    <w:rsid w:val="00ED548E"/>
    <w:rsid w:val="00ED56C1"/>
    <w:rsid w:val="00ED5AF0"/>
    <w:rsid w:val="00ED61AA"/>
    <w:rsid w:val="00ED658E"/>
    <w:rsid w:val="00ED6882"/>
    <w:rsid w:val="00ED6CBE"/>
    <w:rsid w:val="00ED71CE"/>
    <w:rsid w:val="00ED72F3"/>
    <w:rsid w:val="00ED7440"/>
    <w:rsid w:val="00ED752A"/>
    <w:rsid w:val="00ED7A3E"/>
    <w:rsid w:val="00EE0174"/>
    <w:rsid w:val="00EE12A7"/>
    <w:rsid w:val="00EE1416"/>
    <w:rsid w:val="00EE2F42"/>
    <w:rsid w:val="00EE362F"/>
    <w:rsid w:val="00EE3843"/>
    <w:rsid w:val="00EE4322"/>
    <w:rsid w:val="00EE48DE"/>
    <w:rsid w:val="00EE5A0B"/>
    <w:rsid w:val="00EE5CD1"/>
    <w:rsid w:val="00EE61C5"/>
    <w:rsid w:val="00EF0959"/>
    <w:rsid w:val="00EF0B5B"/>
    <w:rsid w:val="00EF0CBC"/>
    <w:rsid w:val="00EF0E19"/>
    <w:rsid w:val="00EF15F1"/>
    <w:rsid w:val="00EF29F0"/>
    <w:rsid w:val="00EF3F08"/>
    <w:rsid w:val="00EF3FD2"/>
    <w:rsid w:val="00EF4CE5"/>
    <w:rsid w:val="00EF5003"/>
    <w:rsid w:val="00EF6A03"/>
    <w:rsid w:val="00EF71D3"/>
    <w:rsid w:val="00EF73A2"/>
    <w:rsid w:val="00F00911"/>
    <w:rsid w:val="00F00B5E"/>
    <w:rsid w:val="00F00D70"/>
    <w:rsid w:val="00F01A97"/>
    <w:rsid w:val="00F02D81"/>
    <w:rsid w:val="00F02F8E"/>
    <w:rsid w:val="00F02FE6"/>
    <w:rsid w:val="00F03438"/>
    <w:rsid w:val="00F037E4"/>
    <w:rsid w:val="00F042CC"/>
    <w:rsid w:val="00F0437C"/>
    <w:rsid w:val="00F051BE"/>
    <w:rsid w:val="00F053C6"/>
    <w:rsid w:val="00F05AA7"/>
    <w:rsid w:val="00F07162"/>
    <w:rsid w:val="00F07EA5"/>
    <w:rsid w:val="00F10332"/>
    <w:rsid w:val="00F10B23"/>
    <w:rsid w:val="00F10E88"/>
    <w:rsid w:val="00F1119D"/>
    <w:rsid w:val="00F114AE"/>
    <w:rsid w:val="00F118DE"/>
    <w:rsid w:val="00F1195B"/>
    <w:rsid w:val="00F12107"/>
    <w:rsid w:val="00F13151"/>
    <w:rsid w:val="00F13227"/>
    <w:rsid w:val="00F13C11"/>
    <w:rsid w:val="00F13C17"/>
    <w:rsid w:val="00F13CB1"/>
    <w:rsid w:val="00F14DDC"/>
    <w:rsid w:val="00F1507A"/>
    <w:rsid w:val="00F15546"/>
    <w:rsid w:val="00F15933"/>
    <w:rsid w:val="00F15CE6"/>
    <w:rsid w:val="00F16D9B"/>
    <w:rsid w:val="00F17212"/>
    <w:rsid w:val="00F17920"/>
    <w:rsid w:val="00F17EF0"/>
    <w:rsid w:val="00F20D89"/>
    <w:rsid w:val="00F215E2"/>
    <w:rsid w:val="00F21660"/>
    <w:rsid w:val="00F21923"/>
    <w:rsid w:val="00F21FFC"/>
    <w:rsid w:val="00F22BB3"/>
    <w:rsid w:val="00F22D2A"/>
    <w:rsid w:val="00F2378A"/>
    <w:rsid w:val="00F250DF"/>
    <w:rsid w:val="00F257B6"/>
    <w:rsid w:val="00F259EB"/>
    <w:rsid w:val="00F26122"/>
    <w:rsid w:val="00F27952"/>
    <w:rsid w:val="00F30CC9"/>
    <w:rsid w:val="00F30F90"/>
    <w:rsid w:val="00F313A9"/>
    <w:rsid w:val="00F3159D"/>
    <w:rsid w:val="00F3190B"/>
    <w:rsid w:val="00F3387D"/>
    <w:rsid w:val="00F345C9"/>
    <w:rsid w:val="00F34B49"/>
    <w:rsid w:val="00F34C1A"/>
    <w:rsid w:val="00F34FAB"/>
    <w:rsid w:val="00F36E3F"/>
    <w:rsid w:val="00F36FB5"/>
    <w:rsid w:val="00F37275"/>
    <w:rsid w:val="00F372AE"/>
    <w:rsid w:val="00F376E9"/>
    <w:rsid w:val="00F4005D"/>
    <w:rsid w:val="00F40246"/>
    <w:rsid w:val="00F40A6D"/>
    <w:rsid w:val="00F40C2C"/>
    <w:rsid w:val="00F40CA9"/>
    <w:rsid w:val="00F4100E"/>
    <w:rsid w:val="00F41422"/>
    <w:rsid w:val="00F41549"/>
    <w:rsid w:val="00F41837"/>
    <w:rsid w:val="00F420F9"/>
    <w:rsid w:val="00F43CA0"/>
    <w:rsid w:val="00F43EE0"/>
    <w:rsid w:val="00F44327"/>
    <w:rsid w:val="00F4463B"/>
    <w:rsid w:val="00F44A26"/>
    <w:rsid w:val="00F45192"/>
    <w:rsid w:val="00F45429"/>
    <w:rsid w:val="00F45A86"/>
    <w:rsid w:val="00F50D64"/>
    <w:rsid w:val="00F50F1A"/>
    <w:rsid w:val="00F51826"/>
    <w:rsid w:val="00F51BB1"/>
    <w:rsid w:val="00F525FE"/>
    <w:rsid w:val="00F53503"/>
    <w:rsid w:val="00F542CD"/>
    <w:rsid w:val="00F54B2E"/>
    <w:rsid w:val="00F54BB8"/>
    <w:rsid w:val="00F54BCC"/>
    <w:rsid w:val="00F55030"/>
    <w:rsid w:val="00F55288"/>
    <w:rsid w:val="00F563E1"/>
    <w:rsid w:val="00F5688E"/>
    <w:rsid w:val="00F56DD2"/>
    <w:rsid w:val="00F601BE"/>
    <w:rsid w:val="00F601E9"/>
    <w:rsid w:val="00F606CC"/>
    <w:rsid w:val="00F60880"/>
    <w:rsid w:val="00F608CB"/>
    <w:rsid w:val="00F60A58"/>
    <w:rsid w:val="00F60B77"/>
    <w:rsid w:val="00F61183"/>
    <w:rsid w:val="00F619A4"/>
    <w:rsid w:val="00F63948"/>
    <w:rsid w:val="00F640E6"/>
    <w:rsid w:val="00F65A77"/>
    <w:rsid w:val="00F66088"/>
    <w:rsid w:val="00F704C1"/>
    <w:rsid w:val="00F71410"/>
    <w:rsid w:val="00F71C67"/>
    <w:rsid w:val="00F724C6"/>
    <w:rsid w:val="00F73704"/>
    <w:rsid w:val="00F74439"/>
    <w:rsid w:val="00F74B36"/>
    <w:rsid w:val="00F74BB0"/>
    <w:rsid w:val="00F74DCA"/>
    <w:rsid w:val="00F74F5C"/>
    <w:rsid w:val="00F74FD1"/>
    <w:rsid w:val="00F75547"/>
    <w:rsid w:val="00F761F6"/>
    <w:rsid w:val="00F7696F"/>
    <w:rsid w:val="00F77091"/>
    <w:rsid w:val="00F7737F"/>
    <w:rsid w:val="00F80069"/>
    <w:rsid w:val="00F8096B"/>
    <w:rsid w:val="00F816A1"/>
    <w:rsid w:val="00F81B7C"/>
    <w:rsid w:val="00F8209B"/>
    <w:rsid w:val="00F8255A"/>
    <w:rsid w:val="00F825F9"/>
    <w:rsid w:val="00F82FD1"/>
    <w:rsid w:val="00F83074"/>
    <w:rsid w:val="00F8448A"/>
    <w:rsid w:val="00F85489"/>
    <w:rsid w:val="00F858E6"/>
    <w:rsid w:val="00F85D5D"/>
    <w:rsid w:val="00F8608B"/>
    <w:rsid w:val="00F86B15"/>
    <w:rsid w:val="00F86F83"/>
    <w:rsid w:val="00F86FDF"/>
    <w:rsid w:val="00F90107"/>
    <w:rsid w:val="00F9023C"/>
    <w:rsid w:val="00F9038A"/>
    <w:rsid w:val="00F92477"/>
    <w:rsid w:val="00F9250F"/>
    <w:rsid w:val="00F9286A"/>
    <w:rsid w:val="00F934E9"/>
    <w:rsid w:val="00F945B9"/>
    <w:rsid w:val="00F95E05"/>
    <w:rsid w:val="00F96A4E"/>
    <w:rsid w:val="00F96CF7"/>
    <w:rsid w:val="00F978C2"/>
    <w:rsid w:val="00F97CD9"/>
    <w:rsid w:val="00F97F35"/>
    <w:rsid w:val="00FA0562"/>
    <w:rsid w:val="00FA0576"/>
    <w:rsid w:val="00FA0866"/>
    <w:rsid w:val="00FA0998"/>
    <w:rsid w:val="00FA1392"/>
    <w:rsid w:val="00FA1C04"/>
    <w:rsid w:val="00FA1F85"/>
    <w:rsid w:val="00FA2418"/>
    <w:rsid w:val="00FA3DA0"/>
    <w:rsid w:val="00FA5131"/>
    <w:rsid w:val="00FA6F5A"/>
    <w:rsid w:val="00FA7A3A"/>
    <w:rsid w:val="00FB007D"/>
    <w:rsid w:val="00FB0C53"/>
    <w:rsid w:val="00FB0FDB"/>
    <w:rsid w:val="00FB2662"/>
    <w:rsid w:val="00FB29F4"/>
    <w:rsid w:val="00FB34F2"/>
    <w:rsid w:val="00FB4B25"/>
    <w:rsid w:val="00FB50B4"/>
    <w:rsid w:val="00FB75E6"/>
    <w:rsid w:val="00FB795B"/>
    <w:rsid w:val="00FC0A2A"/>
    <w:rsid w:val="00FC0E31"/>
    <w:rsid w:val="00FC1966"/>
    <w:rsid w:val="00FC1CE9"/>
    <w:rsid w:val="00FC224C"/>
    <w:rsid w:val="00FC2F2D"/>
    <w:rsid w:val="00FC34C1"/>
    <w:rsid w:val="00FC3D5B"/>
    <w:rsid w:val="00FC4526"/>
    <w:rsid w:val="00FC4AC5"/>
    <w:rsid w:val="00FC4B1E"/>
    <w:rsid w:val="00FC5235"/>
    <w:rsid w:val="00FC53A3"/>
    <w:rsid w:val="00FC54B6"/>
    <w:rsid w:val="00FC597A"/>
    <w:rsid w:val="00FC6039"/>
    <w:rsid w:val="00FC632A"/>
    <w:rsid w:val="00FC6368"/>
    <w:rsid w:val="00FC7FAB"/>
    <w:rsid w:val="00FD093C"/>
    <w:rsid w:val="00FD0A25"/>
    <w:rsid w:val="00FD14B6"/>
    <w:rsid w:val="00FD1A15"/>
    <w:rsid w:val="00FD2918"/>
    <w:rsid w:val="00FD34D2"/>
    <w:rsid w:val="00FD384F"/>
    <w:rsid w:val="00FD3B16"/>
    <w:rsid w:val="00FD4B97"/>
    <w:rsid w:val="00FD502C"/>
    <w:rsid w:val="00FD5158"/>
    <w:rsid w:val="00FD5595"/>
    <w:rsid w:val="00FD56C6"/>
    <w:rsid w:val="00FD5AC2"/>
    <w:rsid w:val="00FD5CEB"/>
    <w:rsid w:val="00FD63FD"/>
    <w:rsid w:val="00FD64A1"/>
    <w:rsid w:val="00FD66AA"/>
    <w:rsid w:val="00FD70A6"/>
    <w:rsid w:val="00FD7B72"/>
    <w:rsid w:val="00FE009F"/>
    <w:rsid w:val="00FE09D4"/>
    <w:rsid w:val="00FE0A66"/>
    <w:rsid w:val="00FE0C80"/>
    <w:rsid w:val="00FE0ECE"/>
    <w:rsid w:val="00FE1770"/>
    <w:rsid w:val="00FE1F37"/>
    <w:rsid w:val="00FE2E42"/>
    <w:rsid w:val="00FE38E5"/>
    <w:rsid w:val="00FE399E"/>
    <w:rsid w:val="00FE39F5"/>
    <w:rsid w:val="00FE4441"/>
    <w:rsid w:val="00FE4544"/>
    <w:rsid w:val="00FE4E24"/>
    <w:rsid w:val="00FE55EB"/>
    <w:rsid w:val="00FE60C3"/>
    <w:rsid w:val="00FE61B4"/>
    <w:rsid w:val="00FE6231"/>
    <w:rsid w:val="00FE637A"/>
    <w:rsid w:val="00FE6550"/>
    <w:rsid w:val="00FE68B5"/>
    <w:rsid w:val="00FE6DE9"/>
    <w:rsid w:val="00FE796C"/>
    <w:rsid w:val="00FE7E3C"/>
    <w:rsid w:val="00FF0A67"/>
    <w:rsid w:val="00FF0C86"/>
    <w:rsid w:val="00FF1367"/>
    <w:rsid w:val="00FF1BB4"/>
    <w:rsid w:val="00FF265B"/>
    <w:rsid w:val="00FF3C9C"/>
    <w:rsid w:val="00FF59C0"/>
    <w:rsid w:val="00FF64E8"/>
    <w:rsid w:val="00FF6AFD"/>
    <w:rsid w:val="00FF7128"/>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4257">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547D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9"/>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9B1CA4"/>
    <w:pPr>
      <w:tabs>
        <w:tab w:val="left" w:pos="400"/>
        <w:tab w:val="right" w:leader="dot" w:pos="9016"/>
      </w:tabs>
      <w:spacing w:before="240" w:after="120"/>
      <w:jc w:val="left"/>
    </w:pPr>
    <w:rPr>
      <w:rFonts w:ascii="Arial" w:hAnsi="Arial" w:cs="Arial"/>
      <w:b/>
      <w:bCs/>
      <w:noProof/>
    </w:rPr>
  </w:style>
  <w:style w:type="paragraph" w:styleId="TOC2">
    <w:name w:val="toc 2"/>
    <w:basedOn w:val="Normal"/>
    <w:next w:val="Normal"/>
    <w:autoRedefine/>
    <w:uiPriority w:val="39"/>
    <w:unhideWhenUsed/>
    <w:qFormat/>
    <w:rsid w:val="00D704BD"/>
    <w:pPr>
      <w:tabs>
        <w:tab w:val="left" w:pos="800"/>
        <w:tab w:val="right" w:leader="dot" w:pos="9016"/>
      </w:tabs>
      <w:spacing w:before="120" w:after="0"/>
      <w:ind w:left="200"/>
      <w:jc w:val="left"/>
    </w:pPr>
    <w:rPr>
      <w:rFonts w:ascii="Arial" w:hAnsi="Arial" w:cs="Arial"/>
      <w:iCs/>
      <w:noProof/>
    </w:rPr>
  </w:style>
  <w:style w:type="paragraph" w:styleId="TOC3">
    <w:name w:val="toc 3"/>
    <w:basedOn w:val="Normal"/>
    <w:next w:val="Normal"/>
    <w:autoRedefine/>
    <w:uiPriority w:val="39"/>
    <w:unhideWhenUsed/>
    <w:qFormat/>
    <w:rsid w:val="009B1CA4"/>
    <w:pPr>
      <w:tabs>
        <w:tab w:val="left" w:pos="1200"/>
        <w:tab w:val="right" w:leader="dot" w:pos="9016"/>
      </w:tabs>
      <w:spacing w:after="0"/>
      <w:ind w:left="400"/>
      <w:jc w:val="left"/>
    </w:pPr>
    <w:rPr>
      <w:rFonts w:ascii="Arial" w:hAnsi="Arial" w:cs="Arial"/>
      <w:b/>
      <w:noProof/>
    </w:r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 w:type="paragraph" w:styleId="ListBullet">
    <w:name w:val="List Bullet"/>
    <w:basedOn w:val="Normal"/>
    <w:uiPriority w:val="99"/>
    <w:semiHidden/>
    <w:unhideWhenUsed/>
    <w:locked/>
    <w:rsid w:val="00746797"/>
    <w:pPr>
      <w:tabs>
        <w:tab w:val="num" w:pos="0"/>
      </w:tabs>
      <w:contextualSpacing/>
    </w:pPr>
  </w:style>
  <w:style w:type="paragraph" w:styleId="Quote">
    <w:name w:val="Quote"/>
    <w:basedOn w:val="Normal"/>
    <w:next w:val="Normal"/>
    <w:link w:val="QuoteChar"/>
    <w:uiPriority w:val="29"/>
    <w:unhideWhenUsed/>
    <w:qFormat/>
    <w:rsid w:val="007749FC"/>
    <w:rPr>
      <w:i/>
      <w:iCs/>
      <w:color w:val="000000"/>
    </w:rPr>
  </w:style>
  <w:style w:type="character" w:customStyle="1" w:styleId="QuoteChar">
    <w:name w:val="Quote Char"/>
    <w:basedOn w:val="DefaultParagraphFont"/>
    <w:link w:val="Quote"/>
    <w:uiPriority w:val="29"/>
    <w:rsid w:val="007749FC"/>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7"/>
      </w:numPr>
    </w:pPr>
  </w:style>
  <w:style w:type="numbering" w:customStyle="1" w:styleId="Heading2Char">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614314">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 w:id="15772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hyperlink" Target="mailto:publishing.unit@accc.gov.au"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1DA6-E592-4228-900A-BD5F8DF2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67068CAC</Template>
  <TotalTime>946</TotalTime>
  <Pages>35</Pages>
  <Words>8816</Words>
  <Characters>50254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58953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Yap, Kenny</cp:lastModifiedBy>
  <cp:revision>53</cp:revision>
  <cp:lastPrinted>2014-10-01T07:18:00Z</cp:lastPrinted>
  <dcterms:created xsi:type="dcterms:W3CDTF">2014-12-10T00:02:00Z</dcterms:created>
  <dcterms:modified xsi:type="dcterms:W3CDTF">2015-01-29T03:35:00Z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8345098</vt:lpwstr>
  </property>
  <property fmtid="{D5CDD505-2E9C-101B-9397-08002B2CF9AE}" pid="3" name="currfile">
    <vt:lpwstr>\\cdchnas-evs02\home$\kyap\20150123 - 3.1.4 - transmission ptrm handbook - january 2015 - appendix c (D2014-00193146).docx</vt:lpwstr>
  </property>
</Properties>
</file>