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B61575" w:rsidP="003B42C3">
      <w:pPr>
        <w:pStyle w:val="AERReference"/>
      </w:pPr>
      <w:r>
        <w:rPr>
          <w:noProof/>
          <w:lang w:val="en-AU"/>
        </w:rPr>
        <w:drawing>
          <wp:anchor distT="0" distB="0" distL="114300" distR="114300" simplePos="0" relativeHeight="251658240" behindDoc="0" locked="0" layoutInCell="1" allowOverlap="1" wp14:anchorId="1253B38C" wp14:editId="301BC346">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0" w:name="OurRef"/>
      <w:bookmarkEnd w:id="0"/>
      <w:r w:rsidR="00B61575">
        <w:t>60457</w:t>
      </w:r>
      <w:r>
        <w:tab/>
      </w:r>
      <w:bookmarkStart w:id="1" w:name="YourRef"/>
      <w:bookmarkEnd w:id="1"/>
    </w:p>
    <w:p w:rsidR="003B42C3" w:rsidRDefault="003B42C3" w:rsidP="003B42C3">
      <w:pPr>
        <w:pStyle w:val="AERReference"/>
      </w:pPr>
      <w:r>
        <w:t>Contact Officer:</w:t>
      </w:r>
      <w:r>
        <w:tab/>
      </w:r>
      <w:bookmarkStart w:id="2" w:name="ContactOfficer"/>
      <w:bookmarkEnd w:id="2"/>
      <w:r w:rsidR="00B61575">
        <w:t>Susan Faulbaum</w:t>
      </w:r>
    </w:p>
    <w:p w:rsidR="003B42C3" w:rsidRDefault="003B42C3" w:rsidP="003B42C3">
      <w:pPr>
        <w:pStyle w:val="AERReference"/>
      </w:pPr>
      <w:r>
        <w:t>Contact Phone:</w:t>
      </w:r>
      <w:r>
        <w:tab/>
      </w:r>
      <w:bookmarkStart w:id="3" w:name="ContactPhone"/>
      <w:bookmarkEnd w:id="3"/>
      <w:r w:rsidR="00B61575">
        <w:t>08 8213 3463</w:t>
      </w:r>
    </w:p>
    <w:p w:rsidR="003B42C3" w:rsidRDefault="003B42C3" w:rsidP="003B42C3">
      <w:pPr>
        <w:pStyle w:val="AERReference"/>
        <w:rPr>
          <w:rFonts w:ascii="Times New Roman" w:hAnsi="Times New Roman"/>
        </w:rPr>
      </w:pPr>
    </w:p>
    <w:p w:rsidR="003B42C3" w:rsidRDefault="00972F31" w:rsidP="003B42C3">
      <w:pPr>
        <w:pStyle w:val="AERReference"/>
      </w:pPr>
      <w:bookmarkStart w:id="4" w:name="Date"/>
      <w:bookmarkEnd w:id="4"/>
      <w:r>
        <w:t xml:space="preserve">24 </w:t>
      </w:r>
      <w:r w:rsidR="00B61575">
        <w:t>January 2017</w:t>
      </w:r>
    </w:p>
    <w:p w:rsidR="003B42C3" w:rsidRDefault="003B42C3" w:rsidP="003B42C3">
      <w:pPr>
        <w:pStyle w:val="AERReference"/>
      </w:pPr>
    </w:p>
    <w:p w:rsidR="00EB6ECA" w:rsidRDefault="00EB6ECA" w:rsidP="00EB6ECA">
      <w:pPr>
        <w:pStyle w:val="AERReference"/>
      </w:pPr>
      <w:bookmarkStart w:id="5" w:name="Recipient"/>
      <w:bookmarkEnd w:id="5"/>
    </w:p>
    <w:p w:rsidR="003B42C3" w:rsidRDefault="003B42C3" w:rsidP="003B42C3">
      <w:pPr>
        <w:pStyle w:val="AERReference"/>
      </w:pPr>
    </w:p>
    <w:p w:rsidR="003B42C3" w:rsidRDefault="003B42C3" w:rsidP="003B42C3">
      <w:pPr>
        <w:pStyle w:val="AERReference"/>
      </w:pPr>
    </w:p>
    <w:p w:rsidR="003B42C3" w:rsidRDefault="003B42C3" w:rsidP="003B42C3">
      <w:r>
        <w:t xml:space="preserve">Dear </w:t>
      </w:r>
      <w:bookmarkStart w:id="6" w:name="Salutation"/>
      <w:bookmarkEnd w:id="6"/>
      <w:r w:rsidR="00B61575">
        <w:t>Mr Hague</w:t>
      </w:r>
    </w:p>
    <w:p w:rsidR="008C0982" w:rsidRDefault="008C0982" w:rsidP="003B42C3">
      <w:pPr>
        <w:pStyle w:val="AERtopic"/>
      </w:pPr>
    </w:p>
    <w:p w:rsidR="003B42C3" w:rsidRDefault="003B42C3" w:rsidP="003B42C3">
      <w:pPr>
        <w:pStyle w:val="AERtopic"/>
      </w:pPr>
      <w:r>
        <w:t xml:space="preserve">Re: </w:t>
      </w:r>
      <w:bookmarkStart w:id="7" w:name="Subject"/>
      <w:bookmarkEnd w:id="7"/>
      <w:proofErr w:type="spellStart"/>
      <w:r w:rsidR="00B61575">
        <w:t>Ultium</w:t>
      </w:r>
      <w:proofErr w:type="spellEnd"/>
      <w:r w:rsidR="00B61575">
        <w:t xml:space="preserve"> Energy Pty Ltd application for electricity retailer authorisation</w:t>
      </w:r>
    </w:p>
    <w:p w:rsidR="003B42C3" w:rsidRDefault="003B42C3" w:rsidP="005B3050"/>
    <w:p w:rsidR="00632D42" w:rsidRDefault="00632D42" w:rsidP="00632D42">
      <w:r>
        <w:t>I refer to your application of 8 November 2016 for an electricity retailer authorisation under the National Energy Retail Law (</w:t>
      </w:r>
      <w:r w:rsidRPr="0016186A">
        <w:rPr>
          <w:rStyle w:val="Strong"/>
        </w:rPr>
        <w:t>Retail Law</w:t>
      </w:r>
      <w:r>
        <w:t xml:space="preserve">) for </w:t>
      </w:r>
      <w:proofErr w:type="spellStart"/>
      <w:r>
        <w:t>Ultium</w:t>
      </w:r>
      <w:proofErr w:type="spellEnd"/>
      <w:r>
        <w:t xml:space="preserve"> Energy Pty Ltd (ACN 611 028 230)</w:t>
      </w:r>
      <w:r w:rsidR="008F2557">
        <w:t xml:space="preserve"> </w:t>
      </w:r>
      <w:r>
        <w:t>(</w:t>
      </w:r>
      <w:proofErr w:type="spellStart"/>
      <w:r w:rsidRPr="00A8796B">
        <w:rPr>
          <w:rStyle w:val="Strong"/>
        </w:rPr>
        <w:t>Ultium</w:t>
      </w:r>
      <w:proofErr w:type="spellEnd"/>
      <w:r>
        <w:t>).</w:t>
      </w:r>
    </w:p>
    <w:p w:rsidR="00632D42" w:rsidRDefault="00632D42" w:rsidP="00632D42"/>
    <w:p w:rsidR="00632D42" w:rsidRDefault="00632D42" w:rsidP="00632D42">
      <w:r>
        <w:t>On 24 January 2017</w:t>
      </w:r>
      <w:r w:rsidR="007E4233">
        <w:t>,</w:t>
      </w:r>
      <w:r>
        <w:t xml:space="preserve"> </w:t>
      </w:r>
      <w:r w:rsidR="003E7868" w:rsidRPr="00B30A7C">
        <w:t>in accordance with s</w:t>
      </w:r>
      <w:r w:rsidR="003E7868">
        <w:t xml:space="preserve">ection </w:t>
      </w:r>
      <w:r w:rsidR="003E7868" w:rsidRPr="00B30A7C">
        <w:t>92 of the Retail Law</w:t>
      </w:r>
      <w:r w:rsidR="003E7868">
        <w:t xml:space="preserve">, </w:t>
      </w:r>
      <w:r>
        <w:t xml:space="preserve">the </w:t>
      </w:r>
      <w:r w:rsidR="008F2557">
        <w:t>Australian Energy Regulator (</w:t>
      </w:r>
      <w:r w:rsidRPr="001138CA">
        <w:rPr>
          <w:rStyle w:val="Strong"/>
        </w:rPr>
        <w:t>AER</w:t>
      </w:r>
      <w:r w:rsidR="008F2557">
        <w:t>)</w:t>
      </w:r>
      <w:r>
        <w:t xml:space="preserve"> considered </w:t>
      </w:r>
      <w:proofErr w:type="spellStart"/>
      <w:r w:rsidR="00BB6F19">
        <w:t>Ultium's</w:t>
      </w:r>
      <w:proofErr w:type="spellEnd"/>
      <w:r w:rsidR="00BB6F19">
        <w:t xml:space="preserve"> </w:t>
      </w:r>
      <w:r w:rsidR="00C01FAC">
        <w:t xml:space="preserve">application </w:t>
      </w:r>
      <w:r w:rsidR="003E7868">
        <w:t>a</w:t>
      </w:r>
      <w:r w:rsidR="00C01FAC">
        <w:t xml:space="preserve">nd decided </w:t>
      </w:r>
      <w:r w:rsidR="00AF3067">
        <w:t xml:space="preserve">to refuse it because </w:t>
      </w:r>
      <w:r w:rsidR="00C01FAC">
        <w:t xml:space="preserve">it </w:t>
      </w:r>
      <w:r w:rsidR="00BB6F19">
        <w:t xml:space="preserve">does </w:t>
      </w:r>
      <w:r w:rsidR="00C01FAC">
        <w:t>not</w:t>
      </w:r>
      <w:r w:rsidR="00295AAD">
        <w:t xml:space="preserve"> satisfy the entry criteria</w:t>
      </w:r>
      <w:r w:rsidR="00BB6F19">
        <w:t xml:space="preserve"> in section 90(1)</w:t>
      </w:r>
      <w:r w:rsidR="00C01FAC">
        <w:t xml:space="preserve">. </w:t>
      </w:r>
      <w:r w:rsidR="00AF3067">
        <w:t xml:space="preserve">Section 97(1) of </w:t>
      </w:r>
      <w:r>
        <w:t>the Retail Law</w:t>
      </w:r>
      <w:r w:rsidR="00AF3067">
        <w:t xml:space="preserve"> states that</w:t>
      </w:r>
      <w:r>
        <w:t xml:space="preserve"> if the AER decides </w:t>
      </w:r>
      <w:r w:rsidRPr="006E02D4">
        <w:t xml:space="preserve">to refuse an application for </w:t>
      </w:r>
      <w:r>
        <w:t>a retailer authorisation</w:t>
      </w:r>
      <w:r w:rsidRPr="006E02D4">
        <w:t>, it must, as soon as practicable, give the applicant a notice stating the decision</w:t>
      </w:r>
      <w:r>
        <w:t>, the reasons for the decision and indicating whether, and (if so), how the entry criteria were not satisfied or will not be satisfied.</w:t>
      </w:r>
      <w:r w:rsidR="00AF3067">
        <w:t xml:space="preserve"> Accordingly, this correspondence is the AER's notice for the purposes of section 97(1) of the Retail Law.</w:t>
      </w:r>
      <w:r w:rsidR="00AF3067" w:rsidDel="00AF3067">
        <w:rPr>
          <w:rStyle w:val="FootnoteReference"/>
        </w:rPr>
        <w:t xml:space="preserve"> </w:t>
      </w:r>
    </w:p>
    <w:p w:rsidR="007E4233" w:rsidRDefault="007E4233" w:rsidP="00D46A02"/>
    <w:p w:rsidR="00295AAD" w:rsidRPr="00295AAD" w:rsidRDefault="00295AAD" w:rsidP="00D46A02">
      <w:pPr>
        <w:rPr>
          <w:rStyle w:val="Strong"/>
        </w:rPr>
      </w:pPr>
      <w:r w:rsidRPr="00295AAD">
        <w:rPr>
          <w:rStyle w:val="Strong"/>
        </w:rPr>
        <w:t>Background</w:t>
      </w:r>
    </w:p>
    <w:p w:rsidR="00295AAD" w:rsidRDefault="00295AAD" w:rsidP="00D46A02"/>
    <w:p w:rsidR="00632D42" w:rsidRDefault="00C01FAC" w:rsidP="00D46A02">
      <w:r>
        <w:t xml:space="preserve">In July 2016 </w:t>
      </w:r>
      <w:proofErr w:type="spellStart"/>
      <w:r>
        <w:t>Ultium</w:t>
      </w:r>
      <w:proofErr w:type="spellEnd"/>
      <w:r>
        <w:t xml:space="preserve"> submitted an application for </w:t>
      </w:r>
      <w:r w:rsidR="003E7868">
        <w:t xml:space="preserve">a </w:t>
      </w:r>
      <w:r>
        <w:t xml:space="preserve">retailer authorisation. After providing feedback and seeking further information, the AER published the application on 25 October 2016. </w:t>
      </w:r>
      <w:r w:rsidR="00103F23">
        <w:t>Three d</w:t>
      </w:r>
      <w:r>
        <w:t xml:space="preserve">ays after publishing </w:t>
      </w:r>
      <w:proofErr w:type="spellStart"/>
      <w:r w:rsidR="00103F23">
        <w:t>Ultium's</w:t>
      </w:r>
      <w:proofErr w:type="spellEnd"/>
      <w:r w:rsidR="00103F23">
        <w:t xml:space="preserve"> application </w:t>
      </w:r>
      <w:r>
        <w:t xml:space="preserve">and commencing </w:t>
      </w:r>
      <w:r w:rsidR="008F6B87">
        <w:t xml:space="preserve">the public </w:t>
      </w:r>
      <w:r>
        <w:t>consultation</w:t>
      </w:r>
      <w:r w:rsidR="00CE3917">
        <w:t>,</w:t>
      </w:r>
      <w:r>
        <w:t xml:space="preserve"> </w:t>
      </w:r>
      <w:proofErr w:type="spellStart"/>
      <w:r>
        <w:t>Ultium</w:t>
      </w:r>
      <w:proofErr w:type="spellEnd"/>
      <w:r>
        <w:t xml:space="preserve"> advised </w:t>
      </w:r>
      <w:r w:rsidR="00AF3067">
        <w:t xml:space="preserve">the AER </w:t>
      </w:r>
      <w:r>
        <w:t xml:space="preserve">that </w:t>
      </w:r>
      <w:r w:rsidR="00AF3067">
        <w:t xml:space="preserve">its </w:t>
      </w:r>
      <w:r>
        <w:t xml:space="preserve">directorship had changed. The AER </w:t>
      </w:r>
      <w:r w:rsidR="008F6B87">
        <w:t>considered</w:t>
      </w:r>
      <w:r>
        <w:t xml:space="preserve"> this was a material change </w:t>
      </w:r>
      <w:r w:rsidR="008F6B87">
        <w:t xml:space="preserve">and asked </w:t>
      </w:r>
      <w:proofErr w:type="spellStart"/>
      <w:r>
        <w:t>Ultium</w:t>
      </w:r>
      <w:proofErr w:type="spellEnd"/>
      <w:r>
        <w:t xml:space="preserve"> to withdraw the application and submit a new </w:t>
      </w:r>
      <w:r w:rsidR="00AF3067">
        <w:t xml:space="preserve">application detailing </w:t>
      </w:r>
      <w:r>
        <w:t>the revised ownership structure.</w:t>
      </w:r>
      <w:r w:rsidR="008953C5">
        <w:t xml:space="preserve"> </w:t>
      </w:r>
      <w:proofErr w:type="spellStart"/>
      <w:r w:rsidR="008953C5">
        <w:t>Ultium</w:t>
      </w:r>
      <w:proofErr w:type="spellEnd"/>
      <w:r w:rsidR="008953C5">
        <w:t xml:space="preserve"> submitted a revised applica</w:t>
      </w:r>
      <w:r w:rsidR="007E4233">
        <w:t xml:space="preserve">tion on 7 November </w:t>
      </w:r>
      <w:r w:rsidR="008953C5">
        <w:t xml:space="preserve">2016 which </w:t>
      </w:r>
      <w:r w:rsidR="00AF3067">
        <w:t xml:space="preserve">the AER </w:t>
      </w:r>
      <w:r w:rsidR="008953C5">
        <w:t>published the next day.</w:t>
      </w:r>
      <w:r w:rsidR="003E7868">
        <w:t xml:space="preserve"> </w:t>
      </w:r>
    </w:p>
    <w:p w:rsidR="008953C5" w:rsidRDefault="008953C5" w:rsidP="00D46A02"/>
    <w:p w:rsidR="00182543" w:rsidRDefault="00182543" w:rsidP="00182543">
      <w:r>
        <w:t xml:space="preserve">AER staff also requested </w:t>
      </w:r>
      <w:proofErr w:type="spellStart"/>
      <w:r>
        <w:t>Ultium</w:t>
      </w:r>
      <w:proofErr w:type="spellEnd"/>
      <w:r>
        <w:t xml:space="preserve"> provide or resubmit certain information because its revised application did not provide all information required by the AER's Retailer Authorisation Guideline (</w:t>
      </w:r>
      <w:r>
        <w:rPr>
          <w:rStyle w:val="Strong"/>
        </w:rPr>
        <w:t>the Guideline</w:t>
      </w:r>
      <w:r>
        <w:t xml:space="preserve">). </w:t>
      </w:r>
      <w:proofErr w:type="spellStart"/>
      <w:r>
        <w:t>Ultium</w:t>
      </w:r>
      <w:proofErr w:type="spellEnd"/>
      <w:r>
        <w:t xml:space="preserve"> failed </w:t>
      </w:r>
      <w:r w:rsidR="00104F26">
        <w:t>to provide information to the AER to demonstrate to the AER that it satisfies the entry criteria as required by</w:t>
      </w:r>
      <w:r>
        <w:t xml:space="preserve"> section 90(2) of the Retail Law</w:t>
      </w:r>
      <w:r w:rsidR="005B5433">
        <w:t>.</w:t>
      </w:r>
      <w:bookmarkStart w:id="8" w:name="_GoBack"/>
      <w:bookmarkEnd w:id="8"/>
    </w:p>
    <w:p w:rsidR="00182543" w:rsidRDefault="00182543" w:rsidP="00182543"/>
    <w:p w:rsidR="008953C5" w:rsidRDefault="008953C5" w:rsidP="008953C5">
      <w:r>
        <w:t>During the consultation process</w:t>
      </w:r>
      <w:r w:rsidR="00AF3067">
        <w:t xml:space="preserve">, </w:t>
      </w:r>
      <w:r>
        <w:t xml:space="preserve">the AER received several </w:t>
      </w:r>
      <w:r w:rsidR="00AF3067">
        <w:t xml:space="preserve">submissions in </w:t>
      </w:r>
      <w:r w:rsidR="007E4233">
        <w:t>support</w:t>
      </w:r>
      <w:r w:rsidR="00AF3067">
        <w:t xml:space="preserve"> of</w:t>
      </w:r>
      <w:r w:rsidR="007E4233">
        <w:t xml:space="preserve"> </w:t>
      </w:r>
      <w:proofErr w:type="spellStart"/>
      <w:r w:rsidR="007E4233">
        <w:t>Ultium's</w:t>
      </w:r>
      <w:proofErr w:type="spellEnd"/>
      <w:r w:rsidR="007E4233">
        <w:t xml:space="preserve"> application</w:t>
      </w:r>
      <w:r w:rsidR="003B3339">
        <w:t xml:space="preserve">. The submissions </w:t>
      </w:r>
      <w:r w:rsidR="007E4233">
        <w:t xml:space="preserve">did not </w:t>
      </w:r>
      <w:r w:rsidR="00104F26">
        <w:t>provide any information that would demonstrate to the AER that</w:t>
      </w:r>
      <w:r w:rsidR="007E4233">
        <w:t xml:space="preserve"> </w:t>
      </w:r>
      <w:proofErr w:type="spellStart"/>
      <w:r w:rsidR="007E4233">
        <w:t>Ultium</w:t>
      </w:r>
      <w:proofErr w:type="spellEnd"/>
      <w:r w:rsidR="007E4233">
        <w:t xml:space="preserve"> satisfied the entry criteria</w:t>
      </w:r>
      <w:r>
        <w:t xml:space="preserve">. </w:t>
      </w:r>
      <w:r w:rsidR="003B3339">
        <w:t>The AER</w:t>
      </w:r>
      <w:r>
        <w:t xml:space="preserve"> also received </w:t>
      </w:r>
      <w:r>
        <w:lastRenderedPageBreak/>
        <w:t xml:space="preserve">a submission from </w:t>
      </w:r>
      <w:proofErr w:type="spellStart"/>
      <w:r>
        <w:t>Gadens</w:t>
      </w:r>
      <w:proofErr w:type="spellEnd"/>
      <w:r w:rsidR="00AF3067">
        <w:t xml:space="preserve"> Lawyers</w:t>
      </w:r>
      <w:r w:rsidR="000B3D69">
        <w:t>,</w:t>
      </w:r>
      <w:r w:rsidR="007E4233">
        <w:t xml:space="preserve"> </w:t>
      </w:r>
      <w:r>
        <w:t>on behalf of Locality Planning Energy (</w:t>
      </w:r>
      <w:r>
        <w:rPr>
          <w:rStyle w:val="Strong"/>
        </w:rPr>
        <w:t>LPE</w:t>
      </w:r>
      <w:r>
        <w:t xml:space="preserve">), </w:t>
      </w:r>
      <w:r w:rsidR="000B3D69">
        <w:t xml:space="preserve">detailing why </w:t>
      </w:r>
      <w:proofErr w:type="spellStart"/>
      <w:r w:rsidR="00AF3067">
        <w:t>Ultium's</w:t>
      </w:r>
      <w:proofErr w:type="spellEnd"/>
      <w:r w:rsidR="00AF3067">
        <w:t xml:space="preserve"> </w:t>
      </w:r>
      <w:r w:rsidR="000B3D69">
        <w:t>application should be refused. On 8 December</w:t>
      </w:r>
      <w:r w:rsidR="00921C3F">
        <w:t xml:space="preserve"> 2016,</w:t>
      </w:r>
      <w:r w:rsidR="000B3D69">
        <w:t xml:space="preserve"> </w:t>
      </w:r>
      <w:r w:rsidR="00AF3067">
        <w:t xml:space="preserve">AER staff provided </w:t>
      </w:r>
      <w:proofErr w:type="spellStart"/>
      <w:r>
        <w:t>Ultium</w:t>
      </w:r>
      <w:proofErr w:type="spellEnd"/>
      <w:r>
        <w:t xml:space="preserve"> </w:t>
      </w:r>
      <w:r w:rsidR="00AF3067">
        <w:t xml:space="preserve">with an </w:t>
      </w:r>
      <w:r>
        <w:t xml:space="preserve">opportunity to respond to LPE's </w:t>
      </w:r>
      <w:r w:rsidR="00AF3067">
        <w:t xml:space="preserve">submission </w:t>
      </w:r>
      <w:r>
        <w:t>and to provide any further informatio</w:t>
      </w:r>
      <w:r w:rsidR="000B3D69">
        <w:t>n in support of its application</w:t>
      </w:r>
      <w:r w:rsidR="00AF3067">
        <w:t>.</w:t>
      </w:r>
      <w:r w:rsidR="000B3D69">
        <w:t xml:space="preserve"> </w:t>
      </w:r>
      <w:proofErr w:type="spellStart"/>
      <w:r w:rsidR="00AF3067">
        <w:t>Ultium</w:t>
      </w:r>
      <w:proofErr w:type="spellEnd"/>
      <w:r w:rsidR="00AF3067">
        <w:t xml:space="preserve"> </w:t>
      </w:r>
      <w:r w:rsidR="007E4233">
        <w:t xml:space="preserve">responded on 16 December 2016. </w:t>
      </w:r>
      <w:r w:rsidR="00182543">
        <w:t xml:space="preserve">The AER published LPE's submission and </w:t>
      </w:r>
      <w:proofErr w:type="spellStart"/>
      <w:r w:rsidR="00182543">
        <w:t>Ultium's</w:t>
      </w:r>
      <w:proofErr w:type="spellEnd"/>
      <w:r w:rsidR="00182543">
        <w:t xml:space="preserve"> response on its website.</w:t>
      </w:r>
    </w:p>
    <w:p w:rsidR="008F6B87" w:rsidRDefault="008F6B87" w:rsidP="008953C5"/>
    <w:p w:rsidR="008F6B87" w:rsidRDefault="003B3339" w:rsidP="008953C5">
      <w:r>
        <w:t xml:space="preserve">LPE's submission made </w:t>
      </w:r>
      <w:r w:rsidR="005B5433">
        <w:t>some</w:t>
      </w:r>
      <w:r>
        <w:t xml:space="preserve"> allegations</w:t>
      </w:r>
      <w:r w:rsidR="005B5433">
        <w:t xml:space="preserve"> (to which </w:t>
      </w:r>
      <w:proofErr w:type="spellStart"/>
      <w:r w:rsidR="005B5433">
        <w:t>Ultium</w:t>
      </w:r>
      <w:proofErr w:type="spellEnd"/>
      <w:r w:rsidR="005B5433">
        <w:t xml:space="preserve"> responded)</w:t>
      </w:r>
      <w:r>
        <w:t xml:space="preserve"> </w:t>
      </w:r>
      <w:r w:rsidR="005B5433">
        <w:t xml:space="preserve">that </w:t>
      </w:r>
      <w:r>
        <w:t xml:space="preserve">are not relevant to the AER's assessment of </w:t>
      </w:r>
      <w:proofErr w:type="spellStart"/>
      <w:r>
        <w:t>Ultium's</w:t>
      </w:r>
      <w:proofErr w:type="spellEnd"/>
      <w:r>
        <w:t xml:space="preserve"> application against the entry criteria. </w:t>
      </w:r>
      <w:r w:rsidR="005B5433">
        <w:t>Accordingly, w</w:t>
      </w:r>
      <w:r>
        <w:t xml:space="preserve">hile the AER has </w:t>
      </w:r>
      <w:r w:rsidR="005B5433">
        <w:t xml:space="preserve">had </w:t>
      </w:r>
      <w:r>
        <w:t xml:space="preserve">regard to </w:t>
      </w:r>
      <w:r w:rsidR="005B5433">
        <w:t xml:space="preserve">all </w:t>
      </w:r>
      <w:r>
        <w:t>submissions</w:t>
      </w:r>
      <w:r w:rsidR="005B5433">
        <w:t xml:space="preserve"> received</w:t>
      </w:r>
      <w:r>
        <w:t xml:space="preserve">, it </w:t>
      </w:r>
      <w:r w:rsidR="005B5433">
        <w:t>has not needed to consider the merits of all claims made in those submissions</w:t>
      </w:r>
      <w:r>
        <w:t>.</w:t>
      </w:r>
    </w:p>
    <w:p w:rsidR="008953C5" w:rsidRDefault="008953C5" w:rsidP="00D46A02"/>
    <w:p w:rsidR="00632D42" w:rsidRDefault="00103247" w:rsidP="00D46A02">
      <w:pPr>
        <w:rPr>
          <w:rStyle w:val="Strong"/>
        </w:rPr>
      </w:pPr>
      <w:r w:rsidRPr="00103247">
        <w:rPr>
          <w:rStyle w:val="Strong"/>
        </w:rPr>
        <w:t>Reasons for decision</w:t>
      </w:r>
    </w:p>
    <w:p w:rsidR="005174FA" w:rsidRDefault="005174FA" w:rsidP="00D46A02"/>
    <w:p w:rsidR="00D46A02" w:rsidRDefault="005B5433" w:rsidP="00D46A02">
      <w:r>
        <w:t>As required by section 92(1) of the Retail Law, t</w:t>
      </w:r>
      <w:r w:rsidR="00681670">
        <w:t xml:space="preserve">he AER refused </w:t>
      </w:r>
      <w:proofErr w:type="spellStart"/>
      <w:r w:rsidR="00681670">
        <w:t>Ultium's</w:t>
      </w:r>
      <w:proofErr w:type="spellEnd"/>
      <w:r w:rsidR="00681670">
        <w:t xml:space="preserve"> </w:t>
      </w:r>
      <w:r w:rsidR="00450402">
        <w:t xml:space="preserve">application </w:t>
      </w:r>
      <w:r>
        <w:t xml:space="preserve">for a retailer authorisation </w:t>
      </w:r>
      <w:r w:rsidR="00681670">
        <w:t xml:space="preserve">because it </w:t>
      </w:r>
      <w:r>
        <w:t xml:space="preserve">is not satisfied the application </w:t>
      </w:r>
      <w:r w:rsidR="00450402">
        <w:t>satisf</w:t>
      </w:r>
      <w:r>
        <w:t>ies</w:t>
      </w:r>
      <w:r w:rsidR="00450402">
        <w:t xml:space="preserve"> the </w:t>
      </w:r>
      <w:r>
        <w:t xml:space="preserve">three entry </w:t>
      </w:r>
      <w:r w:rsidR="00450402">
        <w:t>criteria</w:t>
      </w:r>
      <w:r>
        <w:t xml:space="preserve"> in section 90(1) of the Retail Law</w:t>
      </w:r>
      <w:r w:rsidR="00450402">
        <w:t>:</w:t>
      </w:r>
    </w:p>
    <w:p w:rsidR="00CC1273" w:rsidRDefault="00CC1273" w:rsidP="00116FB0">
      <w:pPr>
        <w:pStyle w:val="Listalphabet2"/>
      </w:pPr>
      <w:r>
        <w:t>the organisational and technical capacity criterion;</w:t>
      </w:r>
    </w:p>
    <w:p w:rsidR="00CC1273" w:rsidRDefault="00CC1273" w:rsidP="00116FB0">
      <w:pPr>
        <w:pStyle w:val="Listalphabet2"/>
      </w:pPr>
      <w:r>
        <w:t>the financial and resources criterion;</w:t>
      </w:r>
    </w:p>
    <w:p w:rsidR="00CC1273" w:rsidRDefault="00CC1273" w:rsidP="00116FB0">
      <w:pPr>
        <w:pStyle w:val="Listalphabet2"/>
      </w:pPr>
      <w:proofErr w:type="gramStart"/>
      <w:r>
        <w:t>the</w:t>
      </w:r>
      <w:proofErr w:type="gramEnd"/>
      <w:r>
        <w:t xml:space="preserve"> suitability criterion.</w:t>
      </w:r>
    </w:p>
    <w:p w:rsidR="00681670" w:rsidRDefault="00D46A02" w:rsidP="00681670">
      <w:pPr>
        <w:pStyle w:val="Date"/>
      </w:pPr>
      <w:r>
        <w:rPr>
          <w:rStyle w:val="Strong"/>
        </w:rPr>
        <w:t>O</w:t>
      </w:r>
      <w:r w:rsidRPr="00DB3D87">
        <w:rPr>
          <w:rStyle w:val="Strong"/>
        </w:rPr>
        <w:t>rganisational and technical capacity</w:t>
      </w:r>
      <w:r>
        <w:t xml:space="preserve"> </w:t>
      </w:r>
    </w:p>
    <w:p w:rsidR="00681670" w:rsidRDefault="00681670" w:rsidP="00681670">
      <w:pPr>
        <w:pStyle w:val="Date"/>
      </w:pPr>
      <w:r>
        <w:t xml:space="preserve">This </w:t>
      </w:r>
      <w:r w:rsidRPr="00681670">
        <w:t xml:space="preserve">criterion </w:t>
      </w:r>
      <w:r>
        <w:t>goes to</w:t>
      </w:r>
      <w:r w:rsidRPr="00681670">
        <w:t xml:space="preserve"> the applicant’s industry experience, operational systems and staff expertise. Applicants should demonstrate their ability to comply with regulatory obligations under the energy laws and their ability to operate as an authorised retailer. Applicants’ risk management strategies and compliance strategies must be subject to an external assurance process.</w:t>
      </w:r>
    </w:p>
    <w:p w:rsidR="00D46A02" w:rsidRDefault="00CC1273" w:rsidP="00681670">
      <w:pPr>
        <w:pStyle w:val="Date"/>
      </w:pPr>
      <w:r>
        <w:t xml:space="preserve">According to </w:t>
      </w:r>
      <w:proofErr w:type="spellStart"/>
      <w:r>
        <w:t>Ultium's</w:t>
      </w:r>
      <w:proofErr w:type="spellEnd"/>
      <w:r>
        <w:t xml:space="preserve"> application, </w:t>
      </w:r>
      <w:r w:rsidR="00D46A02">
        <w:t>CEO Jason Hague has some energy market experience but his background is mostly town planning. Director Scott Juniper has no energy market experience.</w:t>
      </w:r>
      <w:r w:rsidR="00103F23">
        <w:t xml:space="preserve"> The application indicates that </w:t>
      </w:r>
      <w:proofErr w:type="spellStart"/>
      <w:r w:rsidR="00103F23">
        <w:t>Ultium</w:t>
      </w:r>
      <w:proofErr w:type="spellEnd"/>
      <w:r w:rsidR="00103F23">
        <w:t xml:space="preserve"> will bring in senior staff with relevant skills and expertise once it has been authorised,</w:t>
      </w:r>
      <w:r w:rsidR="00103F23" w:rsidRPr="00CC1273">
        <w:t xml:space="preserve"> </w:t>
      </w:r>
      <w:r w:rsidR="00103F23">
        <w:t>but does not explain how it will do so.</w:t>
      </w:r>
      <w:r w:rsidR="00D46A02">
        <w:t xml:space="preserve"> </w:t>
      </w:r>
    </w:p>
    <w:p w:rsidR="00846178" w:rsidRDefault="00D46A02" w:rsidP="00681670">
      <w:pPr>
        <w:pStyle w:val="Date"/>
      </w:pPr>
      <w:r>
        <w:t xml:space="preserve">The </w:t>
      </w:r>
      <w:r w:rsidR="00CC1273">
        <w:t xml:space="preserve">AER considered the </w:t>
      </w:r>
      <w:r>
        <w:t xml:space="preserve">information </w:t>
      </w:r>
      <w:proofErr w:type="spellStart"/>
      <w:r>
        <w:t>Ultium</w:t>
      </w:r>
      <w:proofErr w:type="spellEnd"/>
      <w:r>
        <w:t xml:space="preserve"> provided on </w:t>
      </w:r>
      <w:r w:rsidRPr="00B61575">
        <w:t xml:space="preserve">its compliance and risk management </w:t>
      </w:r>
      <w:r w:rsidR="00104F26">
        <w:t>failed to</w:t>
      </w:r>
      <w:r w:rsidRPr="00B61575">
        <w:t xml:space="preserve"> demonstrate an awareness of, and ability to manage, all of the relevant risks and obligations associated with being an authorised electricity retailer. </w:t>
      </w:r>
    </w:p>
    <w:p w:rsidR="005174FA" w:rsidRDefault="00846178" w:rsidP="00681670">
      <w:pPr>
        <w:pStyle w:val="Date"/>
      </w:pPr>
      <w:r>
        <w:t xml:space="preserve">The compliance strategy does not identify specific obligations or processes and the risk management strategy, while detailing certain risks, does not explain how they are identified, measured, evaluated, monitored, reported, controlled or mitigated. </w:t>
      </w:r>
    </w:p>
    <w:p w:rsidR="005174FA" w:rsidRDefault="00681670" w:rsidP="00681670">
      <w:pPr>
        <w:pStyle w:val="Date"/>
      </w:pPr>
      <w:proofErr w:type="spellStart"/>
      <w:r>
        <w:t>Ultium</w:t>
      </w:r>
      <w:proofErr w:type="spellEnd"/>
      <w:r>
        <w:t xml:space="preserve"> did not provide e</w:t>
      </w:r>
      <w:r w:rsidR="00D46A02" w:rsidRPr="00B61575">
        <w:t>vidence to show the</w:t>
      </w:r>
      <w:r w:rsidR="00116FB0">
        <w:t>se</w:t>
      </w:r>
      <w:r w:rsidR="00D46A02" w:rsidRPr="00B61575">
        <w:t xml:space="preserve"> strategies had been subject t</w:t>
      </w:r>
      <w:r>
        <w:t xml:space="preserve">o an external assurance process, </w:t>
      </w:r>
      <w:r w:rsidR="005174FA">
        <w:t xml:space="preserve">and it did not provide the required information </w:t>
      </w:r>
      <w:r w:rsidR="00104F26">
        <w:t>in relation to</w:t>
      </w:r>
      <w:r w:rsidR="005174FA">
        <w:t xml:space="preserve"> third parties, such as functions to be outsourced and the knowledge and technical capacity of those third parties.</w:t>
      </w:r>
      <w:r w:rsidR="00116FB0">
        <w:t xml:space="preserve"> The Guideline requires applicants to provide this evidence.</w:t>
      </w:r>
    </w:p>
    <w:p w:rsidR="00116FB0" w:rsidRPr="00116FB0" w:rsidRDefault="00116FB0" w:rsidP="001138CA">
      <w:r>
        <w:t xml:space="preserve">The AER is not satisfied </w:t>
      </w:r>
      <w:r w:rsidR="00104F26">
        <w:t xml:space="preserve">therefore that </w:t>
      </w:r>
      <w:proofErr w:type="spellStart"/>
      <w:r>
        <w:t>Ultium's</w:t>
      </w:r>
      <w:proofErr w:type="spellEnd"/>
      <w:r>
        <w:t xml:space="preserve"> application fully meets the organisational and technical capacity criterion.</w:t>
      </w:r>
    </w:p>
    <w:p w:rsidR="00972F31" w:rsidRDefault="00972F31" w:rsidP="00681670">
      <w:pPr>
        <w:pStyle w:val="Date"/>
        <w:rPr>
          <w:rStyle w:val="Strong"/>
        </w:rPr>
      </w:pPr>
    </w:p>
    <w:p w:rsidR="006C1655" w:rsidRDefault="006C1655" w:rsidP="00681670">
      <w:pPr>
        <w:pStyle w:val="Date"/>
        <w:rPr>
          <w:rStyle w:val="Strong"/>
        </w:rPr>
      </w:pPr>
    </w:p>
    <w:p w:rsidR="00681670" w:rsidRDefault="00D46A02" w:rsidP="00681670">
      <w:pPr>
        <w:pStyle w:val="Date"/>
        <w:rPr>
          <w:rStyle w:val="Strong"/>
        </w:rPr>
      </w:pPr>
      <w:r>
        <w:rPr>
          <w:rStyle w:val="Strong"/>
        </w:rPr>
        <w:lastRenderedPageBreak/>
        <w:t>Fi</w:t>
      </w:r>
      <w:r w:rsidRPr="00DB3D87">
        <w:rPr>
          <w:rStyle w:val="Strong"/>
        </w:rPr>
        <w:t>nancial resources</w:t>
      </w:r>
    </w:p>
    <w:p w:rsidR="00681670" w:rsidRDefault="00681670" w:rsidP="00681670">
      <w:pPr>
        <w:pStyle w:val="Date"/>
      </w:pPr>
      <w:r>
        <w:t xml:space="preserve">Under this criterion the AER considers whether applicants have (or have access to) adequate financial capacity to support their planned retail operations. Applicants must be able to demonstrate they have adequate finances. The AER's assessment is informed by an applicant’s business plan and approach to managing financial risk. </w:t>
      </w:r>
    </w:p>
    <w:p w:rsidR="00E84DC4" w:rsidRDefault="00116FB0" w:rsidP="00E84DC4">
      <w:pPr>
        <w:pStyle w:val="Date"/>
      </w:pPr>
      <w:r>
        <w:t xml:space="preserve">In its application, </w:t>
      </w:r>
      <w:proofErr w:type="spellStart"/>
      <w:r w:rsidR="00E84DC4">
        <w:t>Ultium</w:t>
      </w:r>
      <w:proofErr w:type="spellEnd"/>
      <w:r w:rsidR="00E84DC4">
        <w:t xml:space="preserve"> </w:t>
      </w:r>
      <w:r w:rsidR="00E84DC4" w:rsidRPr="00B61575">
        <w:t xml:space="preserve">did not provide evidence to support its claims that it has access to </w:t>
      </w:r>
      <w:r w:rsidR="00104F26">
        <w:t>adequate</w:t>
      </w:r>
      <w:r w:rsidR="00104F26" w:rsidRPr="00B61575">
        <w:t xml:space="preserve"> </w:t>
      </w:r>
      <w:r w:rsidR="00E84DC4" w:rsidRPr="00B61575">
        <w:t>capital or evidence as to it</w:t>
      </w:r>
      <w:r w:rsidR="00E84DC4">
        <w:t>s current financial position</w:t>
      </w:r>
      <w:r>
        <w:t>.</w:t>
      </w:r>
      <w:r w:rsidR="00E84DC4">
        <w:t xml:space="preserve"> </w:t>
      </w:r>
      <w:r>
        <w:t>N</w:t>
      </w:r>
      <w:r w:rsidR="00E84DC4">
        <w:t>or did it provide a written declaration</w:t>
      </w:r>
      <w:r w:rsidR="00103F23">
        <w:t xml:space="preserve"> </w:t>
      </w:r>
      <w:r w:rsidR="00E84DC4">
        <w:t>by the CFO, CEO or director</w:t>
      </w:r>
      <w:r>
        <w:t>, as required by the Guideline, that the company is a going concern and that the officer is unaware of any factor that would impede the applicant’s ability to finance its energy retailer activities for the next 12 months</w:t>
      </w:r>
      <w:r w:rsidR="00E84DC4">
        <w:t xml:space="preserve">. </w:t>
      </w:r>
    </w:p>
    <w:p w:rsidR="00116FB0" w:rsidRDefault="00E84DC4" w:rsidP="00326DDD">
      <w:r>
        <w:t xml:space="preserve">Because </w:t>
      </w:r>
      <w:r w:rsidR="00104F26">
        <w:t>these details were</w:t>
      </w:r>
      <w:r>
        <w:t xml:space="preserve"> not included in either </w:t>
      </w:r>
      <w:proofErr w:type="spellStart"/>
      <w:r w:rsidR="00116FB0">
        <w:t>Ultium's</w:t>
      </w:r>
      <w:proofErr w:type="spellEnd"/>
      <w:r w:rsidR="00116FB0">
        <w:t xml:space="preserve"> </w:t>
      </w:r>
      <w:r>
        <w:t>initial or resubmitted application</w:t>
      </w:r>
      <w:r w:rsidR="00116FB0">
        <w:t>,</w:t>
      </w:r>
      <w:r>
        <w:t xml:space="preserve"> AER </w:t>
      </w:r>
      <w:r w:rsidR="00116FB0">
        <w:t xml:space="preserve">staff </w:t>
      </w:r>
      <w:r>
        <w:t xml:space="preserve">sought declarations from </w:t>
      </w:r>
      <w:proofErr w:type="spellStart"/>
      <w:r>
        <w:t>Ultium</w:t>
      </w:r>
      <w:proofErr w:type="spellEnd"/>
      <w:r>
        <w:t xml:space="preserve"> about its financial position and record of bankruptcy. However, </w:t>
      </w:r>
      <w:proofErr w:type="spellStart"/>
      <w:r w:rsidR="00116FB0">
        <w:t>Ultium</w:t>
      </w:r>
      <w:proofErr w:type="spellEnd"/>
      <w:r w:rsidR="00116FB0">
        <w:t xml:space="preserve"> did not </w:t>
      </w:r>
      <w:r>
        <w:t xml:space="preserve">provide </w:t>
      </w:r>
      <w:r w:rsidR="00116FB0">
        <w:t>this information.</w:t>
      </w:r>
    </w:p>
    <w:p w:rsidR="00116FB0" w:rsidRDefault="00116FB0" w:rsidP="00326DDD"/>
    <w:p w:rsidR="00326DDD" w:rsidRDefault="00116FB0" w:rsidP="00326DDD">
      <w:r>
        <w:t xml:space="preserve">Accordingly, </w:t>
      </w:r>
      <w:r w:rsidR="00E84DC4">
        <w:t xml:space="preserve">the AER cannot be satisfied that </w:t>
      </w:r>
      <w:proofErr w:type="spellStart"/>
      <w:r w:rsidR="00E84DC4">
        <w:t>Ultium</w:t>
      </w:r>
      <w:r>
        <w:t>'s</w:t>
      </w:r>
      <w:proofErr w:type="spellEnd"/>
      <w:r>
        <w:t xml:space="preserve"> application satisfies</w:t>
      </w:r>
      <w:r w:rsidR="00E84DC4">
        <w:t xml:space="preserve"> the financial capacity criterion.</w:t>
      </w:r>
    </w:p>
    <w:p w:rsidR="00116FB0" w:rsidRDefault="00116FB0" w:rsidP="00326DDD">
      <w:pPr>
        <w:rPr>
          <w:rStyle w:val="Strong"/>
        </w:rPr>
      </w:pPr>
    </w:p>
    <w:p w:rsidR="00E84DC4" w:rsidRDefault="00921C3F" w:rsidP="00326DDD">
      <w:r>
        <w:rPr>
          <w:rStyle w:val="Strong"/>
        </w:rPr>
        <w:t>S</w:t>
      </w:r>
      <w:r w:rsidR="00D46A02" w:rsidRPr="00DB3D87">
        <w:rPr>
          <w:rStyle w:val="Strong"/>
        </w:rPr>
        <w:t>uitability</w:t>
      </w:r>
      <w:r w:rsidR="00E84DC4">
        <w:t xml:space="preserve"> </w:t>
      </w:r>
    </w:p>
    <w:p w:rsidR="00D46A02" w:rsidRDefault="00E84DC4" w:rsidP="00681670">
      <w:pPr>
        <w:pStyle w:val="Date"/>
      </w:pPr>
      <w:r w:rsidRPr="001C1664">
        <w:t>The suitability criterion is intended to establish whether the applicant is a ‘fit and proper’ person.</w:t>
      </w:r>
      <w:r>
        <w:t xml:space="preserve"> </w:t>
      </w:r>
      <w:r w:rsidR="00116FB0">
        <w:t>Section 90(4) of the Retail Law permits the AER, i</w:t>
      </w:r>
      <w:r w:rsidR="00D46A02">
        <w:t xml:space="preserve">n considering the suitability criterion, </w:t>
      </w:r>
      <w:r w:rsidR="00116FB0">
        <w:t xml:space="preserve">to </w:t>
      </w:r>
      <w:r w:rsidR="00D46A02">
        <w:t xml:space="preserve">take into consideration such matters as it thinks relevant, including previous commercial dealings of the applicant and its associates, and the standard of honesty and integrity shown in these dealings. </w:t>
      </w:r>
    </w:p>
    <w:p w:rsidR="005174FA" w:rsidRDefault="00D46A02" w:rsidP="00681670">
      <w:pPr>
        <w:pStyle w:val="Date"/>
      </w:pPr>
      <w:proofErr w:type="spellStart"/>
      <w:r>
        <w:t>Ul</w:t>
      </w:r>
      <w:r w:rsidRPr="00B61575">
        <w:t>ltium</w:t>
      </w:r>
      <w:proofErr w:type="spellEnd"/>
      <w:r w:rsidRPr="00B61575">
        <w:t xml:space="preserve"> failed</w:t>
      </w:r>
      <w:r w:rsidR="00116FB0">
        <w:t>, in its application,</w:t>
      </w:r>
      <w:r w:rsidRPr="00B61575">
        <w:t xml:space="preserve"> to inform the AER that </w:t>
      </w:r>
      <w:r w:rsidR="00116FB0">
        <w:t>s</w:t>
      </w:r>
      <w:r w:rsidRPr="00B61575">
        <w:t xml:space="preserve">ole Director Scott Juniper had entered into a personal insolvency agreement under the </w:t>
      </w:r>
      <w:r w:rsidRPr="00C420CD">
        <w:rPr>
          <w:rStyle w:val="Emphasis"/>
        </w:rPr>
        <w:t>Bankruptcy Act 1966 (</w:t>
      </w:r>
      <w:proofErr w:type="spellStart"/>
      <w:r w:rsidRPr="00C420CD">
        <w:rPr>
          <w:rStyle w:val="Emphasis"/>
        </w:rPr>
        <w:t>Cth</w:t>
      </w:r>
      <w:proofErr w:type="spellEnd"/>
      <w:r w:rsidRPr="00C420CD">
        <w:rPr>
          <w:rStyle w:val="Emphasis"/>
        </w:rPr>
        <w:t>)</w:t>
      </w:r>
      <w:r w:rsidR="00116FB0">
        <w:t xml:space="preserve">. </w:t>
      </w:r>
      <w:proofErr w:type="spellStart"/>
      <w:r w:rsidR="00116FB0">
        <w:t>Ultium</w:t>
      </w:r>
      <w:proofErr w:type="spellEnd"/>
      <w:r w:rsidR="00116FB0">
        <w:t xml:space="preserve"> </w:t>
      </w:r>
      <w:r w:rsidR="008F2557">
        <w:t xml:space="preserve">then </w:t>
      </w:r>
      <w:r w:rsidRPr="00B61575">
        <w:t>failed to provide a satisfactory explanation for this omission</w:t>
      </w:r>
      <w:r w:rsidR="00116FB0">
        <w:t xml:space="preserve"> when </w:t>
      </w:r>
      <w:r w:rsidR="008F2557">
        <w:t>asked by AER staff</w:t>
      </w:r>
      <w:r w:rsidRPr="00B61575">
        <w:t xml:space="preserve">. </w:t>
      </w:r>
      <w:r w:rsidR="005174FA">
        <w:t xml:space="preserve">Further, </w:t>
      </w:r>
      <w:proofErr w:type="spellStart"/>
      <w:r w:rsidR="008F2557">
        <w:t>Ultium</w:t>
      </w:r>
      <w:proofErr w:type="spellEnd"/>
      <w:r w:rsidR="008F2557">
        <w:t xml:space="preserve"> </w:t>
      </w:r>
      <w:r w:rsidR="005174FA">
        <w:t>did not provide written declarations from the CFO or CEO about the record of bankruptcy of management</w:t>
      </w:r>
      <w:r w:rsidR="008F2557">
        <w:t xml:space="preserve"> as required by the Guideline</w:t>
      </w:r>
      <w:r w:rsidR="005174FA">
        <w:t xml:space="preserve">. </w:t>
      </w:r>
    </w:p>
    <w:p w:rsidR="004055BE" w:rsidRDefault="008F2557" w:rsidP="00D46A02">
      <w:r>
        <w:t>The AER is</w:t>
      </w:r>
      <w:r w:rsidR="0003449E">
        <w:t xml:space="preserve"> therefore</w:t>
      </w:r>
      <w:r>
        <w:t xml:space="preserve"> not satisfied that </w:t>
      </w:r>
      <w:proofErr w:type="spellStart"/>
      <w:r>
        <w:t>Ultium's</w:t>
      </w:r>
      <w:proofErr w:type="spellEnd"/>
      <w:r>
        <w:t xml:space="preserve"> application satisfies the suitability criterion.</w:t>
      </w:r>
    </w:p>
    <w:p w:rsidR="008F2557" w:rsidRDefault="008F2557" w:rsidP="00D46A02"/>
    <w:p w:rsidR="004055BE" w:rsidRDefault="004055BE" w:rsidP="00D46A02">
      <w:pPr>
        <w:rPr>
          <w:rStyle w:val="Strong"/>
        </w:rPr>
      </w:pPr>
      <w:r w:rsidRPr="004055BE">
        <w:rPr>
          <w:rStyle w:val="Strong"/>
        </w:rPr>
        <w:t>Notice</w:t>
      </w:r>
    </w:p>
    <w:p w:rsidR="004055BE" w:rsidRPr="004055BE" w:rsidRDefault="004055BE" w:rsidP="00D46A02">
      <w:pPr>
        <w:rPr>
          <w:rStyle w:val="Strong"/>
        </w:rPr>
      </w:pPr>
    </w:p>
    <w:p w:rsidR="00450402" w:rsidRDefault="00450402" w:rsidP="00D46A02">
      <w:r>
        <w:t xml:space="preserve">As per section 97(2) of the Retail Law, the AER will publish </w:t>
      </w:r>
      <w:r w:rsidR="00116FB0">
        <w:t xml:space="preserve">this </w:t>
      </w:r>
      <w:r>
        <w:t>notice on its website.</w:t>
      </w:r>
    </w:p>
    <w:p w:rsidR="00846178" w:rsidRDefault="00846178" w:rsidP="00D46A02"/>
    <w:p w:rsidR="00846178" w:rsidRDefault="00B6124A" w:rsidP="00D46A02">
      <w:r>
        <w:t>Should</w:t>
      </w:r>
      <w:r w:rsidR="00846178">
        <w:t xml:space="preserve"> </w:t>
      </w:r>
      <w:proofErr w:type="spellStart"/>
      <w:r w:rsidR="00846178">
        <w:t>Ultium</w:t>
      </w:r>
      <w:proofErr w:type="spellEnd"/>
      <w:r w:rsidR="00846178">
        <w:t xml:space="preserve"> </w:t>
      </w:r>
      <w:r>
        <w:t>consider</w:t>
      </w:r>
      <w:r w:rsidR="00846178">
        <w:t xml:space="preserve"> submit</w:t>
      </w:r>
      <w:r>
        <w:t>ting</w:t>
      </w:r>
      <w:r w:rsidR="00846178">
        <w:t xml:space="preserve"> </w:t>
      </w:r>
      <w:r>
        <w:t xml:space="preserve">any future </w:t>
      </w:r>
      <w:r w:rsidR="00846178">
        <w:t>retailer authorisation</w:t>
      </w:r>
      <w:r>
        <w:t xml:space="preserve"> application, the AER will assess it in accordance with the Retail Law</w:t>
      </w:r>
      <w:r w:rsidR="00846178">
        <w:t>.</w:t>
      </w:r>
    </w:p>
    <w:p w:rsidR="00D46A02" w:rsidRDefault="00D46A02" w:rsidP="00D46A02"/>
    <w:p w:rsidR="003B42C3" w:rsidRPr="00BA263C" w:rsidRDefault="003B42C3" w:rsidP="003B42C3">
      <w:pPr>
        <w:pStyle w:val="AERReference"/>
      </w:pPr>
    </w:p>
    <w:p w:rsidR="003B42C3" w:rsidRPr="00B13651" w:rsidRDefault="003B42C3" w:rsidP="006C1655">
      <w:r w:rsidRPr="00B13651">
        <w:t>Yours sincerely</w:t>
      </w:r>
      <w:r w:rsidR="006C1655">
        <w:t>,</w:t>
      </w:r>
    </w:p>
    <w:p w:rsidR="00B13651" w:rsidRPr="006C1655" w:rsidRDefault="006C1655" w:rsidP="003B42C3">
      <w:pPr>
        <w:pStyle w:val="AERReference"/>
      </w:pPr>
      <w:r w:rsidRPr="006C1655">
        <w:rPr>
          <w:noProof/>
          <w:lang w:val="en-AU"/>
        </w:rPr>
        <w:drawing>
          <wp:inline distT="0" distB="0" distL="0" distR="0" wp14:anchorId="2D374B69" wp14:editId="3D54BA3C">
            <wp:extent cx="1081377" cy="65675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0918" cy="656474"/>
                    </a:xfrm>
                    <a:prstGeom prst="rect">
                      <a:avLst/>
                    </a:prstGeom>
                  </pic:spPr>
                </pic:pic>
              </a:graphicData>
            </a:graphic>
          </wp:inline>
        </w:drawing>
      </w:r>
    </w:p>
    <w:p w:rsidR="00B61575" w:rsidRDefault="00B61575" w:rsidP="00B61575">
      <w:r>
        <w:t>Paula Conboy</w:t>
      </w:r>
    </w:p>
    <w:p w:rsidR="00B61575" w:rsidRDefault="00B61575" w:rsidP="00B61575">
      <w:r>
        <w:t>Chair</w:t>
      </w:r>
    </w:p>
    <w:p w:rsidR="006C1655" w:rsidRDefault="006C1655" w:rsidP="00B61575">
      <w:r>
        <w:t>AER</w:t>
      </w:r>
    </w:p>
    <w:p w:rsidR="005016A7" w:rsidRPr="00986F27" w:rsidRDefault="005016A7" w:rsidP="00CC1273">
      <w:pPr>
        <w:pStyle w:val="AERReference"/>
      </w:pPr>
      <w:bookmarkStart w:id="9" w:name="Signature"/>
      <w:bookmarkEnd w:id="9"/>
    </w:p>
    <w:sectPr w:rsidR="005016A7" w:rsidRPr="00986F27" w:rsidSect="00A9431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CD" w:rsidRDefault="008C65CD" w:rsidP="00E738F3">
      <w:pPr>
        <w:spacing w:line="240" w:lineRule="auto"/>
      </w:pPr>
      <w:r>
        <w:separator/>
      </w:r>
    </w:p>
    <w:p w:rsidR="008C65CD" w:rsidRDefault="008C65CD"/>
  </w:endnote>
  <w:endnote w:type="continuationSeparator" w:id="0">
    <w:p w:rsidR="008C65CD" w:rsidRDefault="008C65CD" w:rsidP="00E738F3">
      <w:pPr>
        <w:spacing w:line="240" w:lineRule="auto"/>
      </w:pPr>
      <w:r>
        <w:continuationSeparator/>
      </w:r>
    </w:p>
    <w:p w:rsidR="008C65CD" w:rsidRDefault="008C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8C774F">
      <w:rPr>
        <w:noProof/>
      </w:rPr>
      <w:t>2</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CD" w:rsidRDefault="008C65CD" w:rsidP="00E738F3">
      <w:pPr>
        <w:spacing w:line="240" w:lineRule="auto"/>
      </w:pPr>
      <w:r>
        <w:separator/>
      </w:r>
    </w:p>
    <w:p w:rsidR="008C65CD" w:rsidRDefault="008C65CD"/>
  </w:footnote>
  <w:footnote w:type="continuationSeparator" w:id="0">
    <w:p w:rsidR="008C65CD" w:rsidRDefault="008C65CD" w:rsidP="00E738F3">
      <w:pPr>
        <w:spacing w:line="240" w:lineRule="auto"/>
      </w:pPr>
      <w:r>
        <w:continuationSeparator/>
      </w:r>
    </w:p>
    <w:p w:rsidR="008C65CD" w:rsidRDefault="008C65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75" w:rsidRDefault="00B61575" w:rsidP="000C03FF">
                          <w:pPr>
                            <w:pStyle w:val="Address"/>
                          </w:pPr>
                          <w:bookmarkStart w:id="10" w:name="Office"/>
                          <w:bookmarkEnd w:id="10"/>
                          <w:r>
                            <w:t xml:space="preserve">Level 35, </w:t>
                          </w:r>
                          <w:proofErr w:type="gramStart"/>
                          <w:r>
                            <w:t>The</w:t>
                          </w:r>
                          <w:proofErr w:type="gramEnd"/>
                          <w:r>
                            <w:t xml:space="preserve"> Tower</w:t>
                          </w:r>
                        </w:p>
                        <w:p w:rsidR="00B61575" w:rsidRDefault="00B61575" w:rsidP="000C03FF">
                          <w:pPr>
                            <w:pStyle w:val="Address"/>
                          </w:pPr>
                          <w:r>
                            <w:t>360 Elizabeth Street</w:t>
                          </w:r>
                        </w:p>
                        <w:p w:rsidR="00B61575" w:rsidRDefault="00B61575" w:rsidP="000C03FF">
                          <w:pPr>
                            <w:pStyle w:val="Address"/>
                          </w:pPr>
                          <w:r>
                            <w:t>Melbourne Central</w:t>
                          </w:r>
                        </w:p>
                        <w:p w:rsidR="00B61575" w:rsidRDefault="00B61575" w:rsidP="000C03FF">
                          <w:pPr>
                            <w:pStyle w:val="Address"/>
                          </w:pPr>
                          <w:r>
                            <w:t>Melbourne Vic 3000</w:t>
                          </w:r>
                        </w:p>
                        <w:p w:rsidR="00B61575" w:rsidRDefault="00B61575" w:rsidP="000C03FF">
                          <w:pPr>
                            <w:pStyle w:val="Address"/>
                          </w:pPr>
                        </w:p>
                        <w:p w:rsidR="00B61575" w:rsidRDefault="00B61575" w:rsidP="000C03FF">
                          <w:pPr>
                            <w:pStyle w:val="Address"/>
                          </w:pPr>
                          <w:r>
                            <w:t>GPO Box 520</w:t>
                          </w:r>
                        </w:p>
                        <w:p w:rsidR="00B61575" w:rsidRDefault="00B61575" w:rsidP="000C03FF">
                          <w:pPr>
                            <w:pStyle w:val="Address"/>
                          </w:pPr>
                          <w:r>
                            <w:t>Melbourne Vic 3001</w:t>
                          </w:r>
                        </w:p>
                        <w:p w:rsidR="00B61575" w:rsidRDefault="00B61575" w:rsidP="000C03FF">
                          <w:pPr>
                            <w:pStyle w:val="Address"/>
                          </w:pPr>
                        </w:p>
                        <w:p w:rsidR="00B61575" w:rsidRDefault="00B61575" w:rsidP="000C03FF">
                          <w:pPr>
                            <w:pStyle w:val="Address"/>
                          </w:pPr>
                          <w:proofErr w:type="spellStart"/>
                          <w:proofErr w:type="gramStart"/>
                          <w:r>
                            <w:t>tel</w:t>
                          </w:r>
                          <w:proofErr w:type="spellEnd"/>
                          <w:proofErr w:type="gramEnd"/>
                          <w:r>
                            <w:t>: (03) 9290 1444</w:t>
                          </w:r>
                        </w:p>
                        <w:p w:rsidR="00B61575" w:rsidRDefault="00B61575" w:rsidP="000C03FF">
                          <w:pPr>
                            <w:pStyle w:val="Address"/>
                          </w:pPr>
                          <w:proofErr w:type="gramStart"/>
                          <w:r>
                            <w:t>fax</w:t>
                          </w:r>
                          <w:proofErr w:type="gramEnd"/>
                          <w:r>
                            <w:t>: (03) 9290 1457</w:t>
                          </w:r>
                        </w:p>
                        <w:p w:rsidR="00B61575" w:rsidRDefault="00B61575" w:rsidP="000C03FF">
                          <w:pPr>
                            <w:pStyle w:val="Address"/>
                          </w:pPr>
                        </w:p>
                        <w:p w:rsidR="000C03FF" w:rsidRDefault="00B61575"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B61575" w:rsidRDefault="00B61575" w:rsidP="000C03FF">
                    <w:pPr>
                      <w:pStyle w:val="Address"/>
                    </w:pPr>
                    <w:bookmarkStart w:id="232" w:name="Office"/>
                    <w:bookmarkEnd w:id="232"/>
                    <w:r>
                      <w:t>Level 35, The Tower</w:t>
                    </w:r>
                  </w:p>
                  <w:p w:rsidR="00B61575" w:rsidRDefault="00B61575" w:rsidP="000C03FF">
                    <w:pPr>
                      <w:pStyle w:val="Address"/>
                    </w:pPr>
                    <w:r>
                      <w:t>360 Elizabeth Street</w:t>
                    </w:r>
                  </w:p>
                  <w:p w:rsidR="00B61575" w:rsidRDefault="00B61575" w:rsidP="000C03FF">
                    <w:pPr>
                      <w:pStyle w:val="Address"/>
                    </w:pPr>
                    <w:r>
                      <w:t>Melbourne Central</w:t>
                    </w:r>
                  </w:p>
                  <w:p w:rsidR="00B61575" w:rsidRDefault="00B61575" w:rsidP="000C03FF">
                    <w:pPr>
                      <w:pStyle w:val="Address"/>
                    </w:pPr>
                    <w:r>
                      <w:t>Melbourne Vic 3000</w:t>
                    </w:r>
                  </w:p>
                  <w:p w:rsidR="00B61575" w:rsidRDefault="00B61575" w:rsidP="000C03FF">
                    <w:pPr>
                      <w:pStyle w:val="Address"/>
                    </w:pPr>
                  </w:p>
                  <w:p w:rsidR="00B61575" w:rsidRDefault="00B61575" w:rsidP="000C03FF">
                    <w:pPr>
                      <w:pStyle w:val="Address"/>
                    </w:pPr>
                    <w:r>
                      <w:t>GPO Box 520</w:t>
                    </w:r>
                  </w:p>
                  <w:p w:rsidR="00B61575" w:rsidRDefault="00B61575" w:rsidP="000C03FF">
                    <w:pPr>
                      <w:pStyle w:val="Address"/>
                    </w:pPr>
                    <w:r>
                      <w:t>Melbourne Vic 3001</w:t>
                    </w:r>
                  </w:p>
                  <w:p w:rsidR="00B61575" w:rsidRDefault="00B61575" w:rsidP="000C03FF">
                    <w:pPr>
                      <w:pStyle w:val="Address"/>
                    </w:pPr>
                  </w:p>
                  <w:p w:rsidR="00B61575" w:rsidRDefault="00B61575" w:rsidP="000C03FF">
                    <w:pPr>
                      <w:pStyle w:val="Address"/>
                    </w:pPr>
                    <w:r>
                      <w:t>tel: (03) 9290 1444</w:t>
                    </w:r>
                  </w:p>
                  <w:p w:rsidR="00B61575" w:rsidRDefault="00B61575" w:rsidP="000C03FF">
                    <w:pPr>
                      <w:pStyle w:val="Address"/>
                    </w:pPr>
                    <w:r>
                      <w:t>fax: (03) 9290 1457</w:t>
                    </w:r>
                  </w:p>
                  <w:p w:rsidR="00B61575" w:rsidRDefault="00B61575" w:rsidP="000C03FF">
                    <w:pPr>
                      <w:pStyle w:val="Address"/>
                    </w:pPr>
                  </w:p>
                  <w:p w:rsidR="000C03FF" w:rsidRDefault="00B61575"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pete\20170120 - ultium energy - application for retailer authorisation - notice of refusal final - v3 (D2017-00009169).docx"/>
  </w:docVars>
  <w:rsids>
    <w:rsidRoot w:val="00B61575"/>
    <w:rsid w:val="000121D4"/>
    <w:rsid w:val="00014BDA"/>
    <w:rsid w:val="0003449E"/>
    <w:rsid w:val="0004576E"/>
    <w:rsid w:val="00051331"/>
    <w:rsid w:val="00051826"/>
    <w:rsid w:val="00091287"/>
    <w:rsid w:val="000B3D69"/>
    <w:rsid w:val="000B5398"/>
    <w:rsid w:val="000C03FF"/>
    <w:rsid w:val="000C6C5A"/>
    <w:rsid w:val="000F40F7"/>
    <w:rsid w:val="00101C3F"/>
    <w:rsid w:val="00103247"/>
    <w:rsid w:val="00103F23"/>
    <w:rsid w:val="00104F26"/>
    <w:rsid w:val="001138CA"/>
    <w:rsid w:val="00116FB0"/>
    <w:rsid w:val="00124CB0"/>
    <w:rsid w:val="00132711"/>
    <w:rsid w:val="00145047"/>
    <w:rsid w:val="001567F2"/>
    <w:rsid w:val="00182543"/>
    <w:rsid w:val="0018705A"/>
    <w:rsid w:val="001B515C"/>
    <w:rsid w:val="001B70A4"/>
    <w:rsid w:val="001C013E"/>
    <w:rsid w:val="001C27AF"/>
    <w:rsid w:val="001E7C0C"/>
    <w:rsid w:val="001F3EA6"/>
    <w:rsid w:val="00201834"/>
    <w:rsid w:val="00213838"/>
    <w:rsid w:val="00284939"/>
    <w:rsid w:val="0029269C"/>
    <w:rsid w:val="00295AAD"/>
    <w:rsid w:val="002B242E"/>
    <w:rsid w:val="002E06FF"/>
    <w:rsid w:val="002E1667"/>
    <w:rsid w:val="002F0AA4"/>
    <w:rsid w:val="00313B51"/>
    <w:rsid w:val="0032341E"/>
    <w:rsid w:val="00326DDD"/>
    <w:rsid w:val="0034596B"/>
    <w:rsid w:val="003B3339"/>
    <w:rsid w:val="003B42C3"/>
    <w:rsid w:val="003C2F7E"/>
    <w:rsid w:val="003D1BD3"/>
    <w:rsid w:val="003E4EF5"/>
    <w:rsid w:val="003E7868"/>
    <w:rsid w:val="004055BE"/>
    <w:rsid w:val="00430174"/>
    <w:rsid w:val="00434278"/>
    <w:rsid w:val="00434E71"/>
    <w:rsid w:val="00450402"/>
    <w:rsid w:val="00465EC2"/>
    <w:rsid w:val="00481773"/>
    <w:rsid w:val="004A1B79"/>
    <w:rsid w:val="004A6DC9"/>
    <w:rsid w:val="004C4AB6"/>
    <w:rsid w:val="00500899"/>
    <w:rsid w:val="005016A7"/>
    <w:rsid w:val="00511CA9"/>
    <w:rsid w:val="005174FA"/>
    <w:rsid w:val="00555F83"/>
    <w:rsid w:val="005642A3"/>
    <w:rsid w:val="005A1D5A"/>
    <w:rsid w:val="005A54E0"/>
    <w:rsid w:val="005B3050"/>
    <w:rsid w:val="005B5433"/>
    <w:rsid w:val="005D3E63"/>
    <w:rsid w:val="005E788E"/>
    <w:rsid w:val="005F6281"/>
    <w:rsid w:val="006071E1"/>
    <w:rsid w:val="00624A6E"/>
    <w:rsid w:val="00632D42"/>
    <w:rsid w:val="00635E28"/>
    <w:rsid w:val="00681670"/>
    <w:rsid w:val="00692EBD"/>
    <w:rsid w:val="00696310"/>
    <w:rsid w:val="006C1655"/>
    <w:rsid w:val="006C2C8F"/>
    <w:rsid w:val="006F3D5C"/>
    <w:rsid w:val="006F6096"/>
    <w:rsid w:val="006F75FF"/>
    <w:rsid w:val="00716425"/>
    <w:rsid w:val="00754C13"/>
    <w:rsid w:val="00760DEB"/>
    <w:rsid w:val="00765AD5"/>
    <w:rsid w:val="0076718C"/>
    <w:rsid w:val="0078734E"/>
    <w:rsid w:val="007A44D5"/>
    <w:rsid w:val="007B3DEF"/>
    <w:rsid w:val="007E4233"/>
    <w:rsid w:val="007F1055"/>
    <w:rsid w:val="00807043"/>
    <w:rsid w:val="008130F7"/>
    <w:rsid w:val="008234F4"/>
    <w:rsid w:val="00832291"/>
    <w:rsid w:val="00835365"/>
    <w:rsid w:val="0084281A"/>
    <w:rsid w:val="0084588E"/>
    <w:rsid w:val="00846178"/>
    <w:rsid w:val="00885085"/>
    <w:rsid w:val="008953C5"/>
    <w:rsid w:val="008C0982"/>
    <w:rsid w:val="008C17F8"/>
    <w:rsid w:val="008C65CD"/>
    <w:rsid w:val="008C774F"/>
    <w:rsid w:val="008F2557"/>
    <w:rsid w:val="008F6B87"/>
    <w:rsid w:val="00921C3F"/>
    <w:rsid w:val="0092246D"/>
    <w:rsid w:val="00946A58"/>
    <w:rsid w:val="00972F31"/>
    <w:rsid w:val="00986F27"/>
    <w:rsid w:val="009C6A78"/>
    <w:rsid w:val="009D21DD"/>
    <w:rsid w:val="009D652E"/>
    <w:rsid w:val="009F0914"/>
    <w:rsid w:val="00A26864"/>
    <w:rsid w:val="00A34B5F"/>
    <w:rsid w:val="00A94317"/>
    <w:rsid w:val="00AA49AA"/>
    <w:rsid w:val="00AC28EE"/>
    <w:rsid w:val="00AF3067"/>
    <w:rsid w:val="00B13651"/>
    <w:rsid w:val="00B15C74"/>
    <w:rsid w:val="00B22CA4"/>
    <w:rsid w:val="00B43BD7"/>
    <w:rsid w:val="00B47431"/>
    <w:rsid w:val="00B5282A"/>
    <w:rsid w:val="00B52CC4"/>
    <w:rsid w:val="00B6124A"/>
    <w:rsid w:val="00B61575"/>
    <w:rsid w:val="00B63C9F"/>
    <w:rsid w:val="00B6539B"/>
    <w:rsid w:val="00B7561D"/>
    <w:rsid w:val="00B8547F"/>
    <w:rsid w:val="00BA55CF"/>
    <w:rsid w:val="00BA7003"/>
    <w:rsid w:val="00BB387A"/>
    <w:rsid w:val="00BB6F19"/>
    <w:rsid w:val="00BB7DD3"/>
    <w:rsid w:val="00BC47E1"/>
    <w:rsid w:val="00BC5DAC"/>
    <w:rsid w:val="00BD0171"/>
    <w:rsid w:val="00BE34B1"/>
    <w:rsid w:val="00BE3D04"/>
    <w:rsid w:val="00C01FAC"/>
    <w:rsid w:val="00C16C56"/>
    <w:rsid w:val="00C310FA"/>
    <w:rsid w:val="00C35E5E"/>
    <w:rsid w:val="00C420CD"/>
    <w:rsid w:val="00C61967"/>
    <w:rsid w:val="00C745E5"/>
    <w:rsid w:val="00CC1273"/>
    <w:rsid w:val="00CE3917"/>
    <w:rsid w:val="00CF1964"/>
    <w:rsid w:val="00CF55D9"/>
    <w:rsid w:val="00D0341D"/>
    <w:rsid w:val="00D14169"/>
    <w:rsid w:val="00D14795"/>
    <w:rsid w:val="00D25B7D"/>
    <w:rsid w:val="00D46A02"/>
    <w:rsid w:val="00D473E4"/>
    <w:rsid w:val="00DB0DB8"/>
    <w:rsid w:val="00DC2245"/>
    <w:rsid w:val="00DC3307"/>
    <w:rsid w:val="00DD46D3"/>
    <w:rsid w:val="00DD615F"/>
    <w:rsid w:val="00E31248"/>
    <w:rsid w:val="00E35503"/>
    <w:rsid w:val="00E603F4"/>
    <w:rsid w:val="00E738F3"/>
    <w:rsid w:val="00E84DC4"/>
    <w:rsid w:val="00E84E0D"/>
    <w:rsid w:val="00E8730C"/>
    <w:rsid w:val="00E919A2"/>
    <w:rsid w:val="00EB6ECA"/>
    <w:rsid w:val="00EF55B4"/>
    <w:rsid w:val="00F00DD7"/>
    <w:rsid w:val="00F22EC7"/>
    <w:rsid w:val="00F24A9D"/>
    <w:rsid w:val="00F331B7"/>
    <w:rsid w:val="00F833BE"/>
    <w:rsid w:val="00F83F08"/>
    <w:rsid w:val="00F96222"/>
    <w:rsid w:val="00FA21AF"/>
    <w:rsid w:val="00FC59A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aliases w:val="Footnote"/>
    <w:basedOn w:val="Normal"/>
    <w:link w:val="FootnoteTextChar"/>
    <w:qFormat/>
    <w:rsid w:val="000B5398"/>
    <w:pPr>
      <w:spacing w:line="240" w:lineRule="auto"/>
    </w:pPr>
    <w:rPr>
      <w:sz w:val="16"/>
      <w:szCs w:val="20"/>
    </w:rPr>
  </w:style>
  <w:style w:type="character" w:customStyle="1" w:styleId="FootnoteTextChar">
    <w:name w:val="Footnote Text Char"/>
    <w:aliases w:val="Footnote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B61575"/>
    <w:rPr>
      <w:sz w:val="16"/>
      <w:szCs w:val="16"/>
    </w:rPr>
  </w:style>
  <w:style w:type="paragraph" w:styleId="CommentText">
    <w:name w:val="annotation text"/>
    <w:basedOn w:val="Normal"/>
    <w:link w:val="CommentTextChar"/>
    <w:uiPriority w:val="99"/>
    <w:unhideWhenUsed/>
    <w:rsid w:val="00B61575"/>
    <w:pPr>
      <w:spacing w:line="240" w:lineRule="auto"/>
    </w:pPr>
    <w:rPr>
      <w:sz w:val="20"/>
      <w:szCs w:val="20"/>
    </w:rPr>
  </w:style>
  <w:style w:type="character" w:customStyle="1" w:styleId="CommentTextChar">
    <w:name w:val="Comment Text Char"/>
    <w:basedOn w:val="DefaultParagraphFont"/>
    <w:link w:val="CommentText"/>
    <w:uiPriority w:val="99"/>
    <w:rsid w:val="00B615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6A02"/>
    <w:rPr>
      <w:b/>
      <w:bCs/>
    </w:rPr>
  </w:style>
  <w:style w:type="character" w:customStyle="1" w:styleId="CommentSubjectChar">
    <w:name w:val="Comment Subject Char"/>
    <w:basedOn w:val="CommentTextChar"/>
    <w:link w:val="CommentSubject"/>
    <w:uiPriority w:val="99"/>
    <w:semiHidden/>
    <w:rsid w:val="00D46A0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aliases w:val="Footnote"/>
    <w:basedOn w:val="Normal"/>
    <w:link w:val="FootnoteTextChar"/>
    <w:qFormat/>
    <w:rsid w:val="000B5398"/>
    <w:pPr>
      <w:spacing w:line="240" w:lineRule="auto"/>
    </w:pPr>
    <w:rPr>
      <w:sz w:val="16"/>
      <w:szCs w:val="20"/>
    </w:rPr>
  </w:style>
  <w:style w:type="character" w:customStyle="1" w:styleId="FootnoteTextChar">
    <w:name w:val="Footnote Text Char"/>
    <w:aliases w:val="Footnote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B61575"/>
    <w:rPr>
      <w:sz w:val="16"/>
      <w:szCs w:val="16"/>
    </w:rPr>
  </w:style>
  <w:style w:type="paragraph" w:styleId="CommentText">
    <w:name w:val="annotation text"/>
    <w:basedOn w:val="Normal"/>
    <w:link w:val="CommentTextChar"/>
    <w:uiPriority w:val="99"/>
    <w:unhideWhenUsed/>
    <w:rsid w:val="00B61575"/>
    <w:pPr>
      <w:spacing w:line="240" w:lineRule="auto"/>
    </w:pPr>
    <w:rPr>
      <w:sz w:val="20"/>
      <w:szCs w:val="20"/>
    </w:rPr>
  </w:style>
  <w:style w:type="character" w:customStyle="1" w:styleId="CommentTextChar">
    <w:name w:val="Comment Text Char"/>
    <w:basedOn w:val="DefaultParagraphFont"/>
    <w:link w:val="CommentText"/>
    <w:uiPriority w:val="99"/>
    <w:rsid w:val="00B615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6A02"/>
    <w:rPr>
      <w:b/>
      <w:bCs/>
    </w:rPr>
  </w:style>
  <w:style w:type="character" w:customStyle="1" w:styleId="CommentSubjectChar">
    <w:name w:val="Comment Subject Char"/>
    <w:basedOn w:val="CommentTextChar"/>
    <w:link w:val="CommentSubject"/>
    <w:uiPriority w:val="99"/>
    <w:semiHidden/>
    <w:rsid w:val="00D46A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5A0F-4233-4B9A-8950-59D2BB21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Tristan</dc:creator>
  <cp:lastModifiedBy>Peterson, Tristan</cp:lastModifiedBy>
  <cp:revision>2</cp:revision>
  <cp:lastPrinted>2014-10-15T23:20:00Z</cp:lastPrinted>
  <dcterms:created xsi:type="dcterms:W3CDTF">2017-01-25T01:51:00Z</dcterms:created>
  <dcterms:modified xsi:type="dcterms:W3CDTF">2017-01-25T01:51:00Z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\\cdchnas-evs02\home$\tpete\20170120 - ultium energy - application for retailer authorisation - notice of refusal final - v3 (D2017-00009169).docx</vt:lpwstr>
  </property>
</Properties>
</file>