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112E" w:rsidRDefault="004B540D"/>
    <w:p w:rsidR="00C6361C" w:rsidRDefault="00C6361C" w:rsidP="00C6361C">
      <w:pPr>
        <w:pStyle w:val="ReportTitle"/>
      </w:pPr>
      <w:r>
        <w:drawing>
          <wp:inline distT="0" distB="0" distL="0" distR="0" wp14:anchorId="069FA9E0" wp14:editId="3644A7D4">
            <wp:extent cx="4617691" cy="1352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iting communities logo_RGB.jpg"/>
                    <pic:cNvPicPr/>
                  </pic:nvPicPr>
                  <pic:blipFill>
                    <a:blip r:embed="rId8">
                      <a:extLst>
                        <a:ext uri="{28A0092B-C50C-407E-A947-70E740481C1C}">
                          <a14:useLocalDpi xmlns:a14="http://schemas.microsoft.com/office/drawing/2010/main" val="0"/>
                        </a:ext>
                      </a:extLst>
                    </a:blip>
                    <a:stretch>
                      <a:fillRect/>
                    </a:stretch>
                  </pic:blipFill>
                  <pic:spPr>
                    <a:xfrm>
                      <a:off x="0" y="0"/>
                      <a:ext cx="4630114" cy="1356189"/>
                    </a:xfrm>
                    <a:prstGeom prst="rect">
                      <a:avLst/>
                    </a:prstGeom>
                  </pic:spPr>
                </pic:pic>
              </a:graphicData>
            </a:graphic>
          </wp:inline>
        </w:drawing>
      </w:r>
    </w:p>
    <w:p w:rsidR="00C6361C" w:rsidRPr="00C6361C" w:rsidRDefault="00C6361C" w:rsidP="00C6361C">
      <w:pPr>
        <w:rPr>
          <w:lang w:eastAsia="en-AU"/>
        </w:rPr>
      </w:pPr>
    </w:p>
    <w:p w:rsidR="00C6361C" w:rsidRPr="00C6361C" w:rsidRDefault="00C6361C" w:rsidP="00C6361C">
      <w:pPr>
        <w:jc w:val="center"/>
        <w:rPr>
          <w:b/>
          <w:sz w:val="52"/>
          <w:szCs w:val="52"/>
        </w:rPr>
      </w:pPr>
    </w:p>
    <w:p w:rsidR="00C6361C" w:rsidRPr="00C6361C" w:rsidRDefault="00C6361C" w:rsidP="00C6361C">
      <w:pPr>
        <w:rPr>
          <w:b/>
          <w:color w:val="009900"/>
          <w:sz w:val="40"/>
          <w:szCs w:val="40"/>
        </w:rPr>
      </w:pPr>
      <w:r w:rsidRPr="00C6361C">
        <w:rPr>
          <w:b/>
          <w:color w:val="009900"/>
          <w:sz w:val="44"/>
          <w:szCs w:val="44"/>
        </w:rPr>
        <w:t>Submission to:</w:t>
      </w:r>
      <w:r w:rsidRPr="00C6361C">
        <w:rPr>
          <w:b/>
          <w:color w:val="009900"/>
          <w:sz w:val="40"/>
          <w:szCs w:val="40"/>
        </w:rPr>
        <w:tab/>
      </w:r>
      <w:r w:rsidRPr="00C6361C">
        <w:rPr>
          <w:b/>
          <w:sz w:val="48"/>
          <w:szCs w:val="48"/>
        </w:rPr>
        <w:t>Australian Energy Regulator</w:t>
      </w:r>
    </w:p>
    <w:p w:rsidR="00C6361C" w:rsidRPr="00C6361C" w:rsidRDefault="00C6361C" w:rsidP="00C6361C">
      <w:pPr>
        <w:rPr>
          <w:b/>
          <w:color w:val="009900"/>
          <w:sz w:val="40"/>
          <w:szCs w:val="40"/>
        </w:rPr>
      </w:pPr>
      <w:r w:rsidRPr="00C6361C">
        <w:rPr>
          <w:b/>
          <w:color w:val="009900"/>
          <w:sz w:val="40"/>
          <w:szCs w:val="40"/>
        </w:rPr>
        <w:t>From:</w:t>
      </w:r>
      <w:r w:rsidRPr="00C6361C">
        <w:rPr>
          <w:b/>
          <w:color w:val="009900"/>
          <w:sz w:val="40"/>
          <w:szCs w:val="40"/>
        </w:rPr>
        <w:tab/>
      </w:r>
      <w:r w:rsidRPr="00C6361C">
        <w:rPr>
          <w:b/>
          <w:color w:val="009900"/>
          <w:sz w:val="40"/>
          <w:szCs w:val="40"/>
        </w:rPr>
        <w:tab/>
      </w:r>
      <w:r w:rsidRPr="00C6361C">
        <w:rPr>
          <w:b/>
          <w:color w:val="009900"/>
          <w:sz w:val="40"/>
          <w:szCs w:val="40"/>
        </w:rPr>
        <w:tab/>
      </w:r>
      <w:r w:rsidRPr="00C6361C">
        <w:rPr>
          <w:b/>
          <w:sz w:val="48"/>
          <w:szCs w:val="48"/>
        </w:rPr>
        <w:t>Uniting Communities</w:t>
      </w:r>
    </w:p>
    <w:p w:rsidR="00C6361C" w:rsidRPr="00C6361C" w:rsidRDefault="00C6361C" w:rsidP="00C6361C">
      <w:pPr>
        <w:rPr>
          <w:b/>
          <w:color w:val="009900"/>
          <w:sz w:val="40"/>
          <w:szCs w:val="40"/>
        </w:rPr>
      </w:pPr>
      <w:r w:rsidRPr="00C6361C">
        <w:rPr>
          <w:b/>
          <w:color w:val="009900"/>
          <w:sz w:val="40"/>
          <w:szCs w:val="40"/>
        </w:rPr>
        <w:t>Regarding:</w:t>
      </w:r>
      <w:r w:rsidRPr="00C6361C">
        <w:rPr>
          <w:b/>
          <w:color w:val="009900"/>
          <w:sz w:val="40"/>
          <w:szCs w:val="40"/>
        </w:rPr>
        <w:tab/>
      </w:r>
    </w:p>
    <w:p w:rsidR="00C6361C" w:rsidRPr="00C6361C" w:rsidRDefault="00C6361C" w:rsidP="00C6361C">
      <w:pPr>
        <w:pStyle w:val="ReportTitle"/>
        <w:rPr>
          <w:rFonts w:asciiTheme="minorHAnsi" w:hAnsiTheme="minorHAnsi"/>
          <w:sz w:val="56"/>
          <w:szCs w:val="56"/>
        </w:rPr>
      </w:pPr>
      <w:r w:rsidRPr="00C6361C">
        <w:rPr>
          <w:rFonts w:asciiTheme="minorHAnsi" w:hAnsiTheme="minorHAnsi"/>
          <w:sz w:val="56"/>
          <w:szCs w:val="56"/>
        </w:rPr>
        <w:t xml:space="preserve">Approach to electricity wholesale market performance monitoring. </w:t>
      </w:r>
    </w:p>
    <w:p w:rsidR="00C6361C" w:rsidRPr="00C6361C" w:rsidRDefault="00C6361C" w:rsidP="00C6361C">
      <w:pPr>
        <w:pStyle w:val="ReportSubtitle"/>
        <w:rPr>
          <w:rFonts w:asciiTheme="minorHAnsi" w:hAnsiTheme="minorHAnsi"/>
          <w:sz w:val="36"/>
          <w:szCs w:val="36"/>
        </w:rPr>
      </w:pPr>
      <w:r w:rsidRPr="00C6361C">
        <w:rPr>
          <w:rFonts w:asciiTheme="minorHAnsi" w:hAnsiTheme="minorHAnsi"/>
          <w:sz w:val="36"/>
          <w:szCs w:val="36"/>
        </w:rPr>
        <w:t>Discussion paper</w:t>
      </w:r>
      <w:r>
        <w:rPr>
          <w:rFonts w:asciiTheme="minorHAnsi" w:hAnsiTheme="minorHAnsi"/>
          <w:sz w:val="36"/>
          <w:szCs w:val="36"/>
        </w:rPr>
        <w:t xml:space="preserve"> – released August 2017</w:t>
      </w:r>
    </w:p>
    <w:p w:rsidR="00C6361C" w:rsidRPr="00C6361C" w:rsidRDefault="00C6361C" w:rsidP="00C6361C">
      <w:pPr>
        <w:rPr>
          <w:b/>
          <w:color w:val="009900"/>
          <w:sz w:val="24"/>
          <w:szCs w:val="24"/>
        </w:rPr>
      </w:pPr>
    </w:p>
    <w:p w:rsidR="00C6361C" w:rsidRPr="00C6361C" w:rsidRDefault="00C6361C" w:rsidP="00C6361C">
      <w:pPr>
        <w:rPr>
          <w:b/>
          <w:color w:val="002060"/>
          <w:sz w:val="44"/>
          <w:szCs w:val="44"/>
        </w:rPr>
      </w:pPr>
      <w:r w:rsidRPr="00C6361C">
        <w:rPr>
          <w:b/>
          <w:color w:val="009900"/>
          <w:sz w:val="40"/>
          <w:szCs w:val="40"/>
        </w:rPr>
        <w:t>Date:</w:t>
      </w:r>
      <w:r w:rsidRPr="00C6361C">
        <w:rPr>
          <w:b/>
          <w:color w:val="002060"/>
          <w:sz w:val="44"/>
          <w:szCs w:val="44"/>
        </w:rPr>
        <w:tab/>
      </w:r>
      <w:r w:rsidRPr="00C6361C">
        <w:rPr>
          <w:b/>
          <w:color w:val="002060"/>
          <w:sz w:val="44"/>
          <w:szCs w:val="44"/>
        </w:rPr>
        <w:tab/>
      </w:r>
      <w:r w:rsidRPr="00C6361C">
        <w:rPr>
          <w:b/>
          <w:color w:val="002060"/>
          <w:sz w:val="44"/>
          <w:szCs w:val="44"/>
        </w:rPr>
        <w:tab/>
        <w:t xml:space="preserve">October </w:t>
      </w:r>
      <w:r w:rsidRPr="00C6361C">
        <w:rPr>
          <w:b/>
          <w:sz w:val="40"/>
          <w:szCs w:val="40"/>
        </w:rPr>
        <w:t>2017</w:t>
      </w:r>
    </w:p>
    <w:p w:rsidR="00C6361C" w:rsidRPr="00C6361C" w:rsidRDefault="00C6361C" w:rsidP="00C6361C">
      <w:pPr>
        <w:rPr>
          <w:b/>
          <w:color w:val="002060"/>
          <w:sz w:val="24"/>
          <w:szCs w:val="24"/>
          <w:u w:val="single"/>
        </w:rPr>
      </w:pPr>
    </w:p>
    <w:p w:rsidR="00C6361C" w:rsidRPr="00C6361C" w:rsidRDefault="00C6361C" w:rsidP="00C6361C">
      <w:pPr>
        <w:rPr>
          <w:b/>
          <w:color w:val="002060"/>
          <w:sz w:val="24"/>
          <w:szCs w:val="24"/>
          <w:u w:val="single"/>
        </w:rPr>
      </w:pPr>
      <w:r w:rsidRPr="00C6361C">
        <w:rPr>
          <w:b/>
          <w:color w:val="002060"/>
          <w:sz w:val="24"/>
          <w:szCs w:val="24"/>
          <w:u w:val="single"/>
        </w:rPr>
        <w:t>Contact:</w:t>
      </w:r>
    </w:p>
    <w:p w:rsidR="00C6361C" w:rsidRPr="00C6361C" w:rsidRDefault="00C6361C" w:rsidP="00C6361C">
      <w:pPr>
        <w:pStyle w:val="NoSpacing"/>
      </w:pPr>
      <w:r w:rsidRPr="00C6361C">
        <w:t>Mark Henley</w:t>
      </w:r>
    </w:p>
    <w:p w:rsidR="00C6361C" w:rsidRPr="00C6361C" w:rsidRDefault="00C6361C" w:rsidP="00C6361C">
      <w:pPr>
        <w:pStyle w:val="NoSpacing"/>
        <w:rPr>
          <w:color w:val="0046D2"/>
        </w:rPr>
      </w:pPr>
      <w:r w:rsidRPr="00C6361C">
        <w:t xml:space="preserve">E: </w:t>
      </w:r>
      <w:r w:rsidRPr="00C6361C">
        <w:tab/>
      </w:r>
      <w:hyperlink r:id="rId9" w:history="1">
        <w:r w:rsidRPr="00C6361C">
          <w:rPr>
            <w:rStyle w:val="Hyperlink"/>
            <w:rFonts w:asciiTheme="minorHAnsi" w:hAnsiTheme="minorHAnsi"/>
            <w:color w:val="0046D2"/>
            <w:sz w:val="24"/>
            <w:szCs w:val="24"/>
          </w:rPr>
          <w:t>MarkH@unitingcommunities.org</w:t>
        </w:r>
      </w:hyperlink>
    </w:p>
    <w:p w:rsidR="00C6361C" w:rsidRPr="00C6361C" w:rsidRDefault="00C6361C" w:rsidP="00C6361C">
      <w:pPr>
        <w:pStyle w:val="NoSpacing"/>
      </w:pPr>
      <w:r w:rsidRPr="00C6361C">
        <w:t>P:</w:t>
      </w:r>
      <w:r w:rsidRPr="00C6361C">
        <w:tab/>
        <w:t>(08) 82020 5135</w:t>
      </w:r>
    </w:p>
    <w:p w:rsidR="00C6361C" w:rsidRPr="00C6361C" w:rsidRDefault="00C6361C" w:rsidP="00C6361C">
      <w:pPr>
        <w:pStyle w:val="NoSpacing"/>
      </w:pPr>
    </w:p>
    <w:p w:rsidR="00C6361C" w:rsidRPr="00C6361C" w:rsidRDefault="00C6361C" w:rsidP="00C6361C">
      <w:pPr>
        <w:rPr>
          <w:b/>
          <w:i/>
          <w:sz w:val="24"/>
          <w:szCs w:val="24"/>
        </w:rPr>
      </w:pPr>
      <w:r w:rsidRPr="00C6361C">
        <w:rPr>
          <w:b/>
          <w:i/>
          <w:sz w:val="24"/>
          <w:szCs w:val="24"/>
        </w:rPr>
        <w:t xml:space="preserve">Note: </w:t>
      </w:r>
      <w:r w:rsidR="00F0113B">
        <w:rPr>
          <w:b/>
          <w:i/>
          <w:sz w:val="24"/>
          <w:szCs w:val="24"/>
        </w:rPr>
        <w:t xml:space="preserve">Uniting Communities </w:t>
      </w:r>
      <w:r w:rsidRPr="00C6361C">
        <w:rPr>
          <w:b/>
          <w:i/>
          <w:sz w:val="24"/>
          <w:szCs w:val="24"/>
        </w:rPr>
        <w:t>is South Australia’s first accredited Carbon Neutral organisation/business.</w:t>
      </w:r>
    </w:p>
    <w:p w:rsidR="00C6361C" w:rsidRPr="00C6361C" w:rsidRDefault="00F0113B" w:rsidP="00C6361C">
      <w:pPr>
        <w:pStyle w:val="Footer"/>
        <w:rPr>
          <w:rFonts w:cs="Arial"/>
          <w:b/>
          <w:color w:val="7F7F7F" w:themeColor="text1" w:themeTint="80"/>
          <w:sz w:val="20"/>
          <w:szCs w:val="20"/>
        </w:rPr>
      </w:pPr>
      <w:r>
        <w:rPr>
          <w:rFonts w:cs="Arial"/>
          <w:b/>
          <w:color w:val="7F7F7F" w:themeColor="text1" w:themeTint="80"/>
          <w:sz w:val="20"/>
          <w:szCs w:val="20"/>
        </w:rPr>
        <w:t xml:space="preserve">Uniting Communities </w:t>
      </w:r>
      <w:r w:rsidR="00C6361C" w:rsidRPr="00C6361C">
        <w:rPr>
          <w:rFonts w:cs="Arial"/>
          <w:b/>
          <w:color w:val="7F7F7F" w:themeColor="text1" w:themeTint="80"/>
          <w:sz w:val="20"/>
          <w:szCs w:val="20"/>
        </w:rPr>
        <w:t xml:space="preserve">Incorporated trading as </w:t>
      </w:r>
      <w:r>
        <w:rPr>
          <w:rFonts w:cs="Arial"/>
          <w:b/>
          <w:color w:val="7F7F7F" w:themeColor="text1" w:themeTint="80"/>
          <w:sz w:val="20"/>
          <w:szCs w:val="20"/>
        </w:rPr>
        <w:t xml:space="preserve">Uniting Communities </w:t>
      </w:r>
      <w:r w:rsidR="00C6361C" w:rsidRPr="00C6361C">
        <w:rPr>
          <w:rFonts w:cs="Arial"/>
          <w:b/>
          <w:color w:val="7F7F7F" w:themeColor="text1" w:themeTint="80"/>
          <w:sz w:val="20"/>
          <w:szCs w:val="20"/>
        </w:rPr>
        <w:t>ABN 33 174 490 373</w:t>
      </w:r>
    </w:p>
    <w:p w:rsidR="00C6361C" w:rsidRPr="00C6361C" w:rsidRDefault="00C6361C" w:rsidP="00C6361C">
      <w:pPr>
        <w:pStyle w:val="Footer"/>
        <w:ind w:left="-709"/>
        <w:rPr>
          <w:rFonts w:cs="Arial"/>
          <w:b/>
          <w:color w:val="7F7F7F" w:themeColor="text1" w:themeTint="80"/>
          <w:sz w:val="20"/>
          <w:szCs w:val="20"/>
        </w:rPr>
      </w:pPr>
      <w:r w:rsidRPr="00C6361C">
        <w:tab/>
      </w:r>
      <w:hyperlink r:id="rId10" w:history="1">
        <w:r w:rsidRPr="00C6361C">
          <w:rPr>
            <w:rStyle w:val="Hyperlink"/>
            <w:rFonts w:asciiTheme="minorHAnsi" w:hAnsiTheme="minorHAnsi" w:cs="Arial"/>
            <w:b/>
            <w:color w:val="66B0FB" w:themeColor="hyperlink" w:themeTint="80"/>
            <w:sz w:val="20"/>
            <w:szCs w:val="20"/>
          </w:rPr>
          <w:t>www.unitingcommunities.org</w:t>
        </w:r>
      </w:hyperlink>
    </w:p>
    <w:p w:rsidR="00C6361C" w:rsidRDefault="00C6361C" w:rsidP="00C6361C">
      <w:pPr>
        <w:pStyle w:val="Footer"/>
        <w:ind w:left="-709"/>
        <w:rPr>
          <w:rFonts w:ascii="Arial" w:hAnsi="Arial" w:cs="Arial"/>
          <w:b/>
          <w:color w:val="7F7F7F" w:themeColor="text1" w:themeTint="80"/>
          <w:sz w:val="20"/>
          <w:szCs w:val="20"/>
        </w:rPr>
      </w:pPr>
    </w:p>
    <w:p w:rsidR="002F1E4C" w:rsidRDefault="002F1E4C"/>
    <w:p w:rsidR="00B37637" w:rsidRPr="00B37637" w:rsidRDefault="00B37637" w:rsidP="002F1E4C">
      <w:pPr>
        <w:pStyle w:val="TableofFigures"/>
        <w:tabs>
          <w:tab w:val="right" w:leader="dot" w:pos="9016"/>
        </w:tabs>
        <w:rPr>
          <w:rFonts w:asciiTheme="minorHAnsi" w:hAnsiTheme="minorHAnsi" w:cstheme="minorHAnsi"/>
          <w:color w:val="1F4E79" w:themeColor="accent1" w:themeShade="80"/>
          <w:sz w:val="24"/>
          <w:szCs w:val="24"/>
        </w:rPr>
      </w:pPr>
      <w:r w:rsidRPr="00B37637">
        <w:rPr>
          <w:rFonts w:asciiTheme="minorHAnsi" w:hAnsiTheme="minorHAnsi" w:cstheme="minorHAnsi"/>
          <w:color w:val="1F4E79" w:themeColor="accent1" w:themeShade="80"/>
          <w:sz w:val="24"/>
          <w:szCs w:val="24"/>
        </w:rPr>
        <w:lastRenderedPageBreak/>
        <w:t>Introduction</w:t>
      </w:r>
    </w:p>
    <w:p w:rsidR="00B37637" w:rsidRDefault="00B37637" w:rsidP="00B37637">
      <w:r>
        <w:t xml:space="preserve">This submission briefly considers each of the questions from the AER’s discussion paper. </w:t>
      </w:r>
      <w:r w:rsidR="00F0113B">
        <w:t xml:space="preserve">Uniting Communities </w:t>
      </w:r>
      <w:r>
        <w:t>is happy to be part of further discussions that may be needed to tease out some of the detail that will be required to develop</w:t>
      </w:r>
      <w:r w:rsidRPr="00B37637">
        <w:t xml:space="preserve"> electricity wholesale market performance monitoring</w:t>
      </w:r>
      <w:r>
        <w:t xml:space="preserve"> reports. We recognise the importance of this role and commend the AER for their careful consideration of appropriate measures.</w:t>
      </w:r>
    </w:p>
    <w:p w:rsidR="00B37637" w:rsidRDefault="00B37637" w:rsidP="00B37637">
      <w:r>
        <w:t xml:space="preserve">We wish to highlight that a very useful aspect of AER’s wholesale reporting is to bring together the best available wholesale market data into one, easy to access location – the AER website. So the wholesale reporting function, we suggest, is to both bring together existing, helpful data from a plurality of sources as well as identifying and publishing data that is not currently available to the public. Readily accessible, up to date data from a credible source (the AER) is particularly useful for consumer interest groups who do not have the resources to collate data from many sites, or even to undertake the data adjustment functions to make data </w:t>
      </w:r>
      <w:r w:rsidR="00AE3CB4">
        <w:t xml:space="preserve">comparable and /or </w:t>
      </w:r>
      <w:r>
        <w:t>suitable for public policy application.</w:t>
      </w:r>
    </w:p>
    <w:p w:rsidR="00B37637" w:rsidRPr="00B37637" w:rsidRDefault="00B37637" w:rsidP="00B37637"/>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1" w:anchor="_Toc491779150" w:history="1">
        <w:r w:rsidR="002F1E4C" w:rsidRPr="00C6361C">
          <w:rPr>
            <w:rStyle w:val="Hyperlink"/>
            <w:rFonts w:asciiTheme="minorHAnsi" w:hAnsiTheme="minorHAnsi"/>
            <w:noProof/>
            <w:sz w:val="24"/>
            <w:szCs w:val="24"/>
            <w:u w:val="none"/>
          </w:rPr>
          <w:t>Question 1: What material should we consider in establishing our approach?</w:t>
        </w:r>
      </w:hyperlink>
    </w:p>
    <w:p w:rsidR="00C6361C" w:rsidRPr="00F0029C" w:rsidRDefault="00F0113B" w:rsidP="00C6361C">
      <w:pPr>
        <w:rPr>
          <w:i/>
        </w:rPr>
      </w:pPr>
      <w:r>
        <w:t xml:space="preserve">Uniting Communities </w:t>
      </w:r>
      <w:r w:rsidR="00C6361C" w:rsidRPr="00C6361C">
        <w:t>recognises that the AER’s “</w:t>
      </w:r>
      <w:r w:rsidR="00C6361C" w:rsidRPr="00F0029C">
        <w:rPr>
          <w:i/>
        </w:rPr>
        <w:t>new wholesale market monitoring functions are to monitor and review, on a regular basis, the performance of wholesale electricity markets, including identifying and analysing whether:</w:t>
      </w:r>
    </w:p>
    <w:p w:rsidR="00C6361C" w:rsidRPr="00F0029C" w:rsidRDefault="00C6361C" w:rsidP="00C6361C">
      <w:pPr>
        <w:pStyle w:val="ListBullet"/>
        <w:rPr>
          <w:rFonts w:asciiTheme="minorHAnsi" w:hAnsiTheme="minorHAnsi"/>
          <w:i/>
        </w:rPr>
      </w:pPr>
      <w:r w:rsidRPr="00F0029C">
        <w:rPr>
          <w:rFonts w:asciiTheme="minorHAnsi" w:hAnsiTheme="minorHAnsi"/>
          <w:i/>
        </w:rPr>
        <w:t>there is effective competition in the market</w:t>
      </w:r>
    </w:p>
    <w:p w:rsidR="00C6361C" w:rsidRPr="00F0029C" w:rsidRDefault="00C6361C" w:rsidP="00C6361C">
      <w:pPr>
        <w:pStyle w:val="ListBullet"/>
        <w:rPr>
          <w:rFonts w:asciiTheme="minorHAnsi" w:hAnsiTheme="minorHAnsi"/>
          <w:i/>
        </w:rPr>
      </w:pPr>
      <w:r w:rsidRPr="00F0029C">
        <w:rPr>
          <w:rFonts w:asciiTheme="minorHAnsi" w:hAnsiTheme="minorHAnsi"/>
          <w:i/>
        </w:rPr>
        <w:t xml:space="preserve">there are features of the market that may be detrimental to effective competition within the market </w:t>
      </w:r>
    </w:p>
    <w:p w:rsidR="00C6361C" w:rsidRPr="00F0029C" w:rsidRDefault="00C6361C" w:rsidP="00C6361C">
      <w:pPr>
        <w:pStyle w:val="ListBullet"/>
        <w:rPr>
          <w:rFonts w:asciiTheme="minorHAnsi" w:hAnsiTheme="minorHAnsi"/>
          <w:i/>
        </w:rPr>
      </w:pPr>
      <w:proofErr w:type="gramStart"/>
      <w:r w:rsidRPr="00F0029C">
        <w:rPr>
          <w:rFonts w:asciiTheme="minorHAnsi" w:hAnsiTheme="minorHAnsi"/>
          <w:i/>
        </w:rPr>
        <w:t>there</w:t>
      </w:r>
      <w:proofErr w:type="gramEnd"/>
      <w:r w:rsidRPr="00F0029C">
        <w:rPr>
          <w:rFonts w:asciiTheme="minorHAnsi" w:hAnsiTheme="minorHAnsi"/>
          <w:i/>
        </w:rPr>
        <w:t xml:space="preserve"> are features of the market that may be impacting detrimentally on the efficient functioning of the market (and if so, assess the extent of the inefficiency).”</w:t>
      </w:r>
    </w:p>
    <w:p w:rsidR="00C6361C" w:rsidRPr="00C6361C" w:rsidRDefault="00C6361C" w:rsidP="00C6361C">
      <w:pPr>
        <w:pStyle w:val="ListBullet"/>
        <w:numPr>
          <w:ilvl w:val="0"/>
          <w:numId w:val="0"/>
        </w:numPr>
        <w:rPr>
          <w:rFonts w:asciiTheme="minorHAnsi" w:hAnsiTheme="minorHAnsi"/>
        </w:rPr>
      </w:pPr>
    </w:p>
    <w:p w:rsidR="00C6361C" w:rsidRDefault="00F0029C" w:rsidP="00C6361C">
      <w:r>
        <w:t>Standardisation</w:t>
      </w:r>
      <w:r w:rsidR="00C6361C">
        <w:t xml:space="preserve"> of reporting metrics, approaches an</w:t>
      </w:r>
      <w:r w:rsidR="009956D9">
        <w:t>d timelines is also crucial.</w:t>
      </w:r>
      <w:r w:rsidR="00DF6674">
        <w:t xml:space="preserve"> By standardisation we refer to the basic statistical factors associated with reporting a set of data. Standardised data means similar timeframes for all data in a dataset / report, </w:t>
      </w:r>
      <w:r w:rsidR="004F0321">
        <w:t xml:space="preserve">common application of economic parameters including reporting using real versus nominal data, </w:t>
      </w:r>
      <w:r w:rsidR="00DF6674">
        <w:t>standard approaches to</w:t>
      </w:r>
      <w:r w:rsidR="004F0321">
        <w:t xml:space="preserve"> any trend analysis p</w:t>
      </w:r>
      <w:r>
        <w:t>opulation standardisation etc. I</w:t>
      </w:r>
      <w:r w:rsidR="004F0321">
        <w:t>n shor</w:t>
      </w:r>
      <w:r>
        <w:t>t we are looking for a</w:t>
      </w:r>
      <w:r w:rsidR="004F0321">
        <w:t xml:space="preserve"> report that is as easy to use as possible and which is useful for public policy, regulatory compliance and other processes assisted by transparency.</w:t>
      </w:r>
    </w:p>
    <w:p w:rsidR="00C6361C" w:rsidRDefault="00C6361C" w:rsidP="00C6361C">
      <w:r>
        <w:t xml:space="preserve">Accessible data assists </w:t>
      </w:r>
      <w:r w:rsidR="00297E4D">
        <w:t>with market efficiency by reducing transaction costs in gaining information</w:t>
      </w:r>
      <w:r w:rsidR="004F0321">
        <w:t xml:space="preserve"> </w:t>
      </w:r>
      <w:r w:rsidR="00F0029C">
        <w:t xml:space="preserve">for </w:t>
      </w:r>
      <w:r w:rsidR="004F0321">
        <w:t>all market participants</w:t>
      </w:r>
      <w:r w:rsidR="00297E4D">
        <w:t>, a crucial a</w:t>
      </w:r>
      <w:r w:rsidR="00DF6674">
        <w:t>spect of effectively competitive</w:t>
      </w:r>
      <w:r w:rsidR="00297E4D">
        <w:t xml:space="preserve"> markets</w:t>
      </w:r>
      <w:r w:rsidR="004F0321">
        <w:t>.</w:t>
      </w:r>
    </w:p>
    <w:p w:rsidR="004F0321" w:rsidRDefault="004F0321" w:rsidP="00C6361C">
      <w:r>
        <w:t xml:space="preserve">In considering which material to utilise, we suggest that some trial and error will be appropriate and </w:t>
      </w:r>
      <w:r w:rsidR="00F0029C">
        <w:t xml:space="preserve">it </w:t>
      </w:r>
      <w:r>
        <w:t>will be better start off wit</w:t>
      </w:r>
      <w:r w:rsidR="00F0029C">
        <w:t>h a broader set of raw data that</w:t>
      </w:r>
      <w:r>
        <w:t xml:space="preserve"> may end up being used for reporting purposes, because as the report and its application evolves, different aspects of the report will come to the fore. </w:t>
      </w:r>
      <w:r w:rsidR="00F0029C">
        <w:t>A solid base data set will enable some adaption in published reporting over time.</w:t>
      </w:r>
    </w:p>
    <w:p w:rsidR="009E372E" w:rsidRPr="009E372E" w:rsidRDefault="009E372E" w:rsidP="009E372E">
      <w:pPr>
        <w:pStyle w:val="NoSpacing"/>
      </w:pPr>
      <w:r w:rsidRPr="009E372E">
        <w:t xml:space="preserve">In considering the ‘material to consider’, we suggest that the starting point is the experience </w:t>
      </w:r>
      <w:r>
        <w:t xml:space="preserve">and data </w:t>
      </w:r>
      <w:r w:rsidRPr="009E372E">
        <w:t xml:space="preserve">already held by or collected AER and AEMO, while the approaches of other international electricity </w:t>
      </w:r>
      <w:r>
        <w:t xml:space="preserve"> </w:t>
      </w:r>
      <w:r w:rsidRPr="009E372E">
        <w:t>market regulators and monitoring agencies is likely</w:t>
      </w:r>
      <w:r>
        <w:t xml:space="preserve"> to be very useful too. We also </w:t>
      </w:r>
      <w:r w:rsidRPr="009E372E">
        <w:t xml:space="preserve">think </w:t>
      </w:r>
      <w:r w:rsidRPr="009E372E">
        <w:lastRenderedPageBreak/>
        <w:t xml:space="preserve">that </w:t>
      </w:r>
      <w:proofErr w:type="gramStart"/>
      <w:r w:rsidRPr="009E372E">
        <w:t xml:space="preserve">the </w:t>
      </w:r>
      <w:r>
        <w:t xml:space="preserve"> </w:t>
      </w:r>
      <w:r w:rsidRPr="009E372E">
        <w:t>material</w:t>
      </w:r>
      <w:proofErr w:type="gramEnd"/>
      <w:r w:rsidRPr="009E372E">
        <w:t xml:space="preserve"> published by the AEMC as part of its consideration of the MEU's 2010 rule change proposal is useful, even though the initial proposal is from 7 years ago.</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2" w:anchor="_Toc491779151" w:history="1">
        <w:r w:rsidR="002F1E4C" w:rsidRPr="00C6361C">
          <w:rPr>
            <w:rStyle w:val="Hyperlink"/>
            <w:rFonts w:asciiTheme="minorHAnsi" w:hAnsiTheme="minorHAnsi"/>
            <w:noProof/>
            <w:sz w:val="24"/>
            <w:szCs w:val="24"/>
            <w:u w:val="none"/>
          </w:rPr>
          <w:t>Question 2: What factors should we consider when prioritising tools or analysis?</w:t>
        </w:r>
      </w:hyperlink>
    </w:p>
    <w:p w:rsidR="00DF6674" w:rsidRDefault="004F0321" w:rsidP="00DF6674">
      <w:r>
        <w:t xml:space="preserve">The primary factor to consider must be </w:t>
      </w:r>
      <w:r w:rsidR="00F0029C">
        <w:t>that consumer impact of all aspects of wholesale market operation</w:t>
      </w:r>
      <w:r>
        <w:t xml:space="preserve"> is ref</w:t>
      </w:r>
      <w:r w:rsidR="00F0029C">
        <w:t>lected in the data that is</w:t>
      </w:r>
      <w:r>
        <w:t xml:space="preserve"> presented</w:t>
      </w:r>
      <w:r w:rsidR="00F0029C">
        <w:t>, this means that data must be considered that deals with both</w:t>
      </w:r>
      <w:r>
        <w:t xml:space="preserve"> shorter term and</w:t>
      </w:r>
      <w:r w:rsidR="00DF6674">
        <w:t xml:space="preserve"> longer term</w:t>
      </w:r>
      <w:r>
        <w:t xml:space="preserve"> consumer impacts. We recognise that investment decisions in new generation must be taken with a longer term perspective, while so much current ‘debate’ and politicking associated with generation markets is very short-term focused. </w:t>
      </w:r>
    </w:p>
    <w:p w:rsidR="004F0321" w:rsidRDefault="004F0321" w:rsidP="00DF6674">
      <w:r>
        <w:t>Consumers, and particularly those assisted through the serv</w:t>
      </w:r>
      <w:r w:rsidR="009E372E">
        <w:t xml:space="preserve">ices provided by </w:t>
      </w:r>
      <w:r w:rsidR="00F0113B">
        <w:t xml:space="preserve">Uniting Communities </w:t>
      </w:r>
      <w:r>
        <w:t>and our peers, just want to know when prices will start coming down.</w:t>
      </w:r>
      <w:r w:rsidR="00F0029C">
        <w:t xml:space="preserve"> The priority for our clients is the period between now and the next bill. Modest and low income households need a strong sense of anticipation that future energy prices will </w:t>
      </w:r>
      <w:r w:rsidR="009E372E">
        <w:t>b</w:t>
      </w:r>
      <w:r w:rsidR="00F0029C">
        <w:t xml:space="preserve">e lower and that </w:t>
      </w:r>
      <w:r w:rsidR="009E372E">
        <w:t>the next bill won’t send their budget spiralling out of control.</w:t>
      </w:r>
    </w:p>
    <w:p w:rsidR="009E372E" w:rsidRPr="00F0113B" w:rsidRDefault="009E372E" w:rsidP="00DF6674">
      <w:r w:rsidRPr="00F0113B">
        <w:t xml:space="preserve">We note the following observation from Dr Philip Lewis from </w:t>
      </w:r>
      <w:proofErr w:type="spellStart"/>
      <w:r w:rsidRPr="00F0113B">
        <w:t>VaasaETT</w:t>
      </w:r>
      <w:proofErr w:type="spellEnd"/>
      <w:r w:rsidRPr="00F0113B">
        <w:t xml:space="preserve"> as part of a presentation to </w:t>
      </w:r>
      <w:r w:rsidR="00F0113B" w:rsidRPr="00F0113B">
        <w:t xml:space="preserve">the </w:t>
      </w:r>
      <w:r w:rsidRPr="00F0113B">
        <w:rPr>
          <w:rFonts w:cs="Arial"/>
          <w:lang w:val="en-US"/>
        </w:rPr>
        <w:t xml:space="preserve">World Economic Forum </w:t>
      </w:r>
      <w:r w:rsidR="00F0113B" w:rsidRPr="00F0113B">
        <w:rPr>
          <w:rFonts w:cs="Arial"/>
          <w:lang w:val="en-US"/>
        </w:rPr>
        <w:t>on “</w:t>
      </w:r>
      <w:r w:rsidRPr="00F0113B">
        <w:rPr>
          <w:rFonts w:cs="Arial"/>
          <w:lang w:val="en-US"/>
        </w:rPr>
        <w:t>Electricity Council Predictions for 2030</w:t>
      </w:r>
      <w:r w:rsidR="00F0113B">
        <w:rPr>
          <w:rStyle w:val="FootnoteReference"/>
          <w:rFonts w:cs="Arial"/>
          <w:lang w:val="en-US"/>
        </w:rPr>
        <w:footnoteReference w:id="1"/>
      </w:r>
      <w:r w:rsidR="00F0113B" w:rsidRPr="00F0113B">
        <w:rPr>
          <w:rFonts w:cs="Arial"/>
          <w:lang w:val="en-US"/>
        </w:rPr>
        <w:t>”</w:t>
      </w:r>
    </w:p>
    <w:p w:rsidR="009E372E" w:rsidRPr="009E372E" w:rsidRDefault="00F0113B" w:rsidP="00DF6674">
      <w:pPr>
        <w:rPr>
          <w:i/>
        </w:rPr>
      </w:pPr>
      <w:r>
        <w:t>“</w:t>
      </w:r>
      <w:r w:rsidR="009E372E" w:rsidRPr="009E372E">
        <w:rPr>
          <w:rFonts w:cs="Helvetica"/>
          <w:i/>
          <w:lang w:val="en"/>
        </w:rPr>
        <w:t>What bothers customers more than price levels is price volatility. Customer satisfaction with prices actually has less to do with what they are paying than how suddenly it changes, if it goes down as well as up and so on.</w:t>
      </w:r>
      <w:r>
        <w:rPr>
          <w:rFonts w:cs="Helvetica"/>
          <w:i/>
          <w:lang w:val="en"/>
        </w:rPr>
        <w:t>”</w:t>
      </w:r>
    </w:p>
    <w:p w:rsidR="00F0113B" w:rsidRDefault="00F0113B" w:rsidP="00DF6674">
      <w:r>
        <w:t>So a part of the prioritisation will need to be on data and analysis that deals with factors affecting price volatility.</w:t>
      </w:r>
    </w:p>
    <w:p w:rsidR="004F0321" w:rsidRDefault="004F0321" w:rsidP="00DF6674">
      <w:r>
        <w:t>As was indicated above, prioritising decisions will need to focus on comparability of data sets which will mean that both longitudinal data, including</w:t>
      </w:r>
      <w:r w:rsidR="00F0113B">
        <w:t xml:space="preserve"> performance on a generator</w:t>
      </w:r>
      <w:r>
        <w:t xml:space="preserve"> by generator basis will be important so the performance of individual generation assets can be seen. Comparability across generation asset classes will also be important</w:t>
      </w:r>
      <w:r w:rsidR="00F0113B">
        <w:t>, so some benchmarking will be necessary</w:t>
      </w:r>
      <w:r w:rsidR="00706092">
        <w:t>. We are aware of sensitivities with notions of benchmarking, particularly f</w:t>
      </w:r>
      <w:r w:rsidR="00F0113B">
        <w:t>rom businesses involved, however</w:t>
      </w:r>
      <w:r w:rsidR="00706092">
        <w:t xml:space="preserve"> we believe that a commitment to effective benchmarking, over a reasonable time period</w:t>
      </w:r>
      <w:r w:rsidR="00F0113B">
        <w:t>, is also crucial and applicable to generation.</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3" w:anchor="_Toc491779152" w:history="1">
        <w:r w:rsidR="002F1E4C" w:rsidRPr="00C6361C">
          <w:rPr>
            <w:rStyle w:val="Hyperlink"/>
            <w:rFonts w:asciiTheme="minorHAnsi" w:hAnsiTheme="minorHAnsi"/>
            <w:noProof/>
            <w:sz w:val="24"/>
            <w:szCs w:val="24"/>
            <w:u w:val="none"/>
          </w:rPr>
          <w:t xml:space="preserve">Question 3: What are the relevant products in the wholesale electricity markets? Are </w:t>
        </w:r>
        <w:r w:rsidR="002F1E4C" w:rsidRPr="00C6361C">
          <w:rPr>
            <w:rStyle w:val="Hyperlink"/>
            <w:rFonts w:asciiTheme="minorHAnsi" w:hAnsiTheme="minorHAnsi"/>
            <w:sz w:val="24"/>
            <w:szCs w:val="24"/>
            <w:u w:val="none"/>
          </w:rPr>
          <w:t xml:space="preserve">frequency control ancillary services (FCAS) </w:t>
        </w:r>
        <w:r w:rsidR="002F1E4C" w:rsidRPr="00C6361C">
          <w:rPr>
            <w:rStyle w:val="Hyperlink"/>
            <w:rFonts w:asciiTheme="minorHAnsi" w:hAnsiTheme="minorHAnsi"/>
            <w:noProof/>
            <w:sz w:val="24"/>
            <w:szCs w:val="24"/>
            <w:u w:val="none"/>
          </w:rPr>
          <w:t>and energy products part of the same or different markets?</w:t>
        </w:r>
      </w:hyperlink>
    </w:p>
    <w:p w:rsidR="00706092" w:rsidRDefault="00706092" w:rsidP="00706092">
      <w:r>
        <w:t>We are strongly of the opinion that all relevant aspects of wholesale electricity markets need to be monitored with data publicly available</w:t>
      </w:r>
      <w:r w:rsidR="00F0113B">
        <w:t>,</w:t>
      </w:r>
      <w:r>
        <w:t xml:space="preserve"> since all aspects of wholesale markets impact on the price that consumers end up paying. For this reason ancillary control services will need to be included in data reporting, including frequency control as well as system restart and related ancillary services</w:t>
      </w:r>
      <w:r w:rsidR="00F0113B">
        <w:t>.</w:t>
      </w:r>
      <w:r>
        <w:t xml:space="preserve"> </w:t>
      </w:r>
      <w:r w:rsidR="00F0113B">
        <w:t>There is a need to be</w:t>
      </w:r>
      <w:r>
        <w:t xml:space="preserve"> open to the reporting on any new provisions that may become part of wholesale electricity markets, including inertia for example.</w:t>
      </w:r>
    </w:p>
    <w:p w:rsidR="007229B0" w:rsidRDefault="007229B0" w:rsidP="00706092">
      <w:r>
        <w:t xml:space="preserve">We recognise that energy markets across the world are changing dramatically, and believe it will be at least another five years before there is some ‘settling down’ of energy markets, this means that wholesale energy markets in Australia will continue to change significantly over coming years. Data </w:t>
      </w:r>
      <w:r>
        <w:lastRenderedPageBreak/>
        <w:t>reporting will need to be able to monitor grid scale storage performance as well as activity and impacts of demand aggregators</w:t>
      </w:r>
      <w:r w:rsidR="00F0113B">
        <w:t>, recognising that these</w:t>
      </w:r>
      <w:r>
        <w:t xml:space="preserve"> services already exist in the Australian market. We believe they </w:t>
      </w:r>
      <w:r w:rsidR="00F0113B">
        <w:t>are likely to have growing significance</w:t>
      </w:r>
      <w:r>
        <w:t xml:space="preserve"> and hence impact on wholesale markets. </w:t>
      </w:r>
    </w:p>
    <w:p w:rsidR="00706092" w:rsidRDefault="00706092" w:rsidP="00706092">
      <w:r>
        <w:t xml:space="preserve">An example of likely significant change impacting on wholesale markets is the rule change currently be considered by the AEMC to move to five-minute settlement across the national electricity market. The draft will change proposes a transition period, which </w:t>
      </w:r>
      <w:r w:rsidR="00F0113B">
        <w:t xml:space="preserve">Uniting Communities </w:t>
      </w:r>
      <w:r>
        <w:t>has endorsed. A recommendation that we have made to the AEMC for this rule change relates to monitoring during the transition, we said:</w:t>
      </w:r>
    </w:p>
    <w:p w:rsidR="007229B0" w:rsidRPr="007229B0" w:rsidRDefault="007229B0" w:rsidP="007229B0">
      <w:pPr>
        <w:rPr>
          <w:rFonts w:cstheme="minorHAnsi"/>
          <w:b/>
          <w:i/>
          <w:sz w:val="24"/>
          <w:szCs w:val="24"/>
        </w:rPr>
      </w:pPr>
      <w:r w:rsidRPr="007229B0">
        <w:rPr>
          <w:i/>
        </w:rPr>
        <w:t>“</w:t>
      </w:r>
      <w:r w:rsidRPr="007229B0">
        <w:rPr>
          <w:rFonts w:cstheme="minorHAnsi"/>
          <w:b/>
          <w:i/>
          <w:sz w:val="24"/>
          <w:szCs w:val="24"/>
        </w:rPr>
        <w:t>Transition monitoring</w:t>
      </w:r>
    </w:p>
    <w:p w:rsidR="007229B0" w:rsidRPr="007229B0" w:rsidRDefault="00F0113B" w:rsidP="007229B0">
      <w:pPr>
        <w:pStyle w:val="ReportTitle"/>
        <w:jc w:val="left"/>
        <w:rPr>
          <w:rFonts w:asciiTheme="minorHAnsi" w:hAnsiTheme="minorHAnsi" w:cstheme="minorHAnsi"/>
          <w:b w:val="0"/>
          <w:i/>
          <w:sz w:val="24"/>
          <w:szCs w:val="24"/>
        </w:rPr>
      </w:pPr>
      <w:r>
        <w:rPr>
          <w:rFonts w:asciiTheme="minorHAnsi" w:hAnsiTheme="minorHAnsi" w:cstheme="minorHAnsi"/>
          <w:b w:val="0"/>
          <w:i/>
          <w:sz w:val="24"/>
          <w:szCs w:val="24"/>
        </w:rPr>
        <w:t xml:space="preserve">Uniting Communities </w:t>
      </w:r>
      <w:r w:rsidR="007229B0" w:rsidRPr="007229B0">
        <w:rPr>
          <w:rFonts w:asciiTheme="minorHAnsi" w:hAnsiTheme="minorHAnsi" w:cstheme="minorHAnsi"/>
          <w:b w:val="0"/>
          <w:i/>
          <w:sz w:val="24"/>
          <w:szCs w:val="24"/>
        </w:rPr>
        <w:t>encourages the AEMC, in making its final rule decision, to consider a process for monitoring the transition to five-minute settlement with particular regard to identifying any detrimental impacts on consumers. Transparent processes and regular public reporting particular during periods of change, does much to allay consumer waryness.</w:t>
      </w:r>
    </w:p>
    <w:p w:rsidR="007229B0" w:rsidRPr="007229B0" w:rsidRDefault="007229B0" w:rsidP="007229B0">
      <w:pPr>
        <w:pStyle w:val="ReportTitle"/>
        <w:jc w:val="left"/>
        <w:rPr>
          <w:rFonts w:asciiTheme="minorHAnsi" w:hAnsiTheme="minorHAnsi" w:cstheme="minorHAnsi"/>
          <w:b w:val="0"/>
          <w:i/>
          <w:sz w:val="24"/>
          <w:szCs w:val="24"/>
        </w:rPr>
      </w:pPr>
    </w:p>
    <w:p w:rsidR="007229B0" w:rsidRDefault="007229B0" w:rsidP="007229B0">
      <w:pPr>
        <w:pStyle w:val="ReportTitle"/>
        <w:jc w:val="left"/>
        <w:rPr>
          <w:rFonts w:asciiTheme="minorHAnsi" w:hAnsiTheme="minorHAnsi" w:cstheme="minorHAnsi"/>
          <w:b w:val="0"/>
          <w:i/>
          <w:sz w:val="24"/>
          <w:szCs w:val="24"/>
        </w:rPr>
      </w:pPr>
      <w:r w:rsidRPr="007229B0">
        <w:rPr>
          <w:rFonts w:asciiTheme="minorHAnsi" w:hAnsiTheme="minorHAnsi" w:cstheme="minorHAnsi"/>
          <w:b w:val="0"/>
          <w:i/>
          <w:sz w:val="24"/>
          <w:szCs w:val="24"/>
        </w:rPr>
        <w:t>We note that the AER is currently considering their “Approach to electricity wholesale market performance monitoring”</w:t>
      </w:r>
      <w:r w:rsidRPr="007229B0">
        <w:rPr>
          <w:rStyle w:val="FootnoteReference"/>
          <w:rFonts w:asciiTheme="minorHAnsi" w:hAnsiTheme="minorHAnsi" w:cstheme="minorHAnsi"/>
          <w:b w:val="0"/>
          <w:i/>
          <w:sz w:val="24"/>
          <w:szCs w:val="24"/>
        </w:rPr>
        <w:footnoteReference w:id="2"/>
      </w:r>
      <w:r w:rsidRPr="007229B0">
        <w:rPr>
          <w:rFonts w:asciiTheme="minorHAnsi" w:hAnsiTheme="minorHAnsi" w:cstheme="minorHAnsi"/>
          <w:b w:val="0"/>
          <w:i/>
          <w:sz w:val="24"/>
          <w:szCs w:val="24"/>
        </w:rPr>
        <w:t xml:space="preserve"> and has issued a discusison paper</w:t>
      </w:r>
      <w:r>
        <w:rPr>
          <w:rFonts w:asciiTheme="minorHAnsi" w:hAnsiTheme="minorHAnsi" w:cstheme="minorHAnsi"/>
          <w:b w:val="0"/>
          <w:i/>
          <w:sz w:val="24"/>
          <w:szCs w:val="24"/>
        </w:rPr>
        <w:t>.</w:t>
      </w:r>
    </w:p>
    <w:p w:rsidR="007229B0" w:rsidRPr="007229B0" w:rsidRDefault="007229B0" w:rsidP="007229B0">
      <w:pPr>
        <w:rPr>
          <w:lang w:eastAsia="en-AU"/>
        </w:rPr>
      </w:pPr>
    </w:p>
    <w:p w:rsidR="007229B0" w:rsidRPr="007229B0" w:rsidRDefault="007229B0" w:rsidP="007229B0">
      <w:pPr>
        <w:rPr>
          <w:rFonts w:cstheme="minorHAnsi"/>
          <w:i/>
          <w:sz w:val="24"/>
          <w:szCs w:val="24"/>
        </w:rPr>
      </w:pPr>
      <w:r w:rsidRPr="007229B0">
        <w:rPr>
          <w:rFonts w:cstheme="minorHAnsi"/>
          <w:i/>
          <w:sz w:val="24"/>
          <w:szCs w:val="24"/>
        </w:rPr>
        <w:t>Consequently it is our suggestion that monitoring the transition to five-minute settlement ‘resides’ appropriately with the AER and would almost certainly be compatible with their newly extended wholesale market performance monitoring responsibilities.”</w:t>
      </w:r>
    </w:p>
    <w:p w:rsidR="00706092" w:rsidRPr="00706092" w:rsidRDefault="00706092" w:rsidP="00706092"/>
    <w:p w:rsidR="002F1E4C" w:rsidRPr="00C6361C" w:rsidRDefault="004B540D" w:rsidP="002F1E4C">
      <w:pPr>
        <w:pStyle w:val="TableofFigures"/>
        <w:tabs>
          <w:tab w:val="right" w:leader="dot" w:pos="9016"/>
        </w:tabs>
        <w:rPr>
          <w:rFonts w:asciiTheme="minorHAnsi" w:eastAsiaTheme="minorEastAsia" w:hAnsiTheme="minorHAnsi"/>
          <w:noProof/>
          <w:sz w:val="24"/>
          <w:szCs w:val="24"/>
          <w:lang w:eastAsia="en-AU"/>
        </w:rPr>
      </w:pPr>
      <w:hyperlink r:id="rId14" w:anchor="_Toc491779153" w:history="1">
        <w:r w:rsidR="002F1E4C" w:rsidRPr="00C6361C">
          <w:rPr>
            <w:rStyle w:val="Hyperlink"/>
            <w:rFonts w:asciiTheme="minorHAnsi" w:hAnsiTheme="minorHAnsi"/>
            <w:noProof/>
            <w:sz w:val="24"/>
            <w:szCs w:val="24"/>
            <w:u w:val="none"/>
          </w:rPr>
          <w:t>Question 4: Given the interactions between spot and derivatives markets, to what extent should we incorporate monitoring and reporting of outcomes in derivatives markets?</w:t>
        </w:r>
      </w:hyperlink>
    </w:p>
    <w:p w:rsidR="007229B0" w:rsidRDefault="007229B0" w:rsidP="002F1E4C">
      <w:pPr>
        <w:pStyle w:val="TableofFigures"/>
        <w:tabs>
          <w:tab w:val="right" w:leader="dot" w:pos="9016"/>
        </w:tabs>
        <w:rPr>
          <w:rFonts w:asciiTheme="minorHAnsi" w:hAnsiTheme="minorHAnsi"/>
        </w:rPr>
      </w:pPr>
      <w:r w:rsidRPr="007229B0">
        <w:rPr>
          <w:rFonts w:asciiTheme="minorHAnsi" w:hAnsiTheme="minorHAnsi"/>
        </w:rPr>
        <w:t>Since the discussion paper was released</w:t>
      </w:r>
      <w:r w:rsidR="00F0113B">
        <w:rPr>
          <w:rFonts w:asciiTheme="minorHAnsi" w:hAnsiTheme="minorHAnsi"/>
        </w:rPr>
        <w:t>, the Commonwealth G</w:t>
      </w:r>
      <w:r>
        <w:rPr>
          <w:rFonts w:asciiTheme="minorHAnsi" w:hAnsiTheme="minorHAnsi"/>
        </w:rPr>
        <w:t xml:space="preserve">overnment has acted on advice from the </w:t>
      </w:r>
      <w:r w:rsidR="00AC494F">
        <w:rPr>
          <w:rFonts w:asciiTheme="minorHAnsi" w:hAnsiTheme="minorHAnsi"/>
        </w:rPr>
        <w:t xml:space="preserve">Energy Security Board </w:t>
      </w:r>
      <w:r>
        <w:rPr>
          <w:rFonts w:asciiTheme="minorHAnsi" w:hAnsiTheme="minorHAnsi"/>
        </w:rPr>
        <w:t>and announced the NEG</w:t>
      </w:r>
      <w:r w:rsidR="00F0113B">
        <w:rPr>
          <w:rFonts w:asciiTheme="minorHAnsi" w:hAnsiTheme="minorHAnsi"/>
        </w:rPr>
        <w:t xml:space="preserve"> </w:t>
      </w:r>
      <w:r>
        <w:rPr>
          <w:rFonts w:asciiTheme="minorHAnsi" w:hAnsiTheme="minorHAnsi"/>
        </w:rPr>
        <w:t>- National Energy Guarantee. Our reading of the ini</w:t>
      </w:r>
      <w:r w:rsidR="00AC494F">
        <w:rPr>
          <w:rFonts w:asciiTheme="minorHAnsi" w:hAnsiTheme="minorHAnsi"/>
        </w:rPr>
        <w:t>tial announcements suggest</w:t>
      </w:r>
      <w:r>
        <w:rPr>
          <w:rFonts w:asciiTheme="minorHAnsi" w:hAnsiTheme="minorHAnsi"/>
        </w:rPr>
        <w:t xml:space="preserve"> that major importance is being placed on increased liquidity of derivative markets utilised by wholesalers and retailers. This reinforces our view that reporting on spot and derivative markets</w:t>
      </w:r>
      <w:r w:rsidR="00FC222F">
        <w:rPr>
          <w:rFonts w:asciiTheme="minorHAnsi" w:hAnsiTheme="minorHAnsi"/>
        </w:rPr>
        <w:t xml:space="preserve"> will be crucial for monitoring and reporting by the AER.</w:t>
      </w:r>
      <w:r w:rsidR="00F0113B">
        <w:rPr>
          <w:rFonts w:asciiTheme="minorHAnsi" w:hAnsiTheme="minorHAnsi"/>
        </w:rPr>
        <w:t xml:space="preserve"> </w:t>
      </w:r>
    </w:p>
    <w:p w:rsidR="00FC222F" w:rsidRPr="00FC222F" w:rsidRDefault="00FC222F" w:rsidP="00FC222F">
      <w:r>
        <w:t>We suggest that increased liquidity in both spot and derivative markets is crucial for wholesale price reductions that will flow through to end customers. For effective competition to occur in Austral</w:t>
      </w:r>
      <w:r w:rsidR="00F0113B">
        <w:t>ian energy markets</w:t>
      </w:r>
      <w:r>
        <w:t xml:space="preserve"> </w:t>
      </w:r>
      <w:r w:rsidR="00F0113B">
        <w:t>‘</w:t>
      </w:r>
      <w:r>
        <w:t>second-tier</w:t>
      </w:r>
      <w:r w:rsidR="00F0113B">
        <w:t>’</w:t>
      </w:r>
      <w:r>
        <w:t xml:space="preserve"> retailers need to be able to access wholesale markets and the market power of both wholesale and retail oligopolies reduced. Publicly reported data about the extent of trade and future contract prices through both spot and derivative markets will assist with transparency and assist with public policy and regulation for Australian energy markets.</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5" w:anchor="_Toc491779154" w:history="1">
        <w:r w:rsidR="002F1E4C" w:rsidRPr="00C6361C">
          <w:rPr>
            <w:rStyle w:val="Hyperlink"/>
            <w:rFonts w:asciiTheme="minorHAnsi" w:hAnsiTheme="minorHAnsi"/>
            <w:noProof/>
            <w:sz w:val="24"/>
            <w:szCs w:val="24"/>
            <w:u w:val="none"/>
          </w:rPr>
          <w:t xml:space="preserve">Question 5: To what extent should we incorporate monitoring and reporting of </w:t>
        </w:r>
        <w:r w:rsidR="002F1E4C" w:rsidRPr="00C6361C">
          <w:rPr>
            <w:rStyle w:val="Hyperlink"/>
            <w:rFonts w:asciiTheme="minorHAnsi" w:hAnsiTheme="minorHAnsi"/>
            <w:sz w:val="24"/>
            <w:szCs w:val="24"/>
            <w:u w:val="none"/>
          </w:rPr>
          <w:t>interregional settlement residue rights (</w:t>
        </w:r>
        <w:r w:rsidR="002F1E4C" w:rsidRPr="00C6361C">
          <w:rPr>
            <w:rStyle w:val="Hyperlink"/>
            <w:rFonts w:asciiTheme="minorHAnsi" w:hAnsiTheme="minorHAnsi"/>
            <w:noProof/>
            <w:sz w:val="24"/>
            <w:szCs w:val="24"/>
            <w:u w:val="none"/>
          </w:rPr>
          <w:t>IRSRs</w:t>
        </w:r>
        <w:r w:rsidR="002F1E4C" w:rsidRPr="00C6361C">
          <w:rPr>
            <w:rStyle w:val="Hyperlink"/>
            <w:rFonts w:asciiTheme="minorHAnsi" w:hAnsiTheme="minorHAnsi"/>
            <w:sz w:val="24"/>
            <w:szCs w:val="24"/>
            <w:u w:val="none"/>
          </w:rPr>
          <w:t>)</w:t>
        </w:r>
        <w:r w:rsidR="002F1E4C" w:rsidRPr="00C6361C">
          <w:rPr>
            <w:rStyle w:val="Hyperlink"/>
            <w:rFonts w:asciiTheme="minorHAnsi" w:hAnsiTheme="minorHAnsi"/>
            <w:noProof/>
            <w:sz w:val="24"/>
            <w:szCs w:val="24"/>
            <w:u w:val="none"/>
          </w:rPr>
          <w:t>?</w:t>
        </w:r>
      </w:hyperlink>
    </w:p>
    <w:p w:rsidR="00FC222F" w:rsidRPr="00FC222F" w:rsidRDefault="00FC222F" w:rsidP="00FC222F">
      <w:r>
        <w:t>Monitoring and reporting of interregional settlement residue rights needs to be part of the total report on wholesale market monitoring, but in terms of “extent” we suggest that this is more a role of bringing together existing data rather than spending resources on additional reporting. Monitoring will be more about the interpla</w:t>
      </w:r>
      <w:r w:rsidR="002C0CCF">
        <w:t>y between IRSR’s, spot and derivative markets as well as</w:t>
      </w:r>
      <w:r>
        <w:t xml:space="preserve"> jurisdictional markets.</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6" w:anchor="_Toc491779155" w:history="1">
        <w:r w:rsidR="002F1E4C" w:rsidRPr="00C6361C">
          <w:rPr>
            <w:rStyle w:val="Hyperlink"/>
            <w:rFonts w:asciiTheme="minorHAnsi" w:hAnsiTheme="minorHAnsi"/>
            <w:noProof/>
            <w:sz w:val="24"/>
            <w:szCs w:val="24"/>
            <w:u w:val="none"/>
          </w:rPr>
          <w:t>Question 6: What are the factors we should consider when defining the geographic dimensions of the market?</w:t>
        </w:r>
      </w:hyperlink>
    </w:p>
    <w:p w:rsidR="00FC222F" w:rsidRDefault="00FC222F" w:rsidP="00FC222F">
      <w:r>
        <w:t xml:space="preserve">While the national electricity market is a national market, (except for WA and NT), there are significant differences between jurisdictions in terms of their generation mix. New South Wales for example has high reliance on black coal, South Australia is one of the world’s leading jurisdictions for renewable generation, </w:t>
      </w:r>
      <w:proofErr w:type="gramStart"/>
      <w:r>
        <w:t>ACT</w:t>
      </w:r>
      <w:proofErr w:type="gramEnd"/>
      <w:r>
        <w:t xml:space="preserve"> sources much of its electricity from reverse auctions with little local generation. The significant differences across geographic regions means that data reporting for wholesale markets will need to be strongly influenced by geographic dimensions, with reporting on each existing jurisdiction. We believe it would be appropriate to include reporting on W.A.</w:t>
      </w:r>
      <w:r w:rsidR="002C0CCF">
        <w:t xml:space="preserve"> and</w:t>
      </w:r>
      <w:r>
        <w:t xml:space="preserve"> Northern Territory wholesale markets, where possible, </w:t>
      </w:r>
      <w:r w:rsidR="00435149">
        <w:t>so that there is a genuinely national data report produced.</w:t>
      </w:r>
    </w:p>
    <w:p w:rsidR="00435149" w:rsidRDefault="00435149" w:rsidP="00FC222F">
      <w:r>
        <w:t>We also note that there is considerable variation within the existing jurisdictions in terms of effec</w:t>
      </w:r>
      <w:r w:rsidR="002C0CCF">
        <w:t>tiveness of competition for some</w:t>
      </w:r>
      <w:r>
        <w:t xml:space="preserve"> consumers. So there will need to be some means for assessing regional impacts including both regional centres and rural locations where choice i</w:t>
      </w:r>
      <w:r w:rsidR="002C0CCF">
        <w:t>s often very limited</w:t>
      </w:r>
      <w:r>
        <w:t xml:space="preserve">. It is also our understanding that raising this issue raises another data reporting question pertaining to locations that choose to go ‘off grid’. We recognise Horizon Power’s leadership in this area but know that all network businesses dealing with relatively remote towns and communities are already actively considering the options of localised generation and distribution for more remote communities, particularly those currently served by “long, skinny” </w:t>
      </w:r>
      <w:r w:rsidR="002C0CCF">
        <w:t xml:space="preserve">(SWER) </w:t>
      </w:r>
      <w:r>
        <w:t>distribution lines.</w:t>
      </w:r>
    </w:p>
    <w:p w:rsidR="00752903" w:rsidRPr="00FC222F" w:rsidRDefault="00752903" w:rsidP="00FC222F">
      <w:r>
        <w:t xml:space="preserve">The reporting of off grid communities is an aspect of the wholesale data report that we think should evolve over time. We also note that including indigenous communities in this reporting would be invaluable as electricity costs can be very high and service very unreliable. </w:t>
      </w:r>
      <w:r w:rsidR="00F0113B">
        <w:t xml:space="preserve">Uniting Communities </w:t>
      </w:r>
      <w:r>
        <w:t xml:space="preserve">works closely with the </w:t>
      </w:r>
      <w:proofErr w:type="spellStart"/>
      <w:r w:rsidRPr="00752903">
        <w:rPr>
          <w:rFonts w:cs="Arial"/>
        </w:rPr>
        <w:t>A</w:t>
      </w:r>
      <w:r w:rsidRPr="00752903">
        <w:rPr>
          <w:rFonts w:cs="Arial"/>
          <w:u w:val="single"/>
        </w:rPr>
        <w:t>n</w:t>
      </w:r>
      <w:r w:rsidRPr="00752903">
        <w:rPr>
          <w:rFonts w:cs="Arial"/>
        </w:rPr>
        <w:t>angu</w:t>
      </w:r>
      <w:proofErr w:type="spellEnd"/>
      <w:r w:rsidRPr="00752903">
        <w:rPr>
          <w:rFonts w:cs="Arial"/>
        </w:rPr>
        <w:t xml:space="preserve"> </w:t>
      </w:r>
      <w:r>
        <w:rPr>
          <w:rFonts w:cs="Arial"/>
        </w:rPr>
        <w:t xml:space="preserve">communities from the </w:t>
      </w:r>
      <w:proofErr w:type="spellStart"/>
      <w:r w:rsidRPr="00752903">
        <w:rPr>
          <w:rFonts w:cs="Arial"/>
        </w:rPr>
        <w:t>A</w:t>
      </w:r>
      <w:r w:rsidRPr="00752903">
        <w:rPr>
          <w:rFonts w:cs="Arial"/>
          <w:u w:val="single"/>
        </w:rPr>
        <w:t>n</w:t>
      </w:r>
      <w:r w:rsidRPr="00752903">
        <w:rPr>
          <w:rFonts w:cs="Arial"/>
        </w:rPr>
        <w:t>angu</w:t>
      </w:r>
      <w:proofErr w:type="spellEnd"/>
      <w:r w:rsidRPr="00752903">
        <w:rPr>
          <w:rFonts w:cs="Arial"/>
        </w:rPr>
        <w:t xml:space="preserve"> Pitjantjatjara </w:t>
      </w:r>
      <w:proofErr w:type="spellStart"/>
      <w:r w:rsidRPr="00752903">
        <w:rPr>
          <w:rFonts w:cs="Arial"/>
        </w:rPr>
        <w:t>Yankunytjatjara</w:t>
      </w:r>
      <w:proofErr w:type="spellEnd"/>
      <w:r w:rsidRPr="00752903">
        <w:rPr>
          <w:rFonts w:cs="Arial"/>
        </w:rPr>
        <w:t xml:space="preserve"> (APY)</w:t>
      </w:r>
      <w:r>
        <w:rPr>
          <w:rFonts w:cs="Arial"/>
        </w:rPr>
        <w:t xml:space="preserve"> lands and would be happy to talk further about the possibilities of wholesale electricity data collection and monitoring for remote, Indigenous communities</w:t>
      </w:r>
      <w:r w:rsidR="002C0CCF">
        <w:rPr>
          <w:rFonts w:cs="Arial"/>
        </w:rPr>
        <w:t>.</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7" w:anchor="_Toc491779156" w:history="1">
        <w:r w:rsidR="002F1E4C" w:rsidRPr="00C6361C">
          <w:rPr>
            <w:rStyle w:val="Hyperlink"/>
            <w:rFonts w:asciiTheme="minorHAnsi" w:hAnsiTheme="minorHAnsi"/>
            <w:noProof/>
            <w:sz w:val="24"/>
            <w:szCs w:val="24"/>
            <w:u w:val="none"/>
          </w:rPr>
          <w:t>Question 7: What are the factors we should consider when determining the relevant period of time for our assessment?</w:t>
        </w:r>
      </w:hyperlink>
    </w:p>
    <w:p w:rsidR="00435149" w:rsidRPr="00435149" w:rsidRDefault="00435149" w:rsidP="00435149">
      <w:r>
        <w:t xml:space="preserve">Given that generation assets are longer life assets, noting the amount of change currently underway in energy markets, we suggest that </w:t>
      </w:r>
      <w:r w:rsidR="002C0CCF">
        <w:t xml:space="preserve">the </w:t>
      </w:r>
      <w:r>
        <w:t>reporting period would ideally cover at least 20 years, longer for some datasets where data exists. For longitudinal data we recommend that a minimum of 10 years data is reported, but would prefer 20 years.</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8" w:anchor="_Toc491779157" w:history="1">
        <w:r w:rsidR="002F1E4C" w:rsidRPr="00C6361C">
          <w:rPr>
            <w:rStyle w:val="Hyperlink"/>
            <w:rFonts w:asciiTheme="minorHAnsi" w:hAnsiTheme="minorHAnsi"/>
            <w:noProof/>
            <w:sz w:val="24"/>
            <w:szCs w:val="24"/>
            <w:u w:val="none"/>
          </w:rPr>
          <w:t>Question 8: What issues should we be aware of in applying the definition of effective competition in the N</w:t>
        </w:r>
        <w:proofErr w:type="spellStart"/>
        <w:r w:rsidR="002F1E4C" w:rsidRPr="00C6361C">
          <w:rPr>
            <w:rStyle w:val="Hyperlink"/>
            <w:rFonts w:asciiTheme="minorHAnsi" w:hAnsiTheme="minorHAnsi"/>
            <w:sz w:val="24"/>
            <w:szCs w:val="24"/>
            <w:u w:val="none"/>
          </w:rPr>
          <w:t>ational</w:t>
        </w:r>
        <w:proofErr w:type="spellEnd"/>
        <w:r w:rsidR="002F1E4C" w:rsidRPr="00C6361C">
          <w:rPr>
            <w:rStyle w:val="Hyperlink"/>
            <w:rFonts w:asciiTheme="minorHAnsi" w:hAnsiTheme="minorHAnsi"/>
            <w:sz w:val="24"/>
            <w:szCs w:val="24"/>
            <w:u w:val="none"/>
          </w:rPr>
          <w:t xml:space="preserve"> Electricity Law</w:t>
        </w:r>
        <w:r w:rsidR="002F1E4C" w:rsidRPr="00C6361C">
          <w:rPr>
            <w:rStyle w:val="Hyperlink"/>
            <w:rFonts w:asciiTheme="minorHAnsi" w:hAnsiTheme="minorHAnsi"/>
            <w:noProof/>
            <w:sz w:val="24"/>
            <w:szCs w:val="24"/>
            <w:u w:val="none"/>
          </w:rPr>
          <w:t>? Are there additional matte</w:t>
        </w:r>
        <w:proofErr w:type="spellStart"/>
        <w:r w:rsidR="002F1E4C" w:rsidRPr="00C6361C">
          <w:rPr>
            <w:rStyle w:val="Hyperlink"/>
            <w:rFonts w:asciiTheme="minorHAnsi" w:hAnsiTheme="minorHAnsi"/>
            <w:sz w:val="24"/>
            <w:szCs w:val="24"/>
            <w:u w:val="none"/>
          </w:rPr>
          <w:t>rs</w:t>
        </w:r>
        <w:proofErr w:type="spellEnd"/>
        <w:r w:rsidR="002F1E4C" w:rsidRPr="00C6361C">
          <w:rPr>
            <w:rStyle w:val="Hyperlink"/>
            <w:rFonts w:asciiTheme="minorHAnsi" w:hAnsiTheme="minorHAnsi"/>
            <w:sz w:val="24"/>
            <w:szCs w:val="24"/>
            <w:u w:val="none"/>
          </w:rPr>
          <w:t xml:space="preserve"> </w:t>
        </w:r>
        <w:r w:rsidR="002F1E4C" w:rsidRPr="00C6361C">
          <w:rPr>
            <w:rStyle w:val="Hyperlink"/>
            <w:rFonts w:asciiTheme="minorHAnsi" w:hAnsiTheme="minorHAnsi"/>
            <w:noProof/>
            <w:sz w:val="24"/>
            <w:szCs w:val="24"/>
            <w:u w:val="none"/>
          </w:rPr>
          <w:t>we should consider?</w:t>
        </w:r>
      </w:hyperlink>
    </w:p>
    <w:p w:rsidR="00435149" w:rsidRDefault="00435149" w:rsidP="00435149">
      <w:r>
        <w:lastRenderedPageBreak/>
        <w:t>We note that “effective competition” is not a concept that is agreed across key stakeholders within Australian energy markets, so before reporting data considering “effective competition,” the concept needs to be defined for the purposes of the data report.</w:t>
      </w:r>
      <w:r w:rsidR="00D66762">
        <w:t xml:space="preserve"> </w:t>
      </w:r>
    </w:p>
    <w:p w:rsidR="00D66762" w:rsidRDefault="00D66762" w:rsidP="00435149">
      <w:r>
        <w:t xml:space="preserve">For example, many people in regional and remote communities in reality are limited to one or maybe two retailers despite the fact that there may be more than 20 registered providers to supply retail market </w:t>
      </w:r>
      <w:r w:rsidR="002C0CCF">
        <w:t>services in a particular state, so notionally there is completion when in reality there isn’t.</w:t>
      </w:r>
    </w:p>
    <w:p w:rsidR="00D66762" w:rsidRDefault="00D66762" w:rsidP="00435149">
      <w:r>
        <w:t xml:space="preserve">We also suggested that effective competition needs to be understood a little differently for </w:t>
      </w:r>
      <w:r w:rsidR="002C0CCF">
        <w:t>an essential service than fo</w:t>
      </w:r>
      <w:r>
        <w:t>r</w:t>
      </w:r>
      <w:r w:rsidR="002C0CCF">
        <w:t xml:space="preserve"> a</w:t>
      </w:r>
      <w:r>
        <w:t xml:space="preserve"> standard economic good. For </w:t>
      </w:r>
      <w:r w:rsidR="002C0CCF">
        <w:t xml:space="preserve">an </w:t>
      </w:r>
      <w:r>
        <w:t>essential service a certain quantum of that service needs to be a</w:t>
      </w:r>
      <w:r w:rsidR="002C0CCF">
        <w:t>vailable to all citizens whereas</w:t>
      </w:r>
      <w:r>
        <w:t xml:space="preserve"> a standard good is one that the customer can choose to purchase but which does not impact on basic shelter and safety (from Maslow’s needs hierarchy) requirements. Consequently we strongly believe that the </w:t>
      </w:r>
      <w:r w:rsidR="002C0CCF">
        <w:t>‘</w:t>
      </w:r>
      <w:r>
        <w:t>effective</w:t>
      </w:r>
      <w:r w:rsidR="002C0CCF">
        <w:t>’</w:t>
      </w:r>
      <w:r>
        <w:t xml:space="preserve"> part of effective competition means that nobody should </w:t>
      </w:r>
      <w:r w:rsidR="002C0CCF">
        <w:t>be disconnected from the essential</w:t>
      </w:r>
      <w:r>
        <w:t xml:space="preserve"> service components of electricity because of their inabili</w:t>
      </w:r>
      <w:r w:rsidR="002C0CCF">
        <w:t>ty to pay. Over 10,000 South</w:t>
      </w:r>
      <w:r>
        <w:t xml:space="preserve"> Australians each year</w:t>
      </w:r>
      <w:r w:rsidR="002C0CCF">
        <w:t>, for the last 5 years have been disconnected from the essentia</w:t>
      </w:r>
      <w:r>
        <w:t>l service of electricity because of their inability to pay. Affordability must be a factor in considering effective competition.</w:t>
      </w:r>
    </w:p>
    <w:p w:rsidR="00435149" w:rsidRPr="00435149" w:rsidRDefault="00435149" w:rsidP="00435149">
      <w:r>
        <w:t>We have advocated for use of the</w:t>
      </w:r>
      <w:r w:rsidRPr="00435149">
        <w:rPr>
          <w:rStyle w:val="tgc"/>
          <w:rFonts w:cs="Arial"/>
        </w:rPr>
        <w:t xml:space="preserve"> </w:t>
      </w:r>
      <w:proofErr w:type="spellStart"/>
      <w:r w:rsidRPr="00435149">
        <w:rPr>
          <w:rStyle w:val="tgc"/>
          <w:rFonts w:cs="Arial"/>
          <w:bCs/>
        </w:rPr>
        <w:t>Herfindahl</w:t>
      </w:r>
      <w:proofErr w:type="spellEnd"/>
      <w:r w:rsidRPr="00435149">
        <w:rPr>
          <w:rStyle w:val="tgc"/>
          <w:rFonts w:cs="Arial"/>
          <w:bCs/>
        </w:rPr>
        <w:t>-Hirschman index</w:t>
      </w:r>
      <w:r w:rsidRPr="00435149">
        <w:rPr>
          <w:rStyle w:val="tgc"/>
          <w:rFonts w:cs="Arial"/>
        </w:rPr>
        <w:t xml:space="preserve"> (</w:t>
      </w:r>
      <w:r w:rsidRPr="00435149">
        <w:rPr>
          <w:rStyle w:val="tgc"/>
          <w:rFonts w:cs="Arial"/>
          <w:bCs/>
        </w:rPr>
        <w:t>HHI</w:t>
      </w:r>
      <w:r w:rsidRPr="00435149">
        <w:rPr>
          <w:rStyle w:val="tgc"/>
          <w:rFonts w:cs="Arial"/>
        </w:rPr>
        <w:t>)</w:t>
      </w:r>
      <w:r>
        <w:rPr>
          <w:rStyle w:val="tgc"/>
          <w:rFonts w:cs="Arial"/>
        </w:rPr>
        <w:t xml:space="preserve"> as a measure for </w:t>
      </w:r>
      <w:r w:rsidR="002C0CCF">
        <w:rPr>
          <w:rStyle w:val="tgc"/>
          <w:rFonts w:cs="Arial"/>
        </w:rPr>
        <w:t>market concentration for Australian</w:t>
      </w:r>
      <w:r>
        <w:rPr>
          <w:rStyle w:val="tgc"/>
          <w:rFonts w:cs="Arial"/>
        </w:rPr>
        <w:t xml:space="preserve"> energy markets, including jurisdictional markets.</w:t>
      </w:r>
      <w:r w:rsidR="00AC494F">
        <w:rPr>
          <w:rStyle w:val="tgc"/>
          <w:rFonts w:cs="Arial"/>
        </w:rPr>
        <w:t xml:space="preserve"> We are comfortable with the standard view that a score below 1500 on the HHI index reflects an effectively competitive market. There are other measures of market concentration</w:t>
      </w:r>
      <w:r w:rsidR="008C4658">
        <w:rPr>
          <w:rStyle w:val="tgc"/>
          <w:rFonts w:cs="Arial"/>
        </w:rPr>
        <w:t xml:space="preserve"> tha</w:t>
      </w:r>
      <w:r w:rsidR="00AC494F">
        <w:rPr>
          <w:rStyle w:val="tgc"/>
          <w:rFonts w:cs="Arial"/>
        </w:rPr>
        <w:t>t</w:t>
      </w:r>
      <w:r w:rsidR="008C4658">
        <w:rPr>
          <w:rStyle w:val="tgc"/>
          <w:rFonts w:cs="Arial"/>
        </w:rPr>
        <w:t xml:space="preserve"> </w:t>
      </w:r>
      <w:r w:rsidR="00AC494F">
        <w:rPr>
          <w:rStyle w:val="tgc"/>
          <w:rFonts w:cs="Arial"/>
        </w:rPr>
        <w:t xml:space="preserve">are also appropriate and which are acceptable, we have a preference for HHI due to </w:t>
      </w:r>
      <w:r w:rsidR="00D66762">
        <w:rPr>
          <w:rStyle w:val="tgc"/>
          <w:rFonts w:cs="Arial"/>
        </w:rPr>
        <w:t>its</w:t>
      </w:r>
      <w:r w:rsidR="00AC494F">
        <w:rPr>
          <w:rStyle w:val="tgc"/>
          <w:rFonts w:cs="Arial"/>
        </w:rPr>
        <w:t xml:space="preserve"> ease of use, comparability with other markets and recognising that it is sometimes applied already to Australian energy markets.</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19" w:anchor="_Toc491779158" w:history="1">
        <w:r w:rsidR="002F1E4C" w:rsidRPr="00C6361C">
          <w:rPr>
            <w:rStyle w:val="Hyperlink"/>
            <w:rFonts w:asciiTheme="minorHAnsi" w:hAnsiTheme="minorHAnsi"/>
            <w:noProof/>
            <w:sz w:val="24"/>
            <w:szCs w:val="24"/>
            <w:u w:val="none"/>
          </w:rPr>
          <w:t>Question 9: What factors can compromise efficiency in wholesale electricity markets?</w:t>
        </w:r>
      </w:hyperlink>
    </w:p>
    <w:p w:rsidR="00D66762" w:rsidRDefault="00D66762" w:rsidP="00C376C0">
      <w:r>
        <w:t>To consider this question we propose that short term and longer term factors need to be considered separately, with wholesale data needing to be reported on both sets of issues</w:t>
      </w:r>
    </w:p>
    <w:p w:rsidR="008C4658" w:rsidRDefault="00C376C0" w:rsidP="00C376C0">
      <w:r>
        <w:t xml:space="preserve">Long term </w:t>
      </w:r>
      <w:r w:rsidR="008F22DC">
        <w:t>issues</w:t>
      </w:r>
      <w:r>
        <w:t xml:space="preserve">: </w:t>
      </w:r>
    </w:p>
    <w:p w:rsidR="00D66762" w:rsidRDefault="00C376C0" w:rsidP="008C4658">
      <w:pPr>
        <w:pStyle w:val="ListParagraph"/>
        <w:numPr>
          <w:ilvl w:val="0"/>
          <w:numId w:val="3"/>
        </w:numPr>
      </w:pPr>
      <w:r>
        <w:t xml:space="preserve">Policy uncertainty, </w:t>
      </w:r>
      <w:r w:rsidR="00D66762">
        <w:t xml:space="preserve">this includes both political stability and policy </w:t>
      </w:r>
      <w:r w:rsidR="00321CF6">
        <w:t>predictability along with a high degree of regulatory certainty</w:t>
      </w:r>
    </w:p>
    <w:p w:rsidR="00321CF6" w:rsidRDefault="00321CF6" w:rsidP="008C4658">
      <w:pPr>
        <w:pStyle w:val="ListParagraph"/>
        <w:numPr>
          <w:ilvl w:val="0"/>
          <w:numId w:val="3"/>
        </w:numPr>
      </w:pPr>
      <w:r>
        <w:t xml:space="preserve">Forecasts, particular demand forecasts. </w:t>
      </w:r>
    </w:p>
    <w:p w:rsidR="00C376C0" w:rsidRDefault="00C376C0" w:rsidP="008C4658">
      <w:pPr>
        <w:pStyle w:val="ListParagraph"/>
        <w:numPr>
          <w:ilvl w:val="0"/>
          <w:numId w:val="3"/>
        </w:numPr>
      </w:pPr>
      <w:proofErr w:type="gramStart"/>
      <w:r>
        <w:t>financial</w:t>
      </w:r>
      <w:proofErr w:type="gramEnd"/>
      <w:r>
        <w:t xml:space="preserve"> market volatility, that impact on investment decisions</w:t>
      </w:r>
      <w:r w:rsidR="00D66762">
        <w:t xml:space="preserve"> by generators or potential generators.</w:t>
      </w:r>
    </w:p>
    <w:p w:rsidR="00D66762" w:rsidRDefault="00D66762" w:rsidP="008C4658">
      <w:pPr>
        <w:pStyle w:val="ListParagraph"/>
        <w:numPr>
          <w:ilvl w:val="0"/>
          <w:numId w:val="3"/>
        </w:numPr>
      </w:pPr>
      <w:r>
        <w:t xml:space="preserve">Technological change. A certain technology might be the best investment decision to make on available information today, but in five </w:t>
      </w:r>
      <w:r w:rsidR="002C0CCF">
        <w:t>years’ time</w:t>
      </w:r>
      <w:r>
        <w:t>, for example, technology will change such that investment in a different technology is the most sensible decision.</w:t>
      </w:r>
    </w:p>
    <w:p w:rsidR="0049309F" w:rsidRDefault="0049309F" w:rsidP="008C4658">
      <w:pPr>
        <w:pStyle w:val="ListParagraph"/>
        <w:numPr>
          <w:ilvl w:val="0"/>
          <w:numId w:val="3"/>
        </w:numPr>
      </w:pPr>
      <w:r>
        <w:t>Access to network connection points at an efficient price</w:t>
      </w:r>
    </w:p>
    <w:p w:rsidR="00C376C0" w:rsidRDefault="00C376C0" w:rsidP="00C376C0">
      <w:r>
        <w:t xml:space="preserve">Shorter term: </w:t>
      </w:r>
    </w:p>
    <w:p w:rsidR="00C376C0" w:rsidRDefault="0049309F" w:rsidP="008C4658">
      <w:pPr>
        <w:pStyle w:val="ListParagraph"/>
        <w:numPr>
          <w:ilvl w:val="0"/>
          <w:numId w:val="2"/>
        </w:numPr>
      </w:pPr>
      <w:r>
        <w:t>B</w:t>
      </w:r>
      <w:r w:rsidR="00321CF6">
        <w:t>idding behaviour by generators including d</w:t>
      </w:r>
      <w:r w:rsidR="00C376C0">
        <w:t>espatch intervals</w:t>
      </w:r>
      <w:r w:rsidR="00321CF6">
        <w:t>. We have argued that South Australian and Queensland wholesale markets have at various times being that in a situation where for a period of time a specific generator effectively becomes a monopolist, knowing that they will need to be dispatched and so able to adjust their bid prices above what could be regarded as an efficient cost</w:t>
      </w:r>
    </w:p>
    <w:p w:rsidR="00C376C0" w:rsidRDefault="008C4658" w:rsidP="008C4658">
      <w:pPr>
        <w:pStyle w:val="ListParagraph"/>
        <w:numPr>
          <w:ilvl w:val="0"/>
          <w:numId w:val="2"/>
        </w:numPr>
      </w:pPr>
      <w:r>
        <w:lastRenderedPageBreak/>
        <w:t>Liquidity</w:t>
      </w:r>
      <w:r w:rsidR="00C376C0">
        <w:t xml:space="preserve"> of forward contract markets</w:t>
      </w:r>
      <w:r w:rsidR="00321CF6">
        <w:t>. This is crucial because retailers and wholesalers need to be able to hedge for a relative degree of certainty. Similarly smaller retailers (e.g. second-tier retailers) need to be able to enter the wholesale market in order to secure future supply that enables them to offer efficient and reasonable prices to potential customers.</w:t>
      </w:r>
    </w:p>
    <w:p w:rsidR="00321CF6" w:rsidRDefault="00321CF6" w:rsidP="008C4658">
      <w:pPr>
        <w:pStyle w:val="ListParagraph"/>
        <w:numPr>
          <w:ilvl w:val="0"/>
          <w:numId w:val="2"/>
        </w:numPr>
      </w:pPr>
      <w:r>
        <w:t>Hi</w:t>
      </w:r>
      <w:r w:rsidR="0049309F">
        <w:t>gh</w:t>
      </w:r>
      <w:r>
        <w:t xml:space="preserve"> peak demand prices</w:t>
      </w:r>
    </w:p>
    <w:p w:rsidR="00C376C0" w:rsidRPr="00C376C0" w:rsidRDefault="00C376C0" w:rsidP="00C376C0"/>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0" w:anchor="_Toc491779159" w:history="1">
        <w:r w:rsidR="002F1E4C" w:rsidRPr="00C6361C">
          <w:rPr>
            <w:rStyle w:val="Hyperlink"/>
            <w:rFonts w:asciiTheme="minorHAnsi" w:hAnsiTheme="minorHAnsi"/>
            <w:noProof/>
            <w:sz w:val="24"/>
            <w:szCs w:val="24"/>
            <w:u w:val="none"/>
          </w:rPr>
          <w:t>Question 10: What market concentration indicators should we consider?</w:t>
        </w:r>
      </w:hyperlink>
    </w:p>
    <w:p w:rsidR="00321CF6" w:rsidRPr="00321CF6" w:rsidRDefault="002C0CCF" w:rsidP="00321CF6">
      <w:r>
        <w:t>In response to question 8</w:t>
      </w:r>
      <w:r w:rsidR="0049309F">
        <w:t xml:space="preserve"> we have stated our preference for using the</w:t>
      </w:r>
      <w:r w:rsidR="0049309F" w:rsidRPr="0049309F">
        <w:rPr>
          <w:rStyle w:val="tgc"/>
          <w:rFonts w:cs="Arial"/>
          <w:bCs/>
        </w:rPr>
        <w:t xml:space="preserve"> </w:t>
      </w:r>
      <w:proofErr w:type="spellStart"/>
      <w:r w:rsidR="0049309F" w:rsidRPr="00435149">
        <w:rPr>
          <w:rStyle w:val="tgc"/>
          <w:rFonts w:cs="Arial"/>
          <w:bCs/>
        </w:rPr>
        <w:t>Herfindahl</w:t>
      </w:r>
      <w:proofErr w:type="spellEnd"/>
      <w:r w:rsidR="0049309F" w:rsidRPr="00435149">
        <w:rPr>
          <w:rStyle w:val="tgc"/>
          <w:rFonts w:cs="Arial"/>
          <w:bCs/>
        </w:rPr>
        <w:t>-Hirschman index</w:t>
      </w:r>
      <w:r w:rsidR="0049309F" w:rsidRPr="00435149">
        <w:rPr>
          <w:rStyle w:val="tgc"/>
          <w:rFonts w:cs="Arial"/>
        </w:rPr>
        <w:t xml:space="preserve"> (</w:t>
      </w:r>
      <w:r w:rsidR="0049309F" w:rsidRPr="00435149">
        <w:rPr>
          <w:rStyle w:val="tgc"/>
          <w:rFonts w:cs="Arial"/>
          <w:bCs/>
        </w:rPr>
        <w:t>HHI</w:t>
      </w:r>
      <w:r w:rsidR="0049309F" w:rsidRPr="00435149">
        <w:rPr>
          <w:rStyle w:val="tgc"/>
          <w:rFonts w:cs="Arial"/>
        </w:rPr>
        <w:t>)</w:t>
      </w:r>
      <w:r w:rsidR="0049309F">
        <w:rPr>
          <w:rStyle w:val="tgc"/>
          <w:rFonts w:cs="Arial"/>
        </w:rPr>
        <w:t xml:space="preserve"> as a measure of market concentration. We believe it appropriate that the HHI is applied to wholesale and retail markets separately, and for each jurisdiction. Due to the interaction between wholesale and retail markets a</w:t>
      </w:r>
      <w:r>
        <w:rPr>
          <w:rStyle w:val="tgc"/>
          <w:rFonts w:cs="Arial"/>
        </w:rPr>
        <w:t>nd the reality that some of the</w:t>
      </w:r>
      <w:r w:rsidR="0049309F">
        <w:rPr>
          <w:rStyle w:val="tgc"/>
          <w:rFonts w:cs="Arial"/>
        </w:rPr>
        <w:t xml:space="preserve"> same businesses are dominant in both markets, there is merit in developing a concentration measure for combined wholesale and retail markets. This is important because a generator that is also a retailer is less likely to offer keenly priced contracts to a retailer that is also a competitor.</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1" w:anchor="_Toc491779160" w:history="1">
        <w:r w:rsidR="002F1E4C" w:rsidRPr="00C6361C">
          <w:rPr>
            <w:rStyle w:val="Hyperlink"/>
            <w:rFonts w:asciiTheme="minorHAnsi" w:hAnsiTheme="minorHAnsi"/>
            <w:noProof/>
            <w:sz w:val="24"/>
            <w:szCs w:val="24"/>
            <w:u w:val="none"/>
          </w:rPr>
          <w:t>Question 11: What are the relevant sources of potential barriers to entry? What methods should we use to assess these barriers?</w:t>
        </w:r>
      </w:hyperlink>
    </w:p>
    <w:p w:rsidR="0049309F" w:rsidRPr="0049309F" w:rsidRDefault="0049309F" w:rsidP="0049309F">
      <w:r>
        <w:t xml:space="preserve">Access to supply contracts for retailers </w:t>
      </w:r>
      <w:r w:rsidR="009B6835">
        <w:t>through ‘futures markets’ is a critical barrier to entry and one that will need to be monitored closely for the wholesale performance report</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2" w:anchor="_Toc491779161" w:history="1">
        <w:r w:rsidR="002F1E4C" w:rsidRPr="00C6361C">
          <w:rPr>
            <w:rStyle w:val="Hyperlink"/>
            <w:rFonts w:asciiTheme="minorHAnsi" w:hAnsiTheme="minorHAnsi"/>
            <w:noProof/>
            <w:sz w:val="24"/>
            <w:szCs w:val="24"/>
            <w:u w:val="none"/>
          </w:rPr>
          <w:t>Question 12: What are the issues we should consider regarding horizontal or vertical integration in the wholesale energy markets?</w:t>
        </w:r>
      </w:hyperlink>
    </w:p>
    <w:p w:rsidR="00DB2E80" w:rsidRPr="00DB2E80" w:rsidRDefault="00DB2E80" w:rsidP="00DB2E80">
      <w:r>
        <w:t xml:space="preserve">The potential for larger vertically integrated businesses to exert market </w:t>
      </w:r>
      <w:r w:rsidR="00B37637">
        <w:t>power, wittingly or unwittingly, means that vertical integration needs to be monitored and reported upon. We expect that development of useful metrics to achieve this will take some more time.</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3" w:anchor="_Toc491779162" w:history="1">
        <w:r w:rsidR="002F1E4C" w:rsidRPr="00C6361C">
          <w:rPr>
            <w:rStyle w:val="Hyperlink"/>
            <w:rFonts w:asciiTheme="minorHAnsi" w:hAnsiTheme="minorHAnsi"/>
            <w:noProof/>
            <w:sz w:val="24"/>
            <w:szCs w:val="24"/>
            <w:u w:val="none"/>
          </w:rPr>
          <w:t>Question 13: What aspects of a participant's conduct should we consider? Are there any methods or tools that might be insightful for assessing conduct?</w:t>
        </w:r>
      </w:hyperlink>
    </w:p>
    <w:p w:rsidR="002C0CCF" w:rsidRPr="002C0CCF" w:rsidRDefault="002C0CCF" w:rsidP="002C0CCF">
      <w:r>
        <w:t xml:space="preserve">We suggest that measures reflecting the consumer focus of generators need to be developed and reported on. The </w:t>
      </w:r>
      <w:proofErr w:type="spellStart"/>
      <w:r>
        <w:t>Ofgem</w:t>
      </w:r>
      <w:proofErr w:type="spellEnd"/>
      <w:r>
        <w:t xml:space="preserve"> “Stakeholder Engagement and </w:t>
      </w:r>
      <w:r w:rsidR="00071A5B">
        <w:t>Customer Vulnerability incentive scheme for networks requires annual reporting of stakeholder engagement activity and effectiveness. We suggest that this approach could also be applied to generators to help encourage a culture of consumer focus.</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4" w:anchor="_Toc491779163" w:history="1">
        <w:r w:rsidR="002F1E4C" w:rsidRPr="00C6361C">
          <w:rPr>
            <w:rStyle w:val="Hyperlink"/>
            <w:rFonts w:asciiTheme="minorHAnsi" w:hAnsiTheme="minorHAnsi"/>
            <w:noProof/>
            <w:sz w:val="24"/>
            <w:szCs w:val="24"/>
            <w:u w:val="none"/>
          </w:rPr>
          <w:t>Question 14: How should we assess the overall performance of the wholesale markets?</w:t>
        </w:r>
      </w:hyperlink>
    </w:p>
    <w:p w:rsidR="00752903" w:rsidRPr="00752903" w:rsidRDefault="00752903" w:rsidP="00752903">
      <w:r>
        <w:t>For end consumers, price is the ultimate test of performance of wholesale markets, so monitoring of both price and wholesale costs as a share of total bills for end consumers will be important metrics</w:t>
      </w:r>
      <w:r w:rsidR="00071A5B">
        <w:t>.</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5" w:anchor="_Toc491779164" w:history="1">
        <w:r w:rsidR="002F1E4C" w:rsidRPr="00C6361C">
          <w:rPr>
            <w:rStyle w:val="Hyperlink"/>
            <w:rFonts w:asciiTheme="minorHAnsi" w:hAnsiTheme="minorHAnsi"/>
            <w:noProof/>
            <w:sz w:val="24"/>
            <w:szCs w:val="24"/>
            <w:u w:val="none"/>
          </w:rPr>
          <w:t>Question 15: How should we have regard to whether prices are determined on a long term basis by underlying costs rather than the existence of market power?</w:t>
        </w:r>
      </w:hyperlink>
    </w:p>
    <w:p w:rsidR="00B51822" w:rsidRDefault="009B6835" w:rsidP="009B6835">
      <w:r>
        <w:t>The market power can be exercised in a number of ways, including</w:t>
      </w:r>
      <w:r w:rsidR="00B51822">
        <w:t>:</w:t>
      </w:r>
    </w:p>
    <w:p w:rsidR="00B51822" w:rsidRDefault="009B6835" w:rsidP="00B51822">
      <w:pPr>
        <w:pStyle w:val="ListParagraph"/>
        <w:numPr>
          <w:ilvl w:val="0"/>
          <w:numId w:val="4"/>
        </w:numPr>
      </w:pPr>
      <w:r>
        <w:t xml:space="preserve"> </w:t>
      </w:r>
      <w:proofErr w:type="gramStart"/>
      <w:r>
        <w:t>embedding</w:t>
      </w:r>
      <w:proofErr w:type="gramEnd"/>
      <w:r>
        <w:t xml:space="preserve"> inefficient costs in prices charged on an ongoing basis. </w:t>
      </w:r>
    </w:p>
    <w:p w:rsidR="009B6835" w:rsidRDefault="009B6835" w:rsidP="00B51822">
      <w:pPr>
        <w:pStyle w:val="ListParagraph"/>
        <w:numPr>
          <w:ilvl w:val="0"/>
          <w:numId w:val="4"/>
        </w:numPr>
      </w:pPr>
      <w:r>
        <w:lastRenderedPageBreak/>
        <w:t>Market power can also be exercised opportunist</w:t>
      </w:r>
      <w:r w:rsidR="00B51822">
        <w:t>ically by</w:t>
      </w:r>
      <w:r>
        <w:t xml:space="preserve"> wholesalers </w:t>
      </w:r>
      <w:r w:rsidR="00B51822">
        <w:t>who can respond to a spike in prices and other high demand or unusual</w:t>
      </w:r>
      <w:r w:rsidR="00B51822" w:rsidRPr="00B51822">
        <w:t xml:space="preserve"> circumstances</w:t>
      </w:r>
      <w:r w:rsidR="00B51822">
        <w:t>.</w:t>
      </w:r>
    </w:p>
    <w:p w:rsidR="00B51822" w:rsidRDefault="00B51822" w:rsidP="009B6835">
      <w:r>
        <w:t xml:space="preserve">The AER will need to have regard to both opportunities for generating inefficient prices. Embedded inefficiencies can be sought through benchmarking approaches, as the AER has done effectively with wholesale markets (notwithstanding some of the original resistance from businesses). </w:t>
      </w:r>
    </w:p>
    <w:p w:rsidR="00B51822" w:rsidRPr="009B6835" w:rsidRDefault="00B51822" w:rsidP="009B6835">
      <w:r>
        <w:t>To consider the second aspect of market power we suggest that the AER can monitor and report on the bidding beha</w:t>
      </w:r>
      <w:r w:rsidR="00071A5B">
        <w:t xml:space="preserve">viour on a jurisdictional basis, </w:t>
      </w:r>
      <w:proofErr w:type="spellStart"/>
      <w:r w:rsidR="00071A5B">
        <w:t>notng</w:t>
      </w:r>
      <w:proofErr w:type="spellEnd"/>
      <w:r w:rsidR="00071A5B">
        <w:t xml:space="preserve"> spikes and ‘unusual’ bidding behaviour.</w:t>
      </w:r>
    </w:p>
    <w:p w:rsidR="002F1E4C" w:rsidRDefault="004B540D" w:rsidP="002F1E4C">
      <w:pPr>
        <w:pStyle w:val="TableofFigures"/>
        <w:tabs>
          <w:tab w:val="right" w:leader="dot" w:pos="9016"/>
        </w:tabs>
        <w:rPr>
          <w:rStyle w:val="Hyperlink"/>
          <w:rFonts w:asciiTheme="minorHAnsi" w:hAnsiTheme="minorHAnsi"/>
          <w:noProof/>
          <w:sz w:val="24"/>
          <w:szCs w:val="24"/>
          <w:u w:val="none"/>
        </w:rPr>
      </w:pPr>
      <w:hyperlink r:id="rId26" w:anchor="_Toc491779165" w:history="1">
        <w:r w:rsidR="002F1E4C" w:rsidRPr="00C6361C">
          <w:rPr>
            <w:rStyle w:val="Hyperlink"/>
            <w:rFonts w:asciiTheme="minorHAnsi" w:hAnsiTheme="minorHAnsi"/>
            <w:noProof/>
            <w:sz w:val="24"/>
            <w:szCs w:val="24"/>
            <w:u w:val="none"/>
          </w:rPr>
          <w:t>Ques</w:t>
        </w:r>
        <w:r w:rsidR="00B51822">
          <w:rPr>
            <w:rStyle w:val="Hyperlink"/>
            <w:rFonts w:asciiTheme="minorHAnsi" w:hAnsiTheme="minorHAnsi"/>
            <w:noProof/>
            <w:sz w:val="24"/>
            <w:szCs w:val="24"/>
            <w:u w:val="none"/>
          </w:rPr>
          <w:t>t</w:t>
        </w:r>
        <w:r w:rsidR="002F1E4C" w:rsidRPr="00C6361C">
          <w:rPr>
            <w:rStyle w:val="Hyperlink"/>
            <w:rFonts w:asciiTheme="minorHAnsi" w:hAnsiTheme="minorHAnsi"/>
            <w:noProof/>
            <w:sz w:val="24"/>
            <w:szCs w:val="24"/>
            <w:u w:val="none"/>
          </w:rPr>
          <w:t>ion 16: How can we identify inefficiencies in the wholesale markets?</w:t>
        </w:r>
      </w:hyperlink>
    </w:p>
    <w:p w:rsidR="006172D8" w:rsidRPr="006172D8" w:rsidRDefault="006172D8" w:rsidP="006172D8">
      <w:r>
        <w:t xml:space="preserve">A suggestion is that when the AER releases a Wholesale Market Performance Monitoring report, that it hosts a workshop that includes consumers, generators, aggregators and other interested stakeholders to consider that questions of what the data is saying as well as what data is missing, or whether there are important questions that we don’t have the data to answer? This approach would identify a range of issues and give an immediate sense of which stakeholders </w:t>
      </w:r>
      <w:r w:rsidR="00DB2E80">
        <w:t>regarded</w:t>
      </w:r>
      <w:r>
        <w:t xml:space="preserve"> them as important or significant</w:t>
      </w:r>
      <w:r w:rsidR="00DB2E80">
        <w:t>.</w:t>
      </w:r>
    </w:p>
    <w:p w:rsidR="002F1E4C" w:rsidRPr="00C6361C" w:rsidRDefault="004B540D" w:rsidP="002F1E4C">
      <w:pPr>
        <w:pStyle w:val="TableofFigures"/>
        <w:tabs>
          <w:tab w:val="right" w:leader="dot" w:pos="9016"/>
        </w:tabs>
        <w:rPr>
          <w:rFonts w:asciiTheme="minorHAnsi" w:eastAsiaTheme="minorEastAsia" w:hAnsiTheme="minorHAnsi"/>
          <w:noProof/>
          <w:sz w:val="24"/>
          <w:szCs w:val="24"/>
          <w:lang w:eastAsia="en-AU"/>
        </w:rPr>
      </w:pPr>
      <w:hyperlink r:id="rId27" w:anchor="_Toc491779166" w:history="1">
        <w:r w:rsidR="002F1E4C" w:rsidRPr="00C6361C">
          <w:rPr>
            <w:rStyle w:val="Hyperlink"/>
            <w:rFonts w:asciiTheme="minorHAnsi" w:hAnsiTheme="minorHAnsi"/>
            <w:noProof/>
            <w:sz w:val="24"/>
            <w:szCs w:val="24"/>
            <w:u w:val="none"/>
          </w:rPr>
          <w:t>Question 17: How should we measure the extent of any inefficiencies we identify?</w:t>
        </w:r>
      </w:hyperlink>
    </w:p>
    <w:p w:rsidR="002F1E4C" w:rsidRPr="00071A5B" w:rsidRDefault="00F0113B">
      <w:r w:rsidRPr="00071A5B">
        <w:t xml:space="preserve">Uniting Communities </w:t>
      </w:r>
      <w:r w:rsidR="00752903" w:rsidRPr="00071A5B">
        <w:t>regards the past treatment of carbon emissions as an “externality” for electricity generation in Australia, as inappropriate. As an organisation we have regarded accreditation as a zero carbon emitter is an important part of our ste</w:t>
      </w:r>
      <w:r w:rsidR="00071A5B">
        <w:t>wardship. We regard reporting on externalities, including</w:t>
      </w:r>
      <w:r w:rsidR="00752903" w:rsidRPr="00071A5B">
        <w:t xml:space="preserve"> carbon emissions for the various generation assets as a critical part of wholesale market performance monitoring</w:t>
      </w:r>
      <w:r w:rsidR="00071A5B">
        <w:t>.</w:t>
      </w:r>
    </w:p>
    <w:p w:rsidR="006172D8" w:rsidRDefault="006172D8">
      <w:pPr>
        <w:rPr>
          <w:sz w:val="24"/>
          <w:szCs w:val="24"/>
        </w:rPr>
      </w:pPr>
    </w:p>
    <w:p w:rsidR="006172D8" w:rsidRDefault="006172D8">
      <w:pPr>
        <w:rPr>
          <w:sz w:val="24"/>
          <w:szCs w:val="24"/>
        </w:rPr>
      </w:pPr>
    </w:p>
    <w:p w:rsidR="006172D8" w:rsidRDefault="006172D8">
      <w:pPr>
        <w:rPr>
          <w:sz w:val="24"/>
          <w:szCs w:val="24"/>
        </w:rPr>
      </w:pPr>
    </w:p>
    <w:p w:rsidR="006172D8" w:rsidRPr="00C6361C" w:rsidRDefault="006172D8">
      <w:pPr>
        <w:rPr>
          <w:sz w:val="24"/>
          <w:szCs w:val="24"/>
        </w:rPr>
      </w:pPr>
      <w:bookmarkStart w:id="0" w:name="_GoBack"/>
      <w:bookmarkEnd w:id="0"/>
    </w:p>
    <w:sectPr w:rsidR="006172D8" w:rsidRPr="00C636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540D" w:rsidRDefault="004B540D" w:rsidP="007229B0">
      <w:pPr>
        <w:spacing w:after="0" w:line="240" w:lineRule="auto"/>
      </w:pPr>
      <w:r>
        <w:separator/>
      </w:r>
    </w:p>
  </w:endnote>
  <w:endnote w:type="continuationSeparator" w:id="0">
    <w:p w:rsidR="004B540D" w:rsidRDefault="004B540D" w:rsidP="007229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540D" w:rsidRDefault="004B540D" w:rsidP="007229B0">
      <w:pPr>
        <w:spacing w:after="0" w:line="240" w:lineRule="auto"/>
      </w:pPr>
      <w:r>
        <w:separator/>
      </w:r>
    </w:p>
  </w:footnote>
  <w:footnote w:type="continuationSeparator" w:id="0">
    <w:p w:rsidR="004B540D" w:rsidRDefault="004B540D" w:rsidP="007229B0">
      <w:pPr>
        <w:spacing w:after="0" w:line="240" w:lineRule="auto"/>
      </w:pPr>
      <w:r>
        <w:continuationSeparator/>
      </w:r>
    </w:p>
  </w:footnote>
  <w:footnote w:id="1">
    <w:p w:rsidR="00F0113B" w:rsidRDefault="00F0113B">
      <w:pPr>
        <w:pStyle w:val="FootnoteText"/>
      </w:pPr>
      <w:r>
        <w:rPr>
          <w:rStyle w:val="FootnoteReference"/>
        </w:rPr>
        <w:footnoteRef/>
      </w:r>
      <w:r>
        <w:t xml:space="preserve"> </w:t>
      </w:r>
      <w:hyperlink r:id="rId1" w:history="1">
        <w:r w:rsidRPr="003F33B1">
          <w:rPr>
            <w:rStyle w:val="Hyperlink"/>
            <w:rFonts w:asciiTheme="minorHAnsi" w:hAnsiTheme="minorHAnsi"/>
            <w:sz w:val="20"/>
          </w:rPr>
          <w:t>https://www.linkedin.com/pulse/5-reasons-why-big-price-rises-unsustainable-philip-lewis?trk=prof-post</w:t>
        </w:r>
      </w:hyperlink>
      <w:r>
        <w:t xml:space="preserve"> also on </w:t>
      </w:r>
      <w:hyperlink r:id="rId2" w:history="1">
        <w:r w:rsidRPr="003F33B1">
          <w:rPr>
            <w:rStyle w:val="Hyperlink"/>
            <w:rFonts w:asciiTheme="minorHAnsi" w:hAnsiTheme="minorHAnsi"/>
            <w:sz w:val="20"/>
          </w:rPr>
          <w:t>http://www.vaasaett.com/#social-media</w:t>
        </w:r>
      </w:hyperlink>
      <w:r>
        <w:t xml:space="preserve"> </w:t>
      </w:r>
    </w:p>
  </w:footnote>
  <w:footnote w:id="2">
    <w:p w:rsidR="007229B0" w:rsidRDefault="007229B0" w:rsidP="007229B0">
      <w:pPr>
        <w:pStyle w:val="FootnoteText"/>
      </w:pPr>
      <w:r>
        <w:rPr>
          <w:rStyle w:val="FootnoteReference"/>
        </w:rPr>
        <w:footnoteRef/>
      </w:r>
      <w:r>
        <w:t xml:space="preserve"> </w:t>
      </w:r>
      <w:r w:rsidRPr="00D2235E">
        <w:t>https://www.aer.gov.au/wholesale-markets/market-guidelines-reviews/wholesale-electricity-market-performance-monitoring-report-statement-of-approach</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1903F9"/>
    <w:multiLevelType w:val="hybridMultilevel"/>
    <w:tmpl w:val="5B02BC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44D969AF"/>
    <w:multiLevelType w:val="hybridMultilevel"/>
    <w:tmpl w:val="771253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5F551963"/>
    <w:multiLevelType w:val="hybridMultilevel"/>
    <w:tmpl w:val="1E808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E4C"/>
    <w:rsid w:val="00031A22"/>
    <w:rsid w:val="00071A5B"/>
    <w:rsid w:val="00297E4D"/>
    <w:rsid w:val="002A5834"/>
    <w:rsid w:val="002C0CCF"/>
    <w:rsid w:val="002F1E4C"/>
    <w:rsid w:val="00321CF6"/>
    <w:rsid w:val="00435149"/>
    <w:rsid w:val="0049309F"/>
    <w:rsid w:val="004B06A7"/>
    <w:rsid w:val="004B540D"/>
    <w:rsid w:val="004F0321"/>
    <w:rsid w:val="005C2C2B"/>
    <w:rsid w:val="005D52EC"/>
    <w:rsid w:val="006172D8"/>
    <w:rsid w:val="006704C4"/>
    <w:rsid w:val="00706092"/>
    <w:rsid w:val="007229B0"/>
    <w:rsid w:val="00752903"/>
    <w:rsid w:val="00765A0E"/>
    <w:rsid w:val="008C4658"/>
    <w:rsid w:val="008F22DC"/>
    <w:rsid w:val="009956D9"/>
    <w:rsid w:val="009B0339"/>
    <w:rsid w:val="009B6835"/>
    <w:rsid w:val="009E372E"/>
    <w:rsid w:val="00AC494F"/>
    <w:rsid w:val="00AE3CB4"/>
    <w:rsid w:val="00B37637"/>
    <w:rsid w:val="00B51822"/>
    <w:rsid w:val="00C376C0"/>
    <w:rsid w:val="00C6361C"/>
    <w:rsid w:val="00D66762"/>
    <w:rsid w:val="00D812FD"/>
    <w:rsid w:val="00DB2E80"/>
    <w:rsid w:val="00DF6674"/>
    <w:rsid w:val="00ED2927"/>
    <w:rsid w:val="00F0029C"/>
    <w:rsid w:val="00F0113B"/>
    <w:rsid w:val="00F07FE2"/>
    <w:rsid w:val="00FC222F"/>
    <w:rsid w:val="00FD08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1F5CCA-437D-4D10-9030-4EC23B818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qFormat/>
    <w:rsid w:val="002F1E4C"/>
    <w:rPr>
      <w:rFonts w:ascii="Arial" w:hAnsi="Arial"/>
      <w:color w:val="0000FF"/>
      <w:sz w:val="22"/>
      <w:u w:val="single"/>
    </w:rPr>
  </w:style>
  <w:style w:type="paragraph" w:styleId="TableofFigures">
    <w:name w:val="table of figures"/>
    <w:basedOn w:val="Normal"/>
    <w:next w:val="Normal"/>
    <w:uiPriority w:val="99"/>
    <w:unhideWhenUsed/>
    <w:rsid w:val="002F1E4C"/>
    <w:pPr>
      <w:spacing w:before="240" w:after="120" w:line="276" w:lineRule="auto"/>
    </w:pPr>
    <w:rPr>
      <w:rFonts w:ascii="Arial" w:hAnsi="Arial"/>
    </w:rPr>
  </w:style>
  <w:style w:type="paragraph" w:customStyle="1" w:styleId="ReportTitle">
    <w:name w:val="Report Title"/>
    <w:basedOn w:val="Normal"/>
    <w:next w:val="Normal"/>
    <w:link w:val="ReportTitleChar"/>
    <w:rsid w:val="00C6361C"/>
    <w:pPr>
      <w:tabs>
        <w:tab w:val="center" w:pos="4598"/>
        <w:tab w:val="right" w:pos="9026"/>
      </w:tabs>
      <w:spacing w:before="240" w:after="0" w:line="276" w:lineRule="auto"/>
      <w:contextualSpacing/>
      <w:jc w:val="center"/>
    </w:pPr>
    <w:rPr>
      <w:rFonts w:ascii="Arial" w:eastAsiaTheme="majorEastAsia" w:hAnsi="Arial" w:cstheme="majorBidi"/>
      <w:b/>
      <w:noProof/>
      <w:sz w:val="72"/>
      <w:szCs w:val="72"/>
      <w:lang w:eastAsia="en-AU"/>
    </w:rPr>
  </w:style>
  <w:style w:type="character" w:customStyle="1" w:styleId="ReportTitleChar">
    <w:name w:val="Report Title Char"/>
    <w:basedOn w:val="DefaultParagraphFont"/>
    <w:link w:val="ReportTitle"/>
    <w:rsid w:val="00C6361C"/>
    <w:rPr>
      <w:rFonts w:ascii="Arial" w:eastAsiaTheme="majorEastAsia" w:hAnsi="Arial" w:cstheme="majorBidi"/>
      <w:b/>
      <w:noProof/>
      <w:sz w:val="72"/>
      <w:szCs w:val="72"/>
      <w:lang w:eastAsia="en-AU"/>
    </w:rPr>
  </w:style>
  <w:style w:type="paragraph" w:styleId="Footer">
    <w:name w:val="footer"/>
    <w:basedOn w:val="Normal"/>
    <w:link w:val="FooterChar"/>
    <w:uiPriority w:val="99"/>
    <w:unhideWhenUsed/>
    <w:rsid w:val="00C636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361C"/>
  </w:style>
  <w:style w:type="paragraph" w:styleId="NoSpacing">
    <w:name w:val="No Spacing"/>
    <w:uiPriority w:val="1"/>
    <w:qFormat/>
    <w:rsid w:val="00C6361C"/>
    <w:pPr>
      <w:spacing w:after="0" w:line="240" w:lineRule="auto"/>
    </w:pPr>
  </w:style>
  <w:style w:type="paragraph" w:customStyle="1" w:styleId="ReportSubtitle">
    <w:name w:val="Report Subtitle"/>
    <w:basedOn w:val="ReportTitle"/>
    <w:link w:val="ReportSubtitleChar"/>
    <w:rsid w:val="00C6361C"/>
    <w:rPr>
      <w:sz w:val="56"/>
      <w:szCs w:val="56"/>
    </w:rPr>
  </w:style>
  <w:style w:type="character" w:customStyle="1" w:styleId="ReportSubtitleChar">
    <w:name w:val="Report Subtitle Char"/>
    <w:basedOn w:val="ReportTitleChar"/>
    <w:link w:val="ReportSubtitle"/>
    <w:rsid w:val="00C6361C"/>
    <w:rPr>
      <w:rFonts w:ascii="Arial" w:eastAsiaTheme="majorEastAsia" w:hAnsi="Arial" w:cstheme="majorBidi"/>
      <w:b/>
      <w:noProof/>
      <w:sz w:val="56"/>
      <w:szCs w:val="56"/>
      <w:lang w:eastAsia="en-AU"/>
    </w:rPr>
  </w:style>
  <w:style w:type="paragraph" w:styleId="ListBullet">
    <w:name w:val="List Bullet"/>
    <w:basedOn w:val="Normal"/>
    <w:uiPriority w:val="99"/>
    <w:unhideWhenUsed/>
    <w:rsid w:val="00C6361C"/>
    <w:pPr>
      <w:numPr>
        <w:numId w:val="1"/>
      </w:numPr>
      <w:tabs>
        <w:tab w:val="left" w:pos="340"/>
      </w:tabs>
      <w:spacing w:before="120" w:after="0" w:line="276" w:lineRule="auto"/>
      <w:ind w:left="340" w:hanging="340"/>
    </w:pPr>
    <w:rPr>
      <w:rFonts w:ascii="Arial" w:hAnsi="Arial"/>
    </w:rPr>
  </w:style>
  <w:style w:type="paragraph" w:styleId="FootnoteText">
    <w:name w:val="footnote text"/>
    <w:basedOn w:val="Normal"/>
    <w:link w:val="FootnoteTextChar"/>
    <w:uiPriority w:val="99"/>
    <w:semiHidden/>
    <w:unhideWhenUsed/>
    <w:rsid w:val="007229B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229B0"/>
    <w:rPr>
      <w:sz w:val="20"/>
      <w:szCs w:val="20"/>
    </w:rPr>
  </w:style>
  <w:style w:type="character" w:styleId="FootnoteReference">
    <w:name w:val="footnote reference"/>
    <w:basedOn w:val="DefaultParagraphFont"/>
    <w:uiPriority w:val="99"/>
    <w:semiHidden/>
    <w:unhideWhenUsed/>
    <w:rsid w:val="007229B0"/>
    <w:rPr>
      <w:vertAlign w:val="superscript"/>
    </w:rPr>
  </w:style>
  <w:style w:type="character" w:customStyle="1" w:styleId="tgc">
    <w:name w:val="_tgc"/>
    <w:basedOn w:val="DefaultParagraphFont"/>
    <w:rsid w:val="00435149"/>
  </w:style>
  <w:style w:type="paragraph" w:styleId="ListParagraph">
    <w:name w:val="List Paragraph"/>
    <w:basedOn w:val="Normal"/>
    <w:uiPriority w:val="34"/>
    <w:qFormat/>
    <w:rsid w:val="008C4658"/>
    <w:pPr>
      <w:ind w:left="720"/>
      <w:contextualSpacing/>
    </w:pPr>
  </w:style>
  <w:style w:type="paragraph" w:customStyle="1" w:styleId="Bulletpoint">
    <w:name w:val="Bullet point"/>
    <w:basedOn w:val="ListBullet"/>
    <w:uiPriority w:val="99"/>
    <w:qFormat/>
    <w:rsid w:val="009E372E"/>
    <w:pPr>
      <w:numPr>
        <w:numId w:val="5"/>
      </w:numPr>
      <w:ind w:left="357" w:hanging="357"/>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file:///\\cdchnas-evs02\home$\kmurp\20170825%20-%20clean%20discussion%20paper%20-%20approach%20to%20electricity%20wholesale%20market%20performance%20monitoring%20(D2017-00119027).docx" TargetMode="External"/><Relationship Id="rId18" Type="http://schemas.openxmlformats.org/officeDocument/2006/relationships/hyperlink" Target="file:///\\cdchnas-evs02\home$\kmurp\20170825%20-%20clean%20discussion%20paper%20-%20approach%20to%20electricity%20wholesale%20market%20performance%20monitoring%20(D2017-00119027).docx" TargetMode="External"/><Relationship Id="rId26" Type="http://schemas.openxmlformats.org/officeDocument/2006/relationships/hyperlink" Target="file:///\\cdchnas-evs02\home$\kmurp\20170825%20-%20clean%20discussion%20paper%20-%20approach%20to%20electricity%20wholesale%20market%20performance%20monitoring%20(D2017-00119027).docx" TargetMode="External"/><Relationship Id="rId3" Type="http://schemas.openxmlformats.org/officeDocument/2006/relationships/styles" Target="styles.xml"/><Relationship Id="rId21" Type="http://schemas.openxmlformats.org/officeDocument/2006/relationships/hyperlink" Target="file:///\\cdchnas-evs02\home$\kmurp\20170825%20-%20clean%20discussion%20paper%20-%20approach%20to%20electricity%20wholesale%20market%20performance%20monitoring%20(D2017-00119027).docx" TargetMode="External"/><Relationship Id="rId7" Type="http://schemas.openxmlformats.org/officeDocument/2006/relationships/endnotes" Target="endnotes.xml"/><Relationship Id="rId12" Type="http://schemas.openxmlformats.org/officeDocument/2006/relationships/hyperlink" Target="file:///\\cdchnas-evs02\home$\kmurp\20170825%20-%20clean%20discussion%20paper%20-%20approach%20to%20electricity%20wholesale%20market%20performance%20monitoring%20(D2017-00119027).docx" TargetMode="External"/><Relationship Id="rId17" Type="http://schemas.openxmlformats.org/officeDocument/2006/relationships/hyperlink" Target="file:///\\cdchnas-evs02\home$\kmurp\20170825%20-%20clean%20discussion%20paper%20-%20approach%20to%20electricity%20wholesale%20market%20performance%20monitoring%20(D2017-00119027).docx" TargetMode="External"/><Relationship Id="rId25" Type="http://schemas.openxmlformats.org/officeDocument/2006/relationships/hyperlink" Target="file:///\\cdchnas-evs02\home$\kmurp\20170825%20-%20clean%20discussion%20paper%20-%20approach%20to%20electricity%20wholesale%20market%20performance%20monitoring%20(D2017-00119027).docx" TargetMode="External"/><Relationship Id="rId2" Type="http://schemas.openxmlformats.org/officeDocument/2006/relationships/numbering" Target="numbering.xml"/><Relationship Id="rId16" Type="http://schemas.openxmlformats.org/officeDocument/2006/relationships/hyperlink" Target="file:///\\cdchnas-evs02\home$\kmurp\20170825%20-%20clean%20discussion%20paper%20-%20approach%20to%20electricity%20wholesale%20market%20performance%20monitoring%20(D2017-00119027).docx" TargetMode="External"/><Relationship Id="rId20" Type="http://schemas.openxmlformats.org/officeDocument/2006/relationships/hyperlink" Target="file:///\\cdchnas-evs02\home$\kmurp\20170825%20-%20clean%20discussion%20paper%20-%20approach%20to%20electricity%20wholesale%20market%20performance%20monitoring%20(D2017-00119027).docx"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dchnas-evs02\home$\kmurp\20170825%20-%20clean%20discussion%20paper%20-%20approach%20to%20electricity%20wholesale%20market%20performance%20monitoring%20(D2017-00119027).docx" TargetMode="External"/><Relationship Id="rId24" Type="http://schemas.openxmlformats.org/officeDocument/2006/relationships/hyperlink" Target="file:///\\cdchnas-evs02\home$\kmurp\20170825%20-%20clean%20discussion%20paper%20-%20approach%20to%20electricity%20wholesale%20market%20performance%20monitoring%20(D2017-00119027).docx" TargetMode="External"/><Relationship Id="rId5" Type="http://schemas.openxmlformats.org/officeDocument/2006/relationships/webSettings" Target="webSettings.xml"/><Relationship Id="rId15" Type="http://schemas.openxmlformats.org/officeDocument/2006/relationships/hyperlink" Target="file:///\\cdchnas-evs02\home$\kmurp\20170825%20-%20clean%20discussion%20paper%20-%20approach%20to%20electricity%20wholesale%20market%20performance%20monitoring%20(D2017-00119027).docx" TargetMode="External"/><Relationship Id="rId23" Type="http://schemas.openxmlformats.org/officeDocument/2006/relationships/hyperlink" Target="file:///\\cdchnas-evs02\home$\kmurp\20170825%20-%20clean%20discussion%20paper%20-%20approach%20to%20electricity%20wholesale%20market%20performance%20monitoring%20(D2017-00119027).docx" TargetMode="External"/><Relationship Id="rId28" Type="http://schemas.openxmlformats.org/officeDocument/2006/relationships/fontTable" Target="fontTable.xml"/><Relationship Id="rId10" Type="http://schemas.openxmlformats.org/officeDocument/2006/relationships/hyperlink" Target="http://www.unitingcommunities.org" TargetMode="External"/><Relationship Id="rId19" Type="http://schemas.openxmlformats.org/officeDocument/2006/relationships/hyperlink" Target="file:///\\cdchnas-evs02\home$\kmurp\20170825%20-%20clean%20discussion%20paper%20-%20approach%20to%20electricity%20wholesale%20market%20performance%20monitoring%20(D2017-00119027).docx" TargetMode="External"/><Relationship Id="rId4" Type="http://schemas.openxmlformats.org/officeDocument/2006/relationships/settings" Target="settings.xml"/><Relationship Id="rId9" Type="http://schemas.openxmlformats.org/officeDocument/2006/relationships/hyperlink" Target="mailto:MarkH@unitingcommunities.org" TargetMode="External"/><Relationship Id="rId14" Type="http://schemas.openxmlformats.org/officeDocument/2006/relationships/hyperlink" Target="file:///\\cdchnas-evs02\home$\kmurp\20170825%20-%20clean%20discussion%20paper%20-%20approach%20to%20electricity%20wholesale%20market%20performance%20monitoring%20(D2017-00119027).docx" TargetMode="External"/><Relationship Id="rId22" Type="http://schemas.openxmlformats.org/officeDocument/2006/relationships/hyperlink" Target="file:///\\cdchnas-evs02\home$\kmurp\20170825%20-%20clean%20discussion%20paper%20-%20approach%20to%20electricity%20wholesale%20market%20performance%20monitoring%20(D2017-00119027).docx" TargetMode="External"/><Relationship Id="rId27" Type="http://schemas.openxmlformats.org/officeDocument/2006/relationships/hyperlink" Target="file:///\\cdchnas-evs02\home$\kmurp\20170825%20-%20clean%20discussion%20paper%20-%20approach%20to%20electricity%20wholesale%20market%20performance%20monitoring%20(D2017-00119027).doc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vaasaett.com/#social-media" TargetMode="External"/><Relationship Id="rId1" Type="http://schemas.openxmlformats.org/officeDocument/2006/relationships/hyperlink" Target="https://www.linkedin.com/pulse/5-reasons-why-big-price-rises-unsustainable-philip-lewis?trk=prof-po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4426A-3713-4709-BFCE-047A19F5D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2243</TotalTime>
  <Pages>8</Pages>
  <Words>3742</Words>
  <Characters>21334</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Uniting Communities</Company>
  <LinksUpToDate>false</LinksUpToDate>
  <CharactersWithSpaces>25026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Henley</dc:creator>
  <cp:keywords/>
  <dc:description/>
  <cp:lastModifiedBy>Mark Henley</cp:lastModifiedBy>
  <cp:revision>8</cp:revision>
  <dcterms:created xsi:type="dcterms:W3CDTF">2017-10-27T00:36:00Z</dcterms:created>
  <dcterms:modified xsi:type="dcterms:W3CDTF">2017-11-02T10:41:00Z</dcterms:modified>
</cp:coreProperties>
</file>