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45" w:rsidRDefault="00B23A45" w:rsidP="00B23A45">
      <w:pPr>
        <w:shd w:val="clear" w:color="auto" w:fill="FFFFFF"/>
        <w:spacing w:line="336" w:lineRule="atLeast"/>
        <w:rPr>
          <w:rFonts w:ascii="Verdana" w:hAnsi="Verdana"/>
          <w:b/>
          <w:bCs/>
          <w:color w:val="464545"/>
          <w:sz w:val="18"/>
          <w:szCs w:val="18"/>
          <w:lang w:val="en" w:eastAsia="en-AU"/>
        </w:rPr>
      </w:pPr>
      <w:proofErr w:type="spellStart"/>
      <w:r>
        <w:rPr>
          <w:rFonts w:ascii="Verdana" w:hAnsi="Verdana"/>
          <w:b/>
          <w:bCs/>
          <w:color w:val="464545"/>
          <w:sz w:val="18"/>
          <w:szCs w:val="18"/>
          <w:lang w:val="en" w:eastAsia="en-AU"/>
        </w:rPr>
        <w:t>Mr</w:t>
      </w:r>
      <w:proofErr w:type="spellEnd"/>
      <w:r>
        <w:rPr>
          <w:rFonts w:ascii="Verdana" w:hAnsi="Verdana"/>
          <w:b/>
          <w:bCs/>
          <w:color w:val="464545"/>
          <w:sz w:val="18"/>
          <w:szCs w:val="18"/>
          <w:lang w:val="en" w:eastAsia="en-AU"/>
        </w:rPr>
        <w:t xml:space="preserve"> Sebastian Roberts, </w:t>
      </w:r>
    </w:p>
    <w:p w:rsidR="00B23A45" w:rsidRDefault="00B23A45" w:rsidP="00B23A45">
      <w:pPr>
        <w:shd w:val="clear" w:color="auto" w:fill="FFFFFF"/>
        <w:spacing w:line="336" w:lineRule="atLeast"/>
        <w:rPr>
          <w:rFonts w:ascii="Verdana" w:hAnsi="Verdana"/>
          <w:b/>
          <w:bCs/>
          <w:color w:val="464545"/>
          <w:sz w:val="18"/>
          <w:szCs w:val="18"/>
          <w:lang w:val="en" w:eastAsia="en-AU"/>
        </w:rPr>
      </w:pPr>
      <w:r>
        <w:rPr>
          <w:rFonts w:ascii="Verdana" w:hAnsi="Verdana"/>
          <w:b/>
          <w:bCs/>
          <w:color w:val="464545"/>
          <w:sz w:val="18"/>
          <w:szCs w:val="18"/>
          <w:lang w:val="en" w:eastAsia="en-AU"/>
        </w:rPr>
        <w:t>General Manager - Network Regulation,</w:t>
      </w:r>
    </w:p>
    <w:p w:rsidR="00B23A45" w:rsidRDefault="00B23A45" w:rsidP="00B23A45">
      <w:pPr>
        <w:shd w:val="clear" w:color="auto" w:fill="FFFFFF"/>
        <w:spacing w:line="336" w:lineRule="atLeast"/>
        <w:rPr>
          <w:rFonts w:ascii="Verdana" w:hAnsi="Verdana"/>
          <w:b/>
          <w:bCs/>
          <w:color w:val="464545"/>
          <w:sz w:val="18"/>
          <w:szCs w:val="18"/>
          <w:lang w:val="en" w:eastAsia="en-AU"/>
        </w:rPr>
      </w:pPr>
      <w:proofErr w:type="gramStart"/>
      <w:r>
        <w:rPr>
          <w:rFonts w:ascii="Verdana" w:hAnsi="Verdana"/>
          <w:b/>
          <w:bCs/>
          <w:color w:val="464545"/>
          <w:sz w:val="18"/>
          <w:szCs w:val="18"/>
          <w:lang w:val="en" w:eastAsia="en-AU"/>
        </w:rPr>
        <w:t>Australian Energy Regulator.</w:t>
      </w:r>
      <w:proofErr w:type="gramEnd"/>
    </w:p>
    <w:p w:rsidR="00B23A45" w:rsidRDefault="00B23A45" w:rsidP="00B23A45">
      <w:pPr>
        <w:shd w:val="clear" w:color="auto" w:fill="FFFFFF"/>
        <w:spacing w:line="336" w:lineRule="atLeast"/>
        <w:rPr>
          <w:rFonts w:ascii="Verdana" w:hAnsi="Verdana"/>
          <w:color w:val="464545"/>
          <w:sz w:val="18"/>
          <w:szCs w:val="18"/>
          <w:lang w:val="en" w:eastAsia="en-AU"/>
        </w:rPr>
      </w:pP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Dear Sir,</w:t>
      </w:r>
    </w:p>
    <w:p w:rsidR="00B23A45" w:rsidRDefault="00B23A45" w:rsidP="00B23A45">
      <w:pPr>
        <w:shd w:val="clear" w:color="auto" w:fill="FFFFFF"/>
        <w:spacing w:line="336" w:lineRule="atLeast"/>
        <w:rPr>
          <w:rFonts w:ascii="Verdana" w:hAnsi="Verdana"/>
          <w:sz w:val="18"/>
          <w:szCs w:val="18"/>
          <w:lang w:val="en" w:eastAsia="en-AU"/>
        </w:rPr>
      </w:pP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 xml:space="preserve">Responding to the invitation for submissions on the </w:t>
      </w:r>
      <w:r>
        <w:rPr>
          <w:rFonts w:ascii="Verdana" w:hAnsi="Verdana"/>
          <w:b/>
          <w:bCs/>
          <w:sz w:val="18"/>
          <w:szCs w:val="18"/>
          <w:lang w:val="en" w:eastAsia="en-AU"/>
        </w:rPr>
        <w:t>AER preliminary decision on Energex’s regulatory proposal 2015/16-2019/20</w:t>
      </w:r>
      <w:r>
        <w:rPr>
          <w:rFonts w:ascii="Verdana" w:hAnsi="Verdana"/>
          <w:sz w:val="18"/>
          <w:szCs w:val="18"/>
          <w:lang w:val="en" w:eastAsia="en-AU"/>
        </w:rPr>
        <w:t>, our Community Group VETO, offers the following response.</w:t>
      </w:r>
    </w:p>
    <w:p w:rsidR="00B23A45" w:rsidRDefault="00B23A45" w:rsidP="00B23A45">
      <w:pPr>
        <w:shd w:val="clear" w:color="auto" w:fill="FFFFFF"/>
        <w:spacing w:line="336" w:lineRule="atLeast"/>
        <w:rPr>
          <w:rFonts w:ascii="Verdana" w:hAnsi="Verdana"/>
          <w:sz w:val="18"/>
          <w:szCs w:val="18"/>
          <w:lang w:val="en" w:eastAsia="en-AU"/>
        </w:rPr>
      </w:pP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 xml:space="preserve">Our Community has opposed Energex’s proposal to construct the second </w:t>
      </w:r>
      <w:proofErr w:type="spellStart"/>
      <w:r>
        <w:rPr>
          <w:rFonts w:ascii="Verdana" w:hAnsi="Verdana"/>
          <w:sz w:val="18"/>
          <w:szCs w:val="18"/>
          <w:lang w:val="en" w:eastAsia="en-AU"/>
        </w:rPr>
        <w:t>Loganlea</w:t>
      </w:r>
      <w:proofErr w:type="spellEnd"/>
      <w:r>
        <w:rPr>
          <w:rFonts w:ascii="Verdana" w:hAnsi="Verdana"/>
          <w:sz w:val="18"/>
          <w:szCs w:val="18"/>
          <w:lang w:val="en" w:eastAsia="en-AU"/>
        </w:rPr>
        <w:t xml:space="preserve"> to </w:t>
      </w:r>
      <w:proofErr w:type="spellStart"/>
      <w:r>
        <w:rPr>
          <w:rFonts w:ascii="Verdana" w:hAnsi="Verdana"/>
          <w:sz w:val="18"/>
          <w:szCs w:val="18"/>
          <w:lang w:val="en" w:eastAsia="en-AU"/>
        </w:rPr>
        <w:t>Jimboomba</w:t>
      </w:r>
      <w:proofErr w:type="spellEnd"/>
      <w:r>
        <w:rPr>
          <w:rFonts w:ascii="Verdana" w:hAnsi="Verdana"/>
          <w:sz w:val="18"/>
          <w:szCs w:val="18"/>
          <w:lang w:val="en" w:eastAsia="en-AU"/>
        </w:rPr>
        <w:t xml:space="preserve"> 110kV </w:t>
      </w:r>
      <w:proofErr w:type="spellStart"/>
      <w:r>
        <w:rPr>
          <w:rFonts w:ascii="Verdana" w:hAnsi="Verdana"/>
          <w:sz w:val="18"/>
          <w:szCs w:val="18"/>
          <w:lang w:val="en" w:eastAsia="en-AU"/>
        </w:rPr>
        <w:t>powerline</w:t>
      </w:r>
      <w:proofErr w:type="spellEnd"/>
      <w:r>
        <w:rPr>
          <w:rFonts w:ascii="Verdana" w:hAnsi="Verdana"/>
          <w:sz w:val="18"/>
          <w:szCs w:val="18"/>
          <w:lang w:val="en" w:eastAsia="en-AU"/>
        </w:rPr>
        <w:t xml:space="preserve"> along the Logan River since it was announced by Energex in December 2008 at an estimated of cost $25.67M</w:t>
      </w:r>
      <w:r>
        <w:rPr>
          <w:rFonts w:ascii="Verdana" w:hAnsi="Verdana"/>
          <w:sz w:val="18"/>
          <w:szCs w:val="18"/>
          <w:vertAlign w:val="superscript"/>
          <w:lang w:val="en" w:eastAsia="en-AU"/>
        </w:rPr>
        <w:t>1</w:t>
      </w:r>
      <w:r>
        <w:rPr>
          <w:rFonts w:ascii="Verdana" w:hAnsi="Verdana"/>
          <w:sz w:val="18"/>
          <w:szCs w:val="18"/>
          <w:lang w:val="en" w:eastAsia="en-AU"/>
        </w:rPr>
        <w:t>.</w:t>
      </w: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 xml:space="preserve">We participated in the Community Consultation run by Energex, but found it was a sham process where Energex pushed their pre-determined </w:t>
      </w:r>
      <w:proofErr w:type="spellStart"/>
      <w:r>
        <w:rPr>
          <w:rFonts w:ascii="Verdana" w:hAnsi="Verdana"/>
          <w:sz w:val="18"/>
          <w:szCs w:val="18"/>
          <w:lang w:val="en" w:eastAsia="en-AU"/>
        </w:rPr>
        <w:t>powerline</w:t>
      </w:r>
      <w:proofErr w:type="spellEnd"/>
      <w:r>
        <w:rPr>
          <w:rFonts w:ascii="Verdana" w:hAnsi="Verdana"/>
          <w:sz w:val="18"/>
          <w:szCs w:val="18"/>
          <w:lang w:val="en" w:eastAsia="en-AU"/>
        </w:rPr>
        <w:t xml:space="preserve"> route, </w:t>
      </w:r>
      <w:proofErr w:type="spellStart"/>
      <w:r>
        <w:rPr>
          <w:rFonts w:ascii="Verdana" w:hAnsi="Verdana"/>
          <w:sz w:val="18"/>
          <w:szCs w:val="18"/>
          <w:lang w:val="en" w:eastAsia="en-AU"/>
        </w:rPr>
        <w:t>trivialised</w:t>
      </w:r>
      <w:proofErr w:type="spellEnd"/>
      <w:r>
        <w:rPr>
          <w:rFonts w:ascii="Verdana" w:hAnsi="Verdana"/>
          <w:sz w:val="18"/>
          <w:szCs w:val="18"/>
          <w:lang w:val="en" w:eastAsia="en-AU"/>
        </w:rPr>
        <w:t xml:space="preserve"> Community issues and ignored lower impact alternatives.</w:t>
      </w:r>
    </w:p>
    <w:p w:rsidR="00B23A45" w:rsidRDefault="00B23A45" w:rsidP="00B23A45">
      <w:pPr>
        <w:shd w:val="clear" w:color="auto" w:fill="FFFFFF"/>
        <w:spacing w:line="336" w:lineRule="atLeast"/>
        <w:rPr>
          <w:rFonts w:ascii="Verdana" w:hAnsi="Verdana"/>
          <w:sz w:val="18"/>
          <w:szCs w:val="18"/>
          <w:lang w:val="en" w:eastAsia="en-AU"/>
        </w:rPr>
      </w:pP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 xml:space="preserve">We provided a summary of our experience with Energex in a submission to the </w:t>
      </w:r>
      <w:r>
        <w:rPr>
          <w:rFonts w:ascii="Verdana" w:hAnsi="Verdana"/>
          <w:b/>
          <w:bCs/>
          <w:sz w:val="18"/>
          <w:szCs w:val="18"/>
          <w:lang w:val="en" w:eastAsia="en-AU"/>
        </w:rPr>
        <w:t>Senate Inquiry into Electricity Network Companies</w:t>
      </w:r>
      <w:r>
        <w:rPr>
          <w:rFonts w:ascii="Verdana" w:hAnsi="Verdana"/>
          <w:sz w:val="18"/>
          <w:szCs w:val="18"/>
          <w:lang w:val="en" w:eastAsia="en-AU"/>
        </w:rPr>
        <w:t xml:space="preserve"> in November 2014 and have attached this two part submission for your information.</w:t>
      </w: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 xml:space="preserve">This submission provides examples of Energex manipulating costs and processes to justify their pre-determined second </w:t>
      </w:r>
      <w:proofErr w:type="spellStart"/>
      <w:r>
        <w:rPr>
          <w:rFonts w:ascii="Verdana" w:hAnsi="Verdana"/>
          <w:sz w:val="18"/>
          <w:szCs w:val="18"/>
          <w:lang w:val="en" w:eastAsia="en-AU"/>
        </w:rPr>
        <w:t>Loganlea</w:t>
      </w:r>
      <w:proofErr w:type="spellEnd"/>
      <w:r>
        <w:rPr>
          <w:rFonts w:ascii="Verdana" w:hAnsi="Verdana"/>
          <w:sz w:val="18"/>
          <w:szCs w:val="18"/>
          <w:lang w:val="en" w:eastAsia="en-AU"/>
        </w:rPr>
        <w:t xml:space="preserve"> to </w:t>
      </w:r>
      <w:proofErr w:type="spellStart"/>
      <w:r>
        <w:rPr>
          <w:rFonts w:ascii="Verdana" w:hAnsi="Verdana"/>
          <w:sz w:val="18"/>
          <w:szCs w:val="18"/>
          <w:lang w:val="en" w:eastAsia="en-AU"/>
        </w:rPr>
        <w:t>Jimboomba</w:t>
      </w:r>
      <w:proofErr w:type="spellEnd"/>
      <w:r>
        <w:rPr>
          <w:rFonts w:ascii="Verdana" w:hAnsi="Verdana"/>
          <w:sz w:val="18"/>
          <w:szCs w:val="18"/>
          <w:lang w:val="en" w:eastAsia="en-AU"/>
        </w:rPr>
        <w:t xml:space="preserve"> 110kV </w:t>
      </w:r>
      <w:proofErr w:type="spellStart"/>
      <w:r>
        <w:rPr>
          <w:rFonts w:ascii="Verdana" w:hAnsi="Verdana"/>
          <w:sz w:val="18"/>
          <w:szCs w:val="18"/>
          <w:lang w:val="en" w:eastAsia="en-AU"/>
        </w:rPr>
        <w:t>powerline</w:t>
      </w:r>
      <w:proofErr w:type="spellEnd"/>
      <w:r>
        <w:rPr>
          <w:rFonts w:ascii="Verdana" w:hAnsi="Verdana"/>
          <w:sz w:val="18"/>
          <w:szCs w:val="18"/>
          <w:lang w:val="en" w:eastAsia="en-AU"/>
        </w:rPr>
        <w:t xml:space="preserve"> along the Logan River, which is now expected to cost at least $64.2M</w:t>
      </w:r>
      <w:r>
        <w:rPr>
          <w:rFonts w:ascii="Verdana" w:hAnsi="Verdana"/>
          <w:sz w:val="18"/>
          <w:szCs w:val="18"/>
          <w:vertAlign w:val="superscript"/>
          <w:lang w:val="en" w:eastAsia="en-AU"/>
        </w:rPr>
        <w:t>2</w:t>
      </w:r>
      <w:r>
        <w:rPr>
          <w:rFonts w:ascii="Verdana" w:hAnsi="Verdana"/>
          <w:sz w:val="18"/>
          <w:szCs w:val="18"/>
          <w:lang w:val="en" w:eastAsia="en-AU"/>
        </w:rPr>
        <w:t>.</w:t>
      </w:r>
    </w:p>
    <w:p w:rsidR="00B23A45" w:rsidRDefault="00B23A45" w:rsidP="00B23A45">
      <w:pPr>
        <w:shd w:val="clear" w:color="auto" w:fill="FFFFFF"/>
        <w:spacing w:line="336" w:lineRule="atLeast"/>
        <w:rPr>
          <w:rFonts w:ascii="Verdana" w:hAnsi="Verdana"/>
          <w:sz w:val="18"/>
          <w:szCs w:val="18"/>
          <w:lang w:val="en" w:eastAsia="en-AU"/>
        </w:rPr>
      </w:pP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Over the past 12 months Energex has claimed that all Off-River Alternatives will cost approximately $10 million more and Energex required Logan City Council to commit to contribute $5 million under an Energex CPEP program</w:t>
      </w:r>
      <w:r>
        <w:rPr>
          <w:rFonts w:ascii="Verdana" w:hAnsi="Verdana"/>
          <w:sz w:val="18"/>
          <w:szCs w:val="18"/>
          <w:vertAlign w:val="superscript"/>
          <w:lang w:val="en" w:eastAsia="en-AU"/>
        </w:rPr>
        <w:t>3</w:t>
      </w:r>
      <w:r>
        <w:rPr>
          <w:rFonts w:ascii="Verdana" w:hAnsi="Verdana"/>
          <w:sz w:val="18"/>
          <w:szCs w:val="18"/>
          <w:lang w:val="en" w:eastAsia="en-AU"/>
        </w:rPr>
        <w:t xml:space="preserve">, which doesn’t apply to new or high voltage </w:t>
      </w:r>
      <w:proofErr w:type="spellStart"/>
      <w:r>
        <w:rPr>
          <w:rFonts w:ascii="Verdana" w:hAnsi="Verdana"/>
          <w:sz w:val="18"/>
          <w:szCs w:val="18"/>
          <w:lang w:val="en" w:eastAsia="en-AU"/>
        </w:rPr>
        <w:t>powerlines</w:t>
      </w:r>
      <w:proofErr w:type="spellEnd"/>
      <w:r>
        <w:rPr>
          <w:rFonts w:ascii="Verdana" w:hAnsi="Verdana"/>
          <w:sz w:val="18"/>
          <w:szCs w:val="18"/>
          <w:lang w:val="en" w:eastAsia="en-AU"/>
        </w:rPr>
        <w:t>.</w:t>
      </w: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 xml:space="preserve">More recently Energex has used the threat of legal action over Council’s rejection of the 5 Logan River crossings, to force Logan City Council to agree, to a Compromise proposal comprising an 800m double under river bore, some underground, then the overhead </w:t>
      </w:r>
      <w:proofErr w:type="spellStart"/>
      <w:r>
        <w:rPr>
          <w:rFonts w:ascii="Verdana" w:hAnsi="Verdana"/>
          <w:sz w:val="18"/>
          <w:szCs w:val="18"/>
          <w:lang w:val="en" w:eastAsia="en-AU"/>
        </w:rPr>
        <w:t>powerline</w:t>
      </w:r>
      <w:proofErr w:type="spellEnd"/>
      <w:r>
        <w:rPr>
          <w:rFonts w:ascii="Verdana" w:hAnsi="Verdana"/>
          <w:sz w:val="18"/>
          <w:szCs w:val="18"/>
          <w:lang w:val="en" w:eastAsia="en-AU"/>
        </w:rPr>
        <w:t xml:space="preserve"> with three river crossings along the Logan River.</w:t>
      </w:r>
    </w:p>
    <w:p w:rsidR="00B23A45" w:rsidRDefault="00B23A45" w:rsidP="00B23A45">
      <w:pPr>
        <w:shd w:val="clear" w:color="auto" w:fill="FFFFFF"/>
        <w:spacing w:line="336" w:lineRule="atLeast"/>
        <w:rPr>
          <w:rFonts w:ascii="Verdana" w:hAnsi="Verdana"/>
          <w:sz w:val="18"/>
          <w:szCs w:val="18"/>
          <w:lang w:val="en" w:eastAsia="en-AU"/>
        </w:rPr>
      </w:pPr>
    </w:p>
    <w:p w:rsidR="00B23A45" w:rsidRDefault="00B23A45" w:rsidP="00B23A45">
      <w:pPr>
        <w:shd w:val="clear" w:color="auto" w:fill="FFFFFF"/>
        <w:spacing w:line="336" w:lineRule="atLeast"/>
        <w:rPr>
          <w:rFonts w:ascii="Verdana" w:hAnsi="Verdana"/>
          <w:sz w:val="18"/>
          <w:szCs w:val="18"/>
          <w:lang w:val="en" w:eastAsia="en-AU"/>
        </w:rPr>
      </w:pPr>
      <w:proofErr w:type="gramStart"/>
      <w:r>
        <w:rPr>
          <w:rFonts w:ascii="Verdana" w:hAnsi="Verdana"/>
          <w:sz w:val="18"/>
          <w:szCs w:val="18"/>
          <w:lang w:val="en" w:eastAsia="en-AU"/>
        </w:rPr>
        <w:t xml:space="preserve">However as stated in the letter to Minister Bailey as well as the </w:t>
      </w:r>
      <w:proofErr w:type="spellStart"/>
      <w:r>
        <w:rPr>
          <w:rFonts w:ascii="Verdana" w:hAnsi="Verdana"/>
          <w:sz w:val="18"/>
          <w:szCs w:val="18"/>
          <w:lang w:val="en" w:eastAsia="en-AU"/>
        </w:rPr>
        <w:t>Jimboomba</w:t>
      </w:r>
      <w:proofErr w:type="spellEnd"/>
      <w:r>
        <w:rPr>
          <w:rFonts w:ascii="Verdana" w:hAnsi="Verdana"/>
          <w:sz w:val="18"/>
          <w:szCs w:val="18"/>
          <w:lang w:val="en" w:eastAsia="en-AU"/>
        </w:rPr>
        <w:t xml:space="preserve"> Times articles (attached) this is not Council’s preferred route for the Logan River section.</w:t>
      </w:r>
      <w:proofErr w:type="gramEnd"/>
      <w:r>
        <w:rPr>
          <w:rFonts w:ascii="Verdana" w:hAnsi="Verdana"/>
          <w:sz w:val="18"/>
          <w:szCs w:val="18"/>
          <w:lang w:val="en" w:eastAsia="en-AU"/>
        </w:rPr>
        <w:t xml:space="preserve"> </w:t>
      </w: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 xml:space="preserve">In 2014 Logan City Council engaged external consultants to develop a feasible Off-Logan River underground Alternative route which was estimated to cost $19.1 million. Council </w:t>
      </w:r>
      <w:proofErr w:type="gramStart"/>
      <w:r>
        <w:rPr>
          <w:rFonts w:ascii="Verdana" w:hAnsi="Verdana"/>
          <w:sz w:val="18"/>
          <w:szCs w:val="18"/>
          <w:lang w:val="en" w:eastAsia="en-AU"/>
        </w:rPr>
        <w:t>advise</w:t>
      </w:r>
      <w:proofErr w:type="gramEnd"/>
      <w:r>
        <w:rPr>
          <w:rFonts w:ascii="Verdana" w:hAnsi="Verdana"/>
          <w:sz w:val="18"/>
          <w:szCs w:val="18"/>
          <w:lang w:val="en" w:eastAsia="en-AU"/>
        </w:rPr>
        <w:t xml:space="preserve"> that Energex subsequently estimated this Alternative would cost $17.1 million.</w:t>
      </w: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 xml:space="preserve">As shown in the letter to Minister Bailey, both these estimates are consistent with the expected overall construction rate for this 23.2km </w:t>
      </w:r>
      <w:proofErr w:type="spellStart"/>
      <w:r>
        <w:rPr>
          <w:rFonts w:ascii="Verdana" w:hAnsi="Verdana"/>
          <w:sz w:val="18"/>
          <w:szCs w:val="18"/>
          <w:lang w:val="en" w:eastAsia="en-AU"/>
        </w:rPr>
        <w:t>powerline</w:t>
      </w:r>
      <w:proofErr w:type="spellEnd"/>
      <w:r>
        <w:rPr>
          <w:rFonts w:ascii="Verdana" w:hAnsi="Verdana"/>
          <w:sz w:val="18"/>
          <w:szCs w:val="18"/>
          <w:lang w:val="en" w:eastAsia="en-AU"/>
        </w:rPr>
        <w:t xml:space="preserve"> at $64.2 million, which is $2.77 million per </w:t>
      </w:r>
      <w:proofErr w:type="spellStart"/>
      <w:r>
        <w:rPr>
          <w:rFonts w:ascii="Verdana" w:hAnsi="Verdana"/>
          <w:sz w:val="18"/>
          <w:szCs w:val="18"/>
          <w:lang w:val="en" w:eastAsia="en-AU"/>
        </w:rPr>
        <w:t>kilometre</w:t>
      </w:r>
      <w:proofErr w:type="spellEnd"/>
      <w:r>
        <w:rPr>
          <w:rFonts w:ascii="Verdana" w:hAnsi="Verdana"/>
          <w:sz w:val="18"/>
          <w:szCs w:val="18"/>
          <w:lang w:val="en" w:eastAsia="en-AU"/>
        </w:rPr>
        <w:t xml:space="preserve"> (including Energex on-costs of 40%, as advised by Council).</w:t>
      </w:r>
    </w:p>
    <w:p w:rsidR="00B23A45" w:rsidRDefault="00B23A45" w:rsidP="00B23A45">
      <w:pPr>
        <w:shd w:val="clear" w:color="auto" w:fill="FFFFFF"/>
        <w:spacing w:line="336" w:lineRule="atLeast"/>
        <w:rPr>
          <w:rFonts w:ascii="Verdana" w:hAnsi="Verdana"/>
          <w:sz w:val="18"/>
          <w:szCs w:val="18"/>
          <w:lang w:val="en" w:eastAsia="en-AU"/>
        </w:rPr>
      </w:pP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lastRenderedPageBreak/>
        <w:t>However Energex claim their “</w:t>
      </w:r>
      <w:r>
        <w:rPr>
          <w:rFonts w:ascii="Verdana" w:hAnsi="Verdana"/>
          <w:i/>
          <w:iCs/>
          <w:sz w:val="18"/>
          <w:szCs w:val="18"/>
          <w:lang w:val="en" w:eastAsia="en-AU"/>
        </w:rPr>
        <w:t>complex overhead construction</w:t>
      </w:r>
      <w:r>
        <w:rPr>
          <w:rFonts w:ascii="Verdana" w:hAnsi="Verdana"/>
          <w:sz w:val="18"/>
          <w:szCs w:val="18"/>
          <w:lang w:val="en" w:eastAsia="en-AU"/>
        </w:rPr>
        <w:t>”</w:t>
      </w:r>
      <w:r>
        <w:rPr>
          <w:rFonts w:ascii="Verdana" w:hAnsi="Verdana"/>
          <w:sz w:val="18"/>
          <w:szCs w:val="18"/>
          <w:vertAlign w:val="superscript"/>
          <w:lang w:val="en" w:eastAsia="en-AU"/>
        </w:rPr>
        <w:t xml:space="preserve"> 4</w:t>
      </w:r>
      <w:r>
        <w:rPr>
          <w:rFonts w:ascii="Verdana" w:hAnsi="Verdana"/>
          <w:sz w:val="18"/>
          <w:szCs w:val="18"/>
          <w:lang w:val="en" w:eastAsia="en-AU"/>
        </w:rPr>
        <w:t xml:space="preserve"> along the Logan River with a 40 </w:t>
      </w:r>
      <w:proofErr w:type="spellStart"/>
      <w:r>
        <w:rPr>
          <w:rFonts w:ascii="Verdana" w:hAnsi="Verdana"/>
          <w:sz w:val="18"/>
          <w:szCs w:val="18"/>
          <w:lang w:val="en" w:eastAsia="en-AU"/>
        </w:rPr>
        <w:t>metre</w:t>
      </w:r>
      <w:proofErr w:type="spellEnd"/>
      <w:r>
        <w:rPr>
          <w:rFonts w:ascii="Verdana" w:hAnsi="Verdana"/>
          <w:sz w:val="18"/>
          <w:szCs w:val="18"/>
          <w:lang w:val="en" w:eastAsia="en-AU"/>
        </w:rPr>
        <w:t xml:space="preserve"> cleared easement, 5 river crossings and 7kms of access tracks will only cost $9.1 million</w:t>
      </w:r>
      <w:r>
        <w:rPr>
          <w:rFonts w:ascii="Verdana" w:hAnsi="Verdana"/>
          <w:sz w:val="18"/>
          <w:szCs w:val="18"/>
          <w:vertAlign w:val="superscript"/>
          <w:lang w:val="en" w:eastAsia="en-AU"/>
        </w:rPr>
        <w:t>5</w:t>
      </w:r>
      <w:r>
        <w:rPr>
          <w:rFonts w:ascii="Verdana" w:hAnsi="Verdana"/>
          <w:sz w:val="18"/>
          <w:szCs w:val="18"/>
          <w:lang w:val="en" w:eastAsia="en-AU"/>
        </w:rPr>
        <w:t xml:space="preserve">, which can’t be correct as this is half the overall construction rate. </w:t>
      </w: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Whereas as shown in Appendix 2 in the letter to Minister Bailey, applying the overall construction rate, Energex’s “</w:t>
      </w:r>
      <w:r>
        <w:rPr>
          <w:rFonts w:ascii="Verdana" w:hAnsi="Verdana"/>
          <w:i/>
          <w:iCs/>
          <w:sz w:val="18"/>
          <w:szCs w:val="18"/>
          <w:lang w:val="en" w:eastAsia="en-AU"/>
        </w:rPr>
        <w:t xml:space="preserve">complex overhead construction” </w:t>
      </w:r>
      <w:r>
        <w:rPr>
          <w:rFonts w:ascii="Verdana" w:hAnsi="Verdana"/>
          <w:sz w:val="18"/>
          <w:szCs w:val="18"/>
          <w:lang w:val="en" w:eastAsia="en-AU"/>
        </w:rPr>
        <w:t>along the Logan River is more likely to cost at least $18 million, while their recent Compromise proposal is more likely to cost at least $19 million.</w:t>
      </w: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The point being, that Council’s Off-Logan River underground Alternative could actually cost less than Energex’s “</w:t>
      </w:r>
      <w:r>
        <w:rPr>
          <w:rFonts w:ascii="Verdana" w:hAnsi="Verdana"/>
          <w:i/>
          <w:iCs/>
          <w:sz w:val="18"/>
          <w:szCs w:val="18"/>
          <w:lang w:val="en" w:eastAsia="en-AU"/>
        </w:rPr>
        <w:t>complex overhead construction”</w:t>
      </w:r>
      <w:r>
        <w:rPr>
          <w:rFonts w:ascii="Verdana" w:hAnsi="Verdana"/>
          <w:sz w:val="18"/>
          <w:szCs w:val="18"/>
          <w:lang w:val="en" w:eastAsia="en-AU"/>
        </w:rPr>
        <w:t xml:space="preserve"> along the Logan River.</w:t>
      </w:r>
    </w:p>
    <w:p w:rsidR="00B23A45" w:rsidRDefault="00B23A45" w:rsidP="00B23A45">
      <w:pPr>
        <w:shd w:val="clear" w:color="auto" w:fill="FFFFFF"/>
        <w:spacing w:line="336" w:lineRule="atLeast"/>
        <w:rPr>
          <w:rFonts w:ascii="Verdana" w:hAnsi="Verdana"/>
          <w:sz w:val="18"/>
          <w:szCs w:val="18"/>
          <w:lang w:val="en" w:eastAsia="en-AU"/>
        </w:rPr>
      </w:pP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 xml:space="preserve">But Energex have again manipulated costs and processes to claim their preferred complex overhead construction along the Logan </w:t>
      </w:r>
      <w:proofErr w:type="gramStart"/>
      <w:r>
        <w:rPr>
          <w:rFonts w:ascii="Verdana" w:hAnsi="Verdana"/>
          <w:sz w:val="18"/>
          <w:szCs w:val="18"/>
          <w:lang w:val="en" w:eastAsia="en-AU"/>
        </w:rPr>
        <w:t>River,</w:t>
      </w:r>
      <w:proofErr w:type="gramEnd"/>
      <w:r>
        <w:rPr>
          <w:rFonts w:ascii="Verdana" w:hAnsi="Verdana"/>
          <w:sz w:val="18"/>
          <w:szCs w:val="18"/>
          <w:lang w:val="en" w:eastAsia="en-AU"/>
        </w:rPr>
        <w:t xml:space="preserve"> will cost less, when this is unlikely for the construction phase or the ongoing operation of this </w:t>
      </w:r>
      <w:proofErr w:type="spellStart"/>
      <w:r>
        <w:rPr>
          <w:rFonts w:ascii="Verdana" w:hAnsi="Verdana"/>
          <w:sz w:val="18"/>
          <w:szCs w:val="18"/>
          <w:lang w:val="en" w:eastAsia="en-AU"/>
        </w:rPr>
        <w:t>powerline</w:t>
      </w:r>
      <w:proofErr w:type="spellEnd"/>
      <w:r>
        <w:rPr>
          <w:rFonts w:ascii="Verdana" w:hAnsi="Verdana"/>
          <w:sz w:val="18"/>
          <w:szCs w:val="18"/>
          <w:lang w:val="en" w:eastAsia="en-AU"/>
        </w:rPr>
        <w:t xml:space="preserve"> along a river which regularly floods.</w:t>
      </w:r>
    </w:p>
    <w:p w:rsidR="00B23A45" w:rsidRDefault="00B23A45" w:rsidP="00B23A45">
      <w:pPr>
        <w:shd w:val="clear" w:color="auto" w:fill="FFFFFF"/>
        <w:spacing w:line="336" w:lineRule="atLeast"/>
        <w:rPr>
          <w:rFonts w:ascii="Verdana" w:hAnsi="Verdana"/>
          <w:sz w:val="18"/>
          <w:szCs w:val="18"/>
          <w:lang w:val="en" w:eastAsia="en-AU"/>
        </w:rPr>
      </w:pP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 xml:space="preserve">While this costing example (in detail), as well as four other examples are the subject of a confidential Crime and Corruption Commission (Qld) submission, our Senate Submission and this recent cost comparison are relevant to the AER’s consideration of Energex’s regulatory proposal because the proposed second </w:t>
      </w:r>
      <w:proofErr w:type="spellStart"/>
      <w:r>
        <w:rPr>
          <w:rFonts w:ascii="Verdana" w:hAnsi="Verdana"/>
          <w:sz w:val="18"/>
          <w:szCs w:val="18"/>
          <w:lang w:val="en" w:eastAsia="en-AU"/>
        </w:rPr>
        <w:t>Loganlea</w:t>
      </w:r>
      <w:proofErr w:type="spellEnd"/>
      <w:r>
        <w:rPr>
          <w:rFonts w:ascii="Verdana" w:hAnsi="Verdana"/>
          <w:sz w:val="18"/>
          <w:szCs w:val="18"/>
          <w:lang w:val="en" w:eastAsia="en-AU"/>
        </w:rPr>
        <w:t xml:space="preserve"> to </w:t>
      </w:r>
      <w:proofErr w:type="spellStart"/>
      <w:r>
        <w:rPr>
          <w:rFonts w:ascii="Verdana" w:hAnsi="Verdana"/>
          <w:sz w:val="18"/>
          <w:szCs w:val="18"/>
          <w:lang w:val="en" w:eastAsia="en-AU"/>
        </w:rPr>
        <w:t>Jimboomba</w:t>
      </w:r>
      <w:proofErr w:type="spellEnd"/>
      <w:r>
        <w:rPr>
          <w:rFonts w:ascii="Verdana" w:hAnsi="Verdana"/>
          <w:sz w:val="18"/>
          <w:szCs w:val="18"/>
          <w:lang w:val="en" w:eastAsia="en-AU"/>
        </w:rPr>
        <w:t xml:space="preserve"> 110kV </w:t>
      </w:r>
      <w:proofErr w:type="spellStart"/>
      <w:r>
        <w:rPr>
          <w:rFonts w:ascii="Verdana" w:hAnsi="Verdana"/>
          <w:sz w:val="18"/>
          <w:szCs w:val="18"/>
          <w:lang w:val="en" w:eastAsia="en-AU"/>
        </w:rPr>
        <w:t>powerline</w:t>
      </w:r>
      <w:proofErr w:type="spellEnd"/>
      <w:r>
        <w:rPr>
          <w:rFonts w:ascii="Verdana" w:hAnsi="Verdana"/>
          <w:sz w:val="18"/>
          <w:szCs w:val="18"/>
          <w:lang w:val="en" w:eastAsia="en-AU"/>
        </w:rPr>
        <w:t xml:space="preserve"> along the Logan River Energex has not complied with the National Electricity Rules (</w:t>
      </w:r>
      <w:proofErr w:type="spellStart"/>
      <w:r>
        <w:rPr>
          <w:rFonts w:ascii="Verdana" w:hAnsi="Verdana"/>
          <w:sz w:val="18"/>
          <w:szCs w:val="18"/>
          <w:lang w:val="en" w:eastAsia="en-AU"/>
        </w:rPr>
        <w:t>Ver</w:t>
      </w:r>
      <w:proofErr w:type="spellEnd"/>
      <w:r>
        <w:rPr>
          <w:rFonts w:ascii="Verdana" w:hAnsi="Verdana"/>
          <w:sz w:val="18"/>
          <w:szCs w:val="18"/>
          <w:lang w:val="en" w:eastAsia="en-AU"/>
        </w:rPr>
        <w:t xml:space="preserve"> 69) section 5.17.1 (c) as Energex has been </w:t>
      </w:r>
      <w:r>
        <w:rPr>
          <w:rFonts w:ascii="Verdana" w:hAnsi="Verdana"/>
          <w:b/>
          <w:bCs/>
          <w:sz w:val="18"/>
          <w:szCs w:val="18"/>
          <w:lang w:val="en" w:eastAsia="en-AU"/>
        </w:rPr>
        <w:t>totally non-transparent</w:t>
      </w:r>
      <w:r>
        <w:rPr>
          <w:rFonts w:ascii="Verdana" w:hAnsi="Verdana"/>
          <w:sz w:val="18"/>
          <w:szCs w:val="18"/>
          <w:lang w:val="en" w:eastAsia="en-AU"/>
        </w:rPr>
        <w:t xml:space="preserve"> in the assessment of route options and the costings for the Logan River section.</w:t>
      </w:r>
    </w:p>
    <w:p w:rsidR="00B23A45" w:rsidRDefault="00B23A45" w:rsidP="00B23A45">
      <w:pPr>
        <w:shd w:val="clear" w:color="auto" w:fill="FFFFFF"/>
        <w:spacing w:line="336" w:lineRule="atLeast"/>
        <w:rPr>
          <w:rFonts w:ascii="Verdana" w:hAnsi="Verdana"/>
          <w:sz w:val="18"/>
          <w:szCs w:val="18"/>
          <w:lang w:val="en" w:eastAsia="en-AU"/>
        </w:rPr>
      </w:pP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As a consequence, Energex has not complied with the National Electricity Objective</w:t>
      </w:r>
      <w:r>
        <w:rPr>
          <w:rFonts w:ascii="Verdana" w:hAnsi="Verdana"/>
          <w:sz w:val="18"/>
          <w:szCs w:val="18"/>
          <w:vertAlign w:val="superscript"/>
          <w:lang w:val="en" w:eastAsia="en-AU"/>
        </w:rPr>
        <w:t>6</w:t>
      </w:r>
      <w:r>
        <w:rPr>
          <w:rFonts w:ascii="Verdana" w:hAnsi="Verdana"/>
          <w:sz w:val="18"/>
          <w:szCs w:val="18"/>
          <w:lang w:val="en" w:eastAsia="en-AU"/>
        </w:rPr>
        <w:t xml:space="preserve"> because this </w:t>
      </w:r>
      <w:proofErr w:type="spellStart"/>
      <w:r>
        <w:rPr>
          <w:rFonts w:ascii="Verdana" w:hAnsi="Verdana"/>
          <w:sz w:val="18"/>
          <w:szCs w:val="18"/>
          <w:lang w:val="en" w:eastAsia="en-AU"/>
        </w:rPr>
        <w:t>powerline</w:t>
      </w:r>
      <w:proofErr w:type="spellEnd"/>
      <w:r>
        <w:rPr>
          <w:rFonts w:ascii="Verdana" w:hAnsi="Verdana"/>
          <w:sz w:val="18"/>
          <w:szCs w:val="18"/>
          <w:lang w:val="en" w:eastAsia="en-AU"/>
        </w:rPr>
        <w:t xml:space="preserve"> and Energex’s preferred route does not promote efficient investment and the efficient operation and use of electricity services for the long term interest of consumers because purposely locating this </w:t>
      </w:r>
      <w:proofErr w:type="spellStart"/>
      <w:r>
        <w:rPr>
          <w:rFonts w:ascii="Verdana" w:hAnsi="Verdana"/>
          <w:sz w:val="18"/>
          <w:szCs w:val="18"/>
          <w:lang w:val="en" w:eastAsia="en-AU"/>
        </w:rPr>
        <w:t>powerline</w:t>
      </w:r>
      <w:proofErr w:type="spellEnd"/>
      <w:r>
        <w:rPr>
          <w:rFonts w:ascii="Verdana" w:hAnsi="Verdana"/>
          <w:sz w:val="18"/>
          <w:szCs w:val="18"/>
          <w:lang w:val="en" w:eastAsia="en-AU"/>
        </w:rPr>
        <w:t xml:space="preserve"> in the Logan River flood hazard zone is unlikely to deliver service access, maintainability, reliability or security. As well, even the recent compromise route along the Logan River with three crossings does not address community concerns about the impact on our community and our river and Energex have not transparently established that this is actually a feasible, maintainable or lower cost option.</w:t>
      </w:r>
    </w:p>
    <w:p w:rsidR="00B23A45" w:rsidRDefault="00B23A45" w:rsidP="00B23A45">
      <w:pPr>
        <w:shd w:val="clear" w:color="auto" w:fill="FFFFFF"/>
        <w:spacing w:line="336" w:lineRule="atLeast"/>
        <w:rPr>
          <w:rFonts w:ascii="Verdana" w:hAnsi="Verdana"/>
          <w:sz w:val="18"/>
          <w:szCs w:val="18"/>
          <w:lang w:val="en" w:eastAsia="en-AU"/>
        </w:rPr>
      </w:pP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 xml:space="preserve">In considering Energex’s regulatory proposal for the next 5 years, we request that the AER take into account Energex’s poor planning and inadequate consultation on this project and require that Energex provide transparency in the costings and assessment of the options particularly for the Logan River section. </w:t>
      </w:r>
    </w:p>
    <w:p w:rsidR="00B23A45" w:rsidRDefault="00B23A45" w:rsidP="00B23A45">
      <w:pPr>
        <w:shd w:val="clear" w:color="auto" w:fill="FFFFFF"/>
        <w:spacing w:line="336" w:lineRule="atLeast"/>
        <w:rPr>
          <w:rFonts w:ascii="Verdana" w:hAnsi="Verdana"/>
          <w:sz w:val="18"/>
          <w:szCs w:val="18"/>
          <w:lang w:val="en" w:eastAsia="en-AU"/>
        </w:rPr>
      </w:pPr>
    </w:p>
    <w:p w:rsidR="00B23A45" w:rsidRDefault="00B23A45" w:rsidP="00B23A45">
      <w:pPr>
        <w:shd w:val="clear" w:color="auto" w:fill="FFFFFF"/>
        <w:spacing w:line="336" w:lineRule="atLeast"/>
        <w:rPr>
          <w:rFonts w:ascii="Verdana" w:hAnsi="Verdana"/>
          <w:sz w:val="18"/>
          <w:szCs w:val="18"/>
          <w:lang w:val="en" w:eastAsia="en-AU"/>
        </w:rPr>
      </w:pPr>
      <w:r>
        <w:rPr>
          <w:rFonts w:ascii="Verdana" w:hAnsi="Verdana"/>
          <w:sz w:val="18"/>
          <w:szCs w:val="18"/>
          <w:lang w:val="en" w:eastAsia="en-AU"/>
        </w:rPr>
        <w:t xml:space="preserve">In addition we are aware that as a follow-on project, Energex intend to construct a second 110kV </w:t>
      </w:r>
      <w:proofErr w:type="spellStart"/>
      <w:r>
        <w:rPr>
          <w:rFonts w:ascii="Verdana" w:hAnsi="Verdana"/>
          <w:sz w:val="18"/>
          <w:szCs w:val="18"/>
          <w:lang w:val="en" w:eastAsia="en-AU"/>
        </w:rPr>
        <w:t>powerline</w:t>
      </w:r>
      <w:proofErr w:type="spellEnd"/>
      <w:r>
        <w:rPr>
          <w:rFonts w:ascii="Verdana" w:hAnsi="Verdana"/>
          <w:sz w:val="18"/>
          <w:szCs w:val="18"/>
          <w:lang w:val="en" w:eastAsia="en-AU"/>
        </w:rPr>
        <w:t xml:space="preserve"> from </w:t>
      </w:r>
      <w:proofErr w:type="spellStart"/>
      <w:r>
        <w:rPr>
          <w:rFonts w:ascii="Verdana" w:hAnsi="Verdana"/>
          <w:sz w:val="18"/>
          <w:szCs w:val="18"/>
          <w:lang w:val="en" w:eastAsia="en-AU"/>
        </w:rPr>
        <w:t>Jimboomba</w:t>
      </w:r>
      <w:proofErr w:type="spellEnd"/>
      <w:r>
        <w:rPr>
          <w:rFonts w:ascii="Verdana" w:hAnsi="Verdana"/>
          <w:sz w:val="18"/>
          <w:szCs w:val="18"/>
          <w:lang w:val="en" w:eastAsia="en-AU"/>
        </w:rPr>
        <w:t xml:space="preserve"> to Beaudesert</w:t>
      </w:r>
      <w:r>
        <w:rPr>
          <w:rFonts w:ascii="Verdana" w:hAnsi="Verdana"/>
          <w:sz w:val="18"/>
          <w:szCs w:val="18"/>
          <w:vertAlign w:val="superscript"/>
          <w:lang w:val="en" w:eastAsia="en-AU"/>
        </w:rPr>
        <w:t>7</w:t>
      </w:r>
      <w:r>
        <w:rPr>
          <w:rFonts w:ascii="Verdana" w:hAnsi="Verdana"/>
          <w:sz w:val="18"/>
          <w:szCs w:val="18"/>
          <w:lang w:val="en" w:eastAsia="en-AU"/>
        </w:rPr>
        <w:t xml:space="preserve"> and through the AER we request that Energex be obliged to transparently demonstrate that this </w:t>
      </w:r>
      <w:proofErr w:type="spellStart"/>
      <w:r>
        <w:rPr>
          <w:rFonts w:ascii="Verdana" w:hAnsi="Verdana"/>
          <w:sz w:val="18"/>
          <w:szCs w:val="18"/>
          <w:lang w:val="en" w:eastAsia="en-AU"/>
        </w:rPr>
        <w:t>powerline</w:t>
      </w:r>
      <w:proofErr w:type="spellEnd"/>
      <w:r>
        <w:rPr>
          <w:rFonts w:ascii="Verdana" w:hAnsi="Verdana"/>
          <w:sz w:val="18"/>
          <w:szCs w:val="18"/>
          <w:lang w:val="en" w:eastAsia="en-AU"/>
        </w:rPr>
        <w:t xml:space="preserve"> is actually required and that more innovative, lower cost, lower impact, non-network alternatives are not available to support the perceived need in </w:t>
      </w:r>
      <w:proofErr w:type="spellStart"/>
      <w:r>
        <w:rPr>
          <w:rFonts w:ascii="Verdana" w:hAnsi="Verdana"/>
          <w:sz w:val="18"/>
          <w:szCs w:val="18"/>
          <w:lang w:val="en" w:eastAsia="en-AU"/>
        </w:rPr>
        <w:t>Beaudesert</w:t>
      </w:r>
      <w:proofErr w:type="spellEnd"/>
      <w:r>
        <w:rPr>
          <w:rFonts w:ascii="Verdana" w:hAnsi="Verdana"/>
          <w:sz w:val="18"/>
          <w:szCs w:val="18"/>
          <w:lang w:val="en" w:eastAsia="en-AU"/>
        </w:rPr>
        <w:t>.</w:t>
      </w:r>
    </w:p>
    <w:p w:rsidR="00B23A45" w:rsidRDefault="00B23A45" w:rsidP="00B23A45">
      <w:pPr>
        <w:shd w:val="clear" w:color="auto" w:fill="FFFFFF"/>
        <w:spacing w:line="336" w:lineRule="atLeast"/>
        <w:rPr>
          <w:rFonts w:ascii="Verdana" w:hAnsi="Verdana"/>
          <w:sz w:val="18"/>
          <w:szCs w:val="18"/>
          <w:lang w:val="en" w:eastAsia="en-AU"/>
        </w:rPr>
      </w:pPr>
    </w:p>
    <w:p w:rsidR="00B23A45" w:rsidRDefault="00B23A45" w:rsidP="00B23A45">
      <w:r>
        <w:lastRenderedPageBreak/>
        <w:t>VETO representatives are available to clarify any aspects of this submission.</w:t>
      </w:r>
    </w:p>
    <w:p w:rsidR="00B23A45" w:rsidRDefault="00B23A45" w:rsidP="00B23A45"/>
    <w:p w:rsidR="00B23A45" w:rsidRDefault="00B23A45" w:rsidP="00B23A45">
      <w:pPr>
        <w:rPr>
          <w:color w:val="1F497D"/>
          <w:lang w:eastAsia="en-AU"/>
        </w:rPr>
      </w:pPr>
    </w:p>
    <w:p w:rsidR="00B23A45" w:rsidRDefault="00B23A45" w:rsidP="00B23A45">
      <w:pPr>
        <w:rPr>
          <w:rFonts w:ascii="Arial" w:hAnsi="Arial" w:cs="Arial"/>
          <w:color w:val="000080"/>
          <w:sz w:val="20"/>
          <w:szCs w:val="20"/>
          <w:lang w:val="en-US" w:eastAsia="en-AU"/>
        </w:rPr>
      </w:pPr>
      <w:r>
        <w:rPr>
          <w:rFonts w:ascii="Arial" w:hAnsi="Arial" w:cs="Arial"/>
          <w:color w:val="000080"/>
          <w:sz w:val="20"/>
          <w:szCs w:val="20"/>
          <w:lang w:val="en-US" w:eastAsia="en-AU"/>
        </w:rPr>
        <w:t>Regards</w:t>
      </w:r>
    </w:p>
    <w:p w:rsidR="00B23A45" w:rsidRDefault="00B23A45" w:rsidP="00B23A45">
      <w:pPr>
        <w:rPr>
          <w:rFonts w:ascii="Times New Roman" w:hAnsi="Times New Roman"/>
          <w:color w:val="000080"/>
          <w:sz w:val="24"/>
          <w:szCs w:val="24"/>
          <w:lang w:val="en-US" w:eastAsia="en-AU"/>
        </w:rPr>
      </w:pPr>
    </w:p>
    <w:p w:rsidR="00B23A45" w:rsidRDefault="00B23A45" w:rsidP="00B23A45">
      <w:pPr>
        <w:rPr>
          <w:rFonts w:ascii="Arial" w:hAnsi="Arial" w:cs="Arial"/>
          <w:b/>
          <w:bCs/>
          <w:color w:val="000080"/>
          <w:sz w:val="20"/>
          <w:szCs w:val="20"/>
          <w:lang w:val="en-US" w:eastAsia="en-AU"/>
        </w:rPr>
      </w:pPr>
      <w:r>
        <w:rPr>
          <w:rFonts w:ascii="Arial" w:hAnsi="Arial" w:cs="Arial"/>
          <w:b/>
          <w:bCs/>
          <w:color w:val="000080"/>
          <w:sz w:val="20"/>
          <w:szCs w:val="20"/>
          <w:lang w:val="en-US" w:eastAsia="en-AU"/>
        </w:rPr>
        <w:t xml:space="preserve">Paul </w:t>
      </w:r>
      <w:proofErr w:type="spellStart"/>
      <w:r>
        <w:rPr>
          <w:rFonts w:ascii="Arial" w:hAnsi="Arial" w:cs="Arial"/>
          <w:b/>
          <w:bCs/>
          <w:color w:val="000080"/>
          <w:sz w:val="20"/>
          <w:szCs w:val="20"/>
          <w:lang w:val="en-US" w:eastAsia="en-AU"/>
        </w:rPr>
        <w:t>Casbolt</w:t>
      </w:r>
      <w:proofErr w:type="spellEnd"/>
    </w:p>
    <w:p w:rsidR="00B23A45" w:rsidRDefault="00B23A45" w:rsidP="00B23A45">
      <w:pPr>
        <w:rPr>
          <w:rFonts w:ascii="Arial" w:hAnsi="Arial" w:cs="Arial"/>
          <w:b/>
          <w:bCs/>
          <w:color w:val="000080"/>
          <w:sz w:val="20"/>
          <w:szCs w:val="20"/>
          <w:lang w:val="en-US" w:eastAsia="en-AU"/>
        </w:rPr>
      </w:pPr>
      <w:proofErr w:type="gramStart"/>
      <w:r>
        <w:rPr>
          <w:rFonts w:ascii="Arial" w:hAnsi="Arial" w:cs="Arial"/>
          <w:b/>
          <w:bCs/>
          <w:color w:val="000080"/>
          <w:sz w:val="20"/>
          <w:szCs w:val="20"/>
          <w:lang w:val="en-US" w:eastAsia="en-AU"/>
        </w:rPr>
        <w:t>m</w:t>
      </w:r>
      <w:proofErr w:type="gramEnd"/>
      <w:r>
        <w:rPr>
          <w:rFonts w:ascii="Arial" w:hAnsi="Arial" w:cs="Arial"/>
          <w:b/>
          <w:bCs/>
          <w:color w:val="000080"/>
          <w:sz w:val="20"/>
          <w:szCs w:val="20"/>
          <w:lang w:val="en-US" w:eastAsia="en-AU"/>
        </w:rPr>
        <w:t>: 0428 325 275</w:t>
      </w:r>
    </w:p>
    <w:p w:rsidR="00B23A45" w:rsidRDefault="00B23A45" w:rsidP="00B23A45">
      <w:pPr>
        <w:rPr>
          <w:rFonts w:ascii="Times New Roman" w:hAnsi="Times New Roman"/>
          <w:color w:val="000080"/>
          <w:sz w:val="24"/>
          <w:szCs w:val="24"/>
          <w:lang w:val="en-US" w:eastAsia="en-AU"/>
        </w:rPr>
      </w:pPr>
      <w:r>
        <w:rPr>
          <w:noProof/>
          <w:color w:val="000080"/>
          <w:lang w:eastAsia="en-AU"/>
        </w:rPr>
        <w:drawing>
          <wp:inline distT="0" distB="0" distL="0" distR="0">
            <wp:extent cx="809625" cy="952500"/>
            <wp:effectExtent l="0" t="0" r="9525" b="0"/>
            <wp:docPr id="1" name="Picture 1" descr="Description: Description: V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Vet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
    <w:p w:rsidR="00B23A45" w:rsidRDefault="00B23A45" w:rsidP="00B23A45">
      <w:pPr>
        <w:rPr>
          <w:color w:val="000080"/>
          <w:lang w:val="en-US" w:eastAsia="en-AU"/>
        </w:rPr>
      </w:pPr>
    </w:p>
    <w:p w:rsidR="00B23A45" w:rsidRDefault="00B23A45" w:rsidP="00B23A45">
      <w:pPr>
        <w:rPr>
          <w:color w:val="000080"/>
          <w:lang w:val="en-US" w:eastAsia="en-AU"/>
        </w:rPr>
      </w:pPr>
      <w:hyperlink r:id="rId12" w:history="1">
        <w:r>
          <w:rPr>
            <w:rStyle w:val="Hyperlink"/>
            <w:rFonts w:cs="Arial"/>
            <w:b/>
            <w:bCs/>
            <w:sz w:val="20"/>
            <w:szCs w:val="20"/>
            <w:lang w:val="en-US" w:eastAsia="en-AU"/>
          </w:rPr>
          <w:t>www.VETO.org.au</w:t>
        </w:r>
      </w:hyperlink>
    </w:p>
    <w:p w:rsidR="00B23A45" w:rsidRDefault="00B23A45" w:rsidP="00B23A45"/>
    <w:p w:rsidR="00B23A45" w:rsidRDefault="00B23A45" w:rsidP="00B23A45">
      <w:pPr>
        <w:rPr>
          <w:u w:val="single"/>
        </w:rPr>
      </w:pPr>
      <w:r>
        <w:rPr>
          <w:u w:val="single"/>
        </w:rPr>
        <w:t>References</w:t>
      </w:r>
    </w:p>
    <w:p w:rsidR="00B23A45" w:rsidRDefault="00B23A45" w:rsidP="00B23A45">
      <w:pPr>
        <w:pStyle w:val="EndnoteText"/>
      </w:pPr>
      <w:r>
        <w:t>1 Energex Planning Approval Report –Proposed Construction of a 11kV feeder from Loganlea to Jimboomba Substation (27th April 2009)</w:t>
      </w:r>
    </w:p>
    <w:p w:rsidR="00B23A45" w:rsidRDefault="00B23A45" w:rsidP="00B23A45">
      <w:pPr>
        <w:pStyle w:val="EndnoteText"/>
      </w:pPr>
      <w:r>
        <w:t>2 Queensland May 2014 Budget Capital Statement 2014-15 page 44 &amp; Energex DAPR Sept 2014 Vol2 page 889</w:t>
      </w:r>
    </w:p>
    <w:p w:rsidR="00B23A45" w:rsidRDefault="00B23A45" w:rsidP="00B23A45">
      <w:pPr>
        <w:pStyle w:val="EndnoteText"/>
      </w:pPr>
      <w:r>
        <w:t xml:space="preserve">3 Energex Policy 03364 V4 (13July 2011) </w:t>
      </w:r>
      <w:proofErr w:type="spellStart"/>
      <w:r>
        <w:t>sectn</w:t>
      </w:r>
      <w:proofErr w:type="spellEnd"/>
      <w:r>
        <w:t xml:space="preserve"> 4.1 Community </w:t>
      </w:r>
      <w:proofErr w:type="spellStart"/>
      <w:r>
        <w:t>Powerline</w:t>
      </w:r>
      <w:proofErr w:type="spellEnd"/>
      <w:r>
        <w:t xml:space="preserve"> Enhancement Program</w:t>
      </w:r>
    </w:p>
    <w:p w:rsidR="00B23A45" w:rsidRDefault="00B23A45" w:rsidP="00B23A45">
      <w:pPr>
        <w:pStyle w:val="EndnoteText"/>
      </w:pPr>
      <w:r>
        <w:t>4 Logan River section described as “</w:t>
      </w:r>
      <w:r>
        <w:rPr>
          <w:i/>
          <w:iCs/>
        </w:rPr>
        <w:t>Complex Overhead Construction</w:t>
      </w:r>
      <w:r>
        <w:t>” in Energex Final Initial Assessment Report (June 2010) page 2-2</w:t>
      </w:r>
    </w:p>
    <w:p w:rsidR="00B23A45" w:rsidRDefault="00B23A45" w:rsidP="00B23A45">
      <w:pPr>
        <w:pStyle w:val="EndnoteText"/>
      </w:pPr>
      <w:r>
        <w:t>5 Claimed by Energex, as advised by Logan City Council</w:t>
      </w:r>
    </w:p>
    <w:p w:rsidR="00B23A45" w:rsidRDefault="00B23A45" w:rsidP="00B23A45">
      <w:pPr>
        <w:pStyle w:val="EndnoteText"/>
      </w:pPr>
      <w:r>
        <w:t xml:space="preserve">6 National Electricity Objective, set out in the </w:t>
      </w:r>
      <w:hyperlink r:id="rId13" w:history="1">
        <w:r>
          <w:rPr>
            <w:rStyle w:val="Hyperlink"/>
          </w:rPr>
          <w:t>National Electricity Law</w:t>
        </w:r>
      </w:hyperlink>
    </w:p>
    <w:p w:rsidR="00B23A45" w:rsidRDefault="00B23A45" w:rsidP="00B23A45">
      <w:pPr>
        <w:pStyle w:val="EndnoteText"/>
      </w:pPr>
      <w:r>
        <w:t xml:space="preserve">7 </w:t>
      </w:r>
      <w:hyperlink r:id="rId14" w:history="1">
        <w:r>
          <w:rPr>
            <w:rStyle w:val="Hyperlink"/>
          </w:rPr>
          <w:t>Oakley-Greenwood Final Report</w:t>
        </w:r>
      </w:hyperlink>
      <w:r>
        <w:t xml:space="preserve"> (OGR) Electrical Network Options for the Jimboomba Area (5 Dec’11) Appendix 7.1 &amp; 11.2</w:t>
      </w:r>
    </w:p>
    <w:p w:rsidR="00303C4A" w:rsidRDefault="00303C4A">
      <w:bookmarkStart w:id="0" w:name="_GoBack"/>
      <w:bookmarkEnd w:id="0"/>
    </w:p>
    <w:sectPr w:rsidR="00303C4A" w:rsidSect="00691616">
      <w:footerReference w:type="first" r:id="rId1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A45" w:rsidRDefault="00B23A45" w:rsidP="004B4412">
      <w:r>
        <w:separator/>
      </w:r>
    </w:p>
  </w:endnote>
  <w:endnote w:type="continuationSeparator" w:id="0">
    <w:p w:rsidR="00B23A45" w:rsidRDefault="00B23A45"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A45" w:rsidRDefault="00B23A45" w:rsidP="004B4412">
      <w:r>
        <w:separator/>
      </w:r>
    </w:p>
  </w:footnote>
  <w:footnote w:type="continuationSeparator" w:id="0">
    <w:p w:rsidR="00B23A45" w:rsidRDefault="00B23A45" w:rsidP="004B4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B23A45"/>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23A45"/>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23A45"/>
    <w:pPr>
      <w:spacing w:before="0"/>
    </w:pPr>
    <w:rPr>
      <w:rFonts w:ascii="Calibri" w:hAnsi="Calibri" w:cs="Times New Roman"/>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ascii="Arial" w:eastAsiaTheme="majorEastAsia" w:hAnsi="Arial"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ascii="Arial" w:eastAsiaTheme="majorEastAsia" w:hAnsi="Arial"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ascii="Arial" w:eastAsiaTheme="majorEastAsia" w:hAnsi="Arial" w:cstheme="majorBidi"/>
      <w:b/>
      <w:i/>
      <w:iCs/>
    </w:rPr>
  </w:style>
  <w:style w:type="paragraph" w:styleId="Heading7">
    <w:name w:val="heading 7"/>
    <w:basedOn w:val="Normal"/>
    <w:next w:val="Normal"/>
    <w:link w:val="Heading7Char"/>
    <w:uiPriority w:val="2"/>
    <w:qFormat/>
    <w:rsid w:val="009D6B46"/>
    <w:pPr>
      <w:spacing w:before="240"/>
      <w:outlineLvl w:val="6"/>
    </w:pPr>
    <w:rPr>
      <w:rFonts w:ascii="Arial" w:eastAsiaTheme="majorEastAsia" w:hAnsi="Arial"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ascii="Arial" w:eastAsiaTheme="majorEastAsia" w:hAnsi="Arial"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ascii="Arial" w:eastAsiaTheme="majorEastAsia" w:hAnsi="Arial"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rFonts w:ascii="Arial" w:hAnsi="Arial" w:cstheme="minorBidi"/>
      <w:sz w:val="20"/>
    </w:rPr>
  </w:style>
  <w:style w:type="paragraph" w:customStyle="1" w:styleId="Copyrighttext">
    <w:name w:val="Copyright text"/>
    <w:basedOn w:val="Normal"/>
    <w:link w:val="CopyrighttextChar"/>
    <w:uiPriority w:val="2"/>
    <w:qFormat/>
    <w:rsid w:val="00F952A0"/>
    <w:pPr>
      <w:spacing w:before="200" w:line="360" w:lineRule="auto"/>
      <w:contextualSpacing/>
    </w:pPr>
    <w:rPr>
      <w:rFonts w:ascii="Arial" w:hAnsi="Arial" w:cstheme="minorBidi"/>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before="200" w:after="100"/>
      <w:ind w:left="2977"/>
    </w:pPr>
    <w:rPr>
      <w:rFonts w:ascii="Arial" w:hAnsi="Arial" w:cstheme="minorBidi"/>
      <w:noProof/>
    </w:rPr>
  </w:style>
  <w:style w:type="paragraph" w:styleId="TOC9">
    <w:name w:val="toc 9"/>
    <w:basedOn w:val="Normal"/>
    <w:next w:val="Normal"/>
    <w:uiPriority w:val="39"/>
    <w:rsid w:val="009F4940"/>
    <w:pPr>
      <w:tabs>
        <w:tab w:val="right" w:leader="dot" w:pos="9016"/>
      </w:tabs>
      <w:spacing w:before="200" w:after="100"/>
      <w:ind w:left="3402"/>
    </w:pPr>
    <w:rPr>
      <w:rFonts w:ascii="Arial" w:hAnsi="Arial" w:cstheme="minorBidi"/>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before="200" w:after="120"/>
    </w:pPr>
    <w:rPr>
      <w:rFonts w:ascii="Arial" w:hAnsi="Arial" w:cstheme="minorBidi"/>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rFonts w:ascii="Arial" w:hAnsi="Arial" w:cstheme="minorBidi"/>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rFonts w:ascii="Arial" w:hAnsi="Arial" w:cstheme="minorBidi"/>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spacing w:before="200"/>
      <w:ind w:left="737"/>
    </w:pPr>
    <w:rPr>
      <w:rFonts w:ascii="Arial" w:hAnsi="Arial" w:cstheme="minorBidi"/>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rPr>
      <w:rFonts w:ascii="Arial" w:hAnsi="Arial" w:cstheme="minorBidi"/>
    </w:r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rFonts w:ascii="Arial" w:hAnsi="Arial" w:cstheme="minorBidi"/>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rPr>
      <w:rFonts w:ascii="Arial" w:hAnsi="Arial" w:cstheme="minorBidi"/>
    </w:r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before="200" w:after="120"/>
    </w:pPr>
    <w:rPr>
      <w:rFonts w:ascii="Arial" w:hAnsi="Arial" w:cstheme="minorBidi"/>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rPr>
      <w:rFonts w:ascii="Arial" w:hAnsi="Arial" w:cstheme="minorBidi"/>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spacing w:before="200"/>
    </w:pPr>
    <w:rPr>
      <w:rFonts w:ascii="Arial" w:hAnsi="Arial" w:cstheme="minorBidi"/>
    </w:rPr>
  </w:style>
  <w:style w:type="paragraph" w:styleId="BodyText3">
    <w:name w:val="Body Text 3"/>
    <w:basedOn w:val="Normal"/>
    <w:link w:val="BodyText3Char"/>
    <w:uiPriority w:val="99"/>
    <w:semiHidden/>
    <w:unhideWhenUsed/>
    <w:rsid w:val="005C26CC"/>
    <w:pPr>
      <w:spacing w:before="200" w:after="120"/>
    </w:pPr>
    <w:rPr>
      <w:rFonts w:ascii="Arial" w:hAnsi="Arial" w:cstheme="minorBidi"/>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before="200" w:after="100"/>
    </w:pPr>
    <w:rPr>
      <w:rFonts w:ascii="Arial" w:hAnsi="Arial" w:cstheme="minorBidi"/>
      <w:noProof/>
      <w:lang w:val="en-US" w:eastAsia="ja-JP"/>
    </w:rPr>
  </w:style>
  <w:style w:type="paragraph" w:styleId="TOC2">
    <w:name w:val="toc 2"/>
    <w:basedOn w:val="Normal"/>
    <w:next w:val="Normal"/>
    <w:uiPriority w:val="39"/>
    <w:qFormat/>
    <w:rsid w:val="009F4940"/>
    <w:pPr>
      <w:tabs>
        <w:tab w:val="left" w:pos="880"/>
        <w:tab w:val="right" w:leader="dot" w:pos="9016"/>
      </w:tabs>
      <w:spacing w:before="200" w:after="100"/>
      <w:ind w:left="425"/>
    </w:pPr>
    <w:rPr>
      <w:rFonts w:ascii="Arial" w:hAnsi="Arial" w:cstheme="minorBidi"/>
      <w:noProof/>
    </w:rPr>
  </w:style>
  <w:style w:type="paragraph" w:styleId="TOC3">
    <w:name w:val="toc 3"/>
    <w:basedOn w:val="Normal"/>
    <w:next w:val="Normal"/>
    <w:uiPriority w:val="39"/>
    <w:qFormat/>
    <w:rsid w:val="009F4940"/>
    <w:pPr>
      <w:tabs>
        <w:tab w:val="left" w:pos="1760"/>
        <w:tab w:val="right" w:leader="dot" w:pos="9016"/>
      </w:tabs>
      <w:spacing w:before="200" w:after="100"/>
      <w:ind w:left="851"/>
    </w:pPr>
    <w:rPr>
      <w:rFonts w:ascii="Arial" w:hAnsi="Arial" w:cstheme="minorBidi"/>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spacing w:before="200"/>
      <w:ind w:left="720"/>
    </w:pPr>
    <w:rPr>
      <w:rFonts w:ascii="Arial" w:hAnsi="Arial" w:cstheme="minorBidi"/>
    </w:rPr>
  </w:style>
  <w:style w:type="paragraph" w:styleId="FootnoteText">
    <w:name w:val="footnote text"/>
    <w:basedOn w:val="Normal"/>
    <w:link w:val="FootnoteTextChar"/>
    <w:uiPriority w:val="2"/>
    <w:rsid w:val="003A673F"/>
    <w:pPr>
      <w:tabs>
        <w:tab w:val="left" w:pos="340"/>
      </w:tabs>
      <w:spacing w:before="60"/>
      <w:ind w:left="340" w:hanging="340"/>
    </w:pPr>
    <w:rPr>
      <w:rFonts w:ascii="Arial" w:hAnsi="Arial" w:cstheme="minorBidi"/>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before="200" w:after="100"/>
      <w:ind w:left="1276"/>
    </w:pPr>
    <w:rPr>
      <w:rFonts w:ascii="Arial" w:hAnsi="Arial" w:cstheme="minorBidi"/>
      <w:noProof/>
    </w:rPr>
  </w:style>
  <w:style w:type="paragraph" w:styleId="TOC5">
    <w:name w:val="toc 5"/>
    <w:basedOn w:val="Normal"/>
    <w:next w:val="Normal"/>
    <w:uiPriority w:val="39"/>
    <w:rsid w:val="009F4940"/>
    <w:pPr>
      <w:tabs>
        <w:tab w:val="right" w:leader="dot" w:pos="9016"/>
      </w:tabs>
      <w:spacing w:before="200" w:after="100"/>
      <w:ind w:left="1701"/>
    </w:pPr>
    <w:rPr>
      <w:rFonts w:ascii="Arial" w:hAnsi="Arial" w:cstheme="minorBidi"/>
      <w:noProof/>
    </w:rPr>
  </w:style>
  <w:style w:type="paragraph" w:styleId="TOC6">
    <w:name w:val="toc 6"/>
    <w:basedOn w:val="Normal"/>
    <w:next w:val="Normal"/>
    <w:uiPriority w:val="39"/>
    <w:rsid w:val="009F4940"/>
    <w:pPr>
      <w:tabs>
        <w:tab w:val="right" w:leader="dot" w:pos="9016"/>
      </w:tabs>
      <w:spacing w:before="200" w:after="100"/>
      <w:ind w:left="2127"/>
    </w:pPr>
    <w:rPr>
      <w:rFonts w:ascii="Arial" w:hAnsi="Arial" w:cstheme="minorBidi"/>
      <w:noProof/>
    </w:rPr>
  </w:style>
  <w:style w:type="paragraph" w:styleId="TOC7">
    <w:name w:val="toc 7"/>
    <w:basedOn w:val="Normal"/>
    <w:next w:val="Normal"/>
    <w:uiPriority w:val="39"/>
    <w:rsid w:val="009F4940"/>
    <w:pPr>
      <w:tabs>
        <w:tab w:val="right" w:leader="dot" w:pos="9016"/>
      </w:tabs>
      <w:spacing w:before="200" w:after="100"/>
      <w:ind w:left="2552"/>
    </w:pPr>
    <w:rPr>
      <w:rFonts w:ascii="Arial" w:hAnsi="Arial" w:cstheme="minorBidi"/>
      <w:noProof/>
    </w:rPr>
  </w:style>
  <w:style w:type="paragraph" w:styleId="TableofAuthorities">
    <w:name w:val="table of authorities"/>
    <w:basedOn w:val="Normal"/>
    <w:next w:val="Normal"/>
    <w:uiPriority w:val="99"/>
    <w:unhideWhenUsed/>
    <w:rsid w:val="00B60F5D"/>
    <w:pPr>
      <w:spacing w:before="200"/>
      <w:ind w:left="220" w:hanging="220"/>
    </w:pPr>
    <w:rPr>
      <w:rFonts w:ascii="Arial" w:hAnsi="Arial" w:cstheme="minorBidi"/>
    </w:r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rFonts w:ascii="Arial" w:hAnsi="Arial" w:cstheme="minorBidi"/>
      <w:b/>
      <w:bCs/>
      <w:sz w:val="24"/>
      <w:szCs w:val="18"/>
    </w:rPr>
  </w:style>
  <w:style w:type="paragraph" w:styleId="List">
    <w:name w:val="List"/>
    <w:basedOn w:val="Normal"/>
    <w:uiPriority w:val="99"/>
    <w:rsid w:val="00E4674F"/>
    <w:pPr>
      <w:tabs>
        <w:tab w:val="left" w:pos="340"/>
      </w:tabs>
      <w:spacing w:before="120"/>
      <w:ind w:left="340" w:hanging="340"/>
    </w:pPr>
    <w:rPr>
      <w:rFonts w:ascii="Arial" w:hAnsi="Arial" w:cstheme="minorBidi"/>
    </w:rPr>
  </w:style>
  <w:style w:type="paragraph" w:styleId="List2">
    <w:name w:val="List 2"/>
    <w:basedOn w:val="Normal"/>
    <w:uiPriority w:val="99"/>
    <w:rsid w:val="00E4674F"/>
    <w:pPr>
      <w:tabs>
        <w:tab w:val="left" w:pos="680"/>
      </w:tabs>
      <w:spacing w:before="120"/>
      <w:ind w:left="680" w:hanging="340"/>
    </w:pPr>
    <w:rPr>
      <w:rFonts w:ascii="Arial" w:hAnsi="Arial" w:cstheme="minorBidi"/>
    </w:rPr>
  </w:style>
  <w:style w:type="paragraph" w:styleId="List3">
    <w:name w:val="List 3"/>
    <w:basedOn w:val="Normal"/>
    <w:uiPriority w:val="99"/>
    <w:rsid w:val="00E4674F"/>
    <w:pPr>
      <w:tabs>
        <w:tab w:val="left" w:pos="1021"/>
      </w:tabs>
      <w:spacing w:before="120"/>
      <w:ind w:left="1020" w:hanging="340"/>
    </w:pPr>
    <w:rPr>
      <w:rFonts w:ascii="Arial" w:hAnsi="Arial" w:cstheme="minorBidi"/>
    </w:rPr>
  </w:style>
  <w:style w:type="paragraph" w:styleId="List4">
    <w:name w:val="List 4"/>
    <w:basedOn w:val="Normal"/>
    <w:uiPriority w:val="99"/>
    <w:rsid w:val="00E4674F"/>
    <w:pPr>
      <w:tabs>
        <w:tab w:val="left" w:pos="1361"/>
      </w:tabs>
      <w:spacing w:before="120"/>
      <w:ind w:left="1361" w:hanging="340"/>
    </w:pPr>
    <w:rPr>
      <w:rFonts w:ascii="Arial" w:hAnsi="Arial" w:cstheme="minorBidi"/>
    </w:rPr>
  </w:style>
  <w:style w:type="paragraph" w:styleId="List5">
    <w:name w:val="List 5"/>
    <w:basedOn w:val="Normal"/>
    <w:uiPriority w:val="99"/>
    <w:rsid w:val="00547CCF"/>
    <w:pPr>
      <w:tabs>
        <w:tab w:val="left" w:pos="1701"/>
      </w:tabs>
      <w:spacing w:before="120"/>
      <w:ind w:left="1701" w:hanging="340"/>
    </w:pPr>
    <w:rPr>
      <w:rFonts w:ascii="Arial" w:hAnsi="Arial" w:cstheme="minorBidi"/>
    </w:rPr>
  </w:style>
  <w:style w:type="paragraph" w:styleId="ListBullet3">
    <w:name w:val="List Bullet 3"/>
    <w:basedOn w:val="Normal"/>
    <w:uiPriority w:val="99"/>
    <w:rsid w:val="00181223"/>
    <w:pPr>
      <w:numPr>
        <w:numId w:val="4"/>
      </w:numPr>
      <w:tabs>
        <w:tab w:val="clear" w:pos="926"/>
        <w:tab w:val="num" w:pos="1021"/>
      </w:tabs>
      <w:spacing w:before="120"/>
      <w:ind w:left="1020" w:hanging="340"/>
    </w:pPr>
    <w:rPr>
      <w:rFonts w:ascii="Arial" w:hAnsi="Arial" w:cstheme="minorBidi"/>
    </w:rPr>
  </w:style>
  <w:style w:type="paragraph" w:styleId="ListBullet4">
    <w:name w:val="List Bullet 4"/>
    <w:basedOn w:val="Normal"/>
    <w:uiPriority w:val="99"/>
    <w:rsid w:val="00547CCF"/>
    <w:pPr>
      <w:numPr>
        <w:numId w:val="5"/>
      </w:numPr>
      <w:tabs>
        <w:tab w:val="clear" w:pos="1209"/>
        <w:tab w:val="num" w:pos="1361"/>
      </w:tabs>
      <w:spacing w:before="120"/>
      <w:ind w:left="1361" w:hanging="340"/>
    </w:pPr>
    <w:rPr>
      <w:rFonts w:ascii="Arial" w:hAnsi="Arial" w:cstheme="minorBidi"/>
    </w:rPr>
  </w:style>
  <w:style w:type="paragraph" w:styleId="ListBullet5">
    <w:name w:val="List Bullet 5"/>
    <w:basedOn w:val="Normal"/>
    <w:uiPriority w:val="99"/>
    <w:rsid w:val="00547CCF"/>
    <w:pPr>
      <w:numPr>
        <w:numId w:val="6"/>
      </w:numPr>
      <w:tabs>
        <w:tab w:val="clear" w:pos="1492"/>
        <w:tab w:val="num" w:pos="1701"/>
      </w:tabs>
      <w:spacing w:before="120"/>
      <w:ind w:left="1701" w:hanging="340"/>
    </w:pPr>
    <w:rPr>
      <w:rFonts w:ascii="Arial" w:hAnsi="Arial" w:cstheme="minorBidi"/>
    </w:rPr>
  </w:style>
  <w:style w:type="paragraph" w:styleId="ListContinue">
    <w:name w:val="List Continue"/>
    <w:basedOn w:val="Normal"/>
    <w:uiPriority w:val="99"/>
    <w:rsid w:val="00547CCF"/>
    <w:pPr>
      <w:tabs>
        <w:tab w:val="left" w:pos="340"/>
      </w:tabs>
      <w:spacing w:before="120"/>
      <w:ind w:left="340"/>
    </w:pPr>
    <w:rPr>
      <w:rFonts w:ascii="Arial" w:hAnsi="Arial" w:cstheme="minorBidi"/>
    </w:rPr>
  </w:style>
  <w:style w:type="paragraph" w:styleId="ListContinue2">
    <w:name w:val="List Continue 2"/>
    <w:basedOn w:val="Normal"/>
    <w:uiPriority w:val="99"/>
    <w:rsid w:val="00547CCF"/>
    <w:pPr>
      <w:tabs>
        <w:tab w:val="left" w:pos="680"/>
      </w:tabs>
      <w:spacing w:before="120"/>
      <w:ind w:left="680"/>
    </w:pPr>
    <w:rPr>
      <w:rFonts w:ascii="Arial" w:hAnsi="Arial" w:cstheme="minorBidi"/>
    </w:rPr>
  </w:style>
  <w:style w:type="paragraph" w:styleId="ListContinue3">
    <w:name w:val="List Continue 3"/>
    <w:basedOn w:val="Normal"/>
    <w:uiPriority w:val="99"/>
    <w:rsid w:val="00547CCF"/>
    <w:pPr>
      <w:tabs>
        <w:tab w:val="left" w:pos="1021"/>
      </w:tabs>
      <w:spacing w:before="120"/>
      <w:ind w:left="1021"/>
    </w:pPr>
    <w:rPr>
      <w:rFonts w:ascii="Arial" w:hAnsi="Arial" w:cstheme="minorBidi"/>
    </w:rPr>
  </w:style>
  <w:style w:type="paragraph" w:styleId="ListContinue4">
    <w:name w:val="List Continue 4"/>
    <w:basedOn w:val="Normal"/>
    <w:uiPriority w:val="99"/>
    <w:rsid w:val="00DC542F"/>
    <w:pPr>
      <w:tabs>
        <w:tab w:val="left" w:pos="1361"/>
      </w:tabs>
      <w:spacing w:before="120"/>
      <w:ind w:left="1361"/>
    </w:pPr>
    <w:rPr>
      <w:rFonts w:ascii="Arial" w:hAnsi="Arial" w:cstheme="minorBidi"/>
    </w:rPr>
  </w:style>
  <w:style w:type="paragraph" w:styleId="ListNumber3">
    <w:name w:val="List Number 3"/>
    <w:basedOn w:val="Normal"/>
    <w:uiPriority w:val="99"/>
    <w:rsid w:val="00BE4C99"/>
    <w:pPr>
      <w:numPr>
        <w:numId w:val="14"/>
      </w:numPr>
      <w:tabs>
        <w:tab w:val="left" w:pos="1021"/>
      </w:tabs>
      <w:spacing w:before="120"/>
    </w:pPr>
    <w:rPr>
      <w:rFonts w:ascii="Arial" w:hAnsi="Arial" w:cstheme="minorBidi"/>
    </w:rPr>
  </w:style>
  <w:style w:type="paragraph" w:styleId="ListNumber4">
    <w:name w:val="List Number 4"/>
    <w:basedOn w:val="Normal"/>
    <w:uiPriority w:val="99"/>
    <w:rsid w:val="00BE4C99"/>
    <w:pPr>
      <w:numPr>
        <w:numId w:val="7"/>
      </w:numPr>
      <w:tabs>
        <w:tab w:val="left" w:pos="1701"/>
      </w:tabs>
      <w:spacing w:before="120"/>
    </w:pPr>
    <w:rPr>
      <w:rFonts w:ascii="Arial" w:hAnsi="Arial" w:cstheme="minorBidi"/>
    </w:rPr>
  </w:style>
  <w:style w:type="paragraph" w:styleId="ListNumber5">
    <w:name w:val="List Number 5"/>
    <w:basedOn w:val="Normal"/>
    <w:uiPriority w:val="99"/>
    <w:rsid w:val="00BE4C99"/>
    <w:pPr>
      <w:numPr>
        <w:numId w:val="8"/>
      </w:numPr>
      <w:spacing w:before="120"/>
    </w:pPr>
    <w:rPr>
      <w:rFonts w:ascii="Arial" w:hAnsi="Arial" w:cstheme="minorBidi"/>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rPr>
      <w:rFonts w:ascii="Arial" w:hAnsi="Arial" w:cstheme="minorBidi"/>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rPr>
      <w:rFonts w:ascii="Arial" w:hAnsi="Arial" w:cstheme="minorBidi"/>
    </w:r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rPr>
      <w:rFonts w:ascii="Arial" w:hAnsi="Arial" w:cstheme="minorBidi"/>
    </w:r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spacing w:before="200"/>
    </w:pPr>
    <w:rPr>
      <w:rFonts w:ascii="Arial" w:hAnsi="Arial"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23A45"/>
    <w:pPr>
      <w:spacing w:before="0"/>
    </w:pPr>
    <w:rPr>
      <w:rFonts w:ascii="Calibri" w:hAnsi="Calibri" w:cs="Times New Roman"/>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ascii="Arial" w:eastAsiaTheme="majorEastAsia" w:hAnsi="Arial"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ascii="Arial" w:eastAsiaTheme="majorEastAsia" w:hAnsi="Arial"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ascii="Arial" w:eastAsiaTheme="majorEastAsia" w:hAnsi="Arial" w:cstheme="majorBidi"/>
      <w:b/>
      <w:i/>
      <w:iCs/>
    </w:rPr>
  </w:style>
  <w:style w:type="paragraph" w:styleId="Heading7">
    <w:name w:val="heading 7"/>
    <w:basedOn w:val="Normal"/>
    <w:next w:val="Normal"/>
    <w:link w:val="Heading7Char"/>
    <w:uiPriority w:val="2"/>
    <w:qFormat/>
    <w:rsid w:val="009D6B46"/>
    <w:pPr>
      <w:spacing w:before="240"/>
      <w:outlineLvl w:val="6"/>
    </w:pPr>
    <w:rPr>
      <w:rFonts w:ascii="Arial" w:eastAsiaTheme="majorEastAsia" w:hAnsi="Arial"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ascii="Arial" w:eastAsiaTheme="majorEastAsia" w:hAnsi="Arial"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ascii="Arial" w:eastAsiaTheme="majorEastAsia" w:hAnsi="Arial"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rFonts w:ascii="Arial" w:hAnsi="Arial" w:cstheme="minorBidi"/>
      <w:sz w:val="20"/>
    </w:rPr>
  </w:style>
  <w:style w:type="paragraph" w:customStyle="1" w:styleId="Copyrighttext">
    <w:name w:val="Copyright text"/>
    <w:basedOn w:val="Normal"/>
    <w:link w:val="CopyrighttextChar"/>
    <w:uiPriority w:val="2"/>
    <w:qFormat/>
    <w:rsid w:val="00F952A0"/>
    <w:pPr>
      <w:spacing w:before="200" w:line="360" w:lineRule="auto"/>
      <w:contextualSpacing/>
    </w:pPr>
    <w:rPr>
      <w:rFonts w:ascii="Arial" w:hAnsi="Arial" w:cstheme="minorBidi"/>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before="200" w:after="100"/>
      <w:ind w:left="2977"/>
    </w:pPr>
    <w:rPr>
      <w:rFonts w:ascii="Arial" w:hAnsi="Arial" w:cstheme="minorBidi"/>
      <w:noProof/>
    </w:rPr>
  </w:style>
  <w:style w:type="paragraph" w:styleId="TOC9">
    <w:name w:val="toc 9"/>
    <w:basedOn w:val="Normal"/>
    <w:next w:val="Normal"/>
    <w:uiPriority w:val="39"/>
    <w:rsid w:val="009F4940"/>
    <w:pPr>
      <w:tabs>
        <w:tab w:val="right" w:leader="dot" w:pos="9016"/>
      </w:tabs>
      <w:spacing w:before="200" w:after="100"/>
      <w:ind w:left="3402"/>
    </w:pPr>
    <w:rPr>
      <w:rFonts w:ascii="Arial" w:hAnsi="Arial" w:cstheme="minorBidi"/>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before="200" w:after="120"/>
    </w:pPr>
    <w:rPr>
      <w:rFonts w:ascii="Arial" w:hAnsi="Arial" w:cstheme="minorBidi"/>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rFonts w:ascii="Arial" w:hAnsi="Arial" w:cstheme="minorBidi"/>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rFonts w:ascii="Arial" w:hAnsi="Arial" w:cstheme="minorBidi"/>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spacing w:before="200"/>
      <w:ind w:left="737"/>
    </w:pPr>
    <w:rPr>
      <w:rFonts w:ascii="Arial" w:hAnsi="Arial" w:cstheme="minorBidi"/>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rPr>
      <w:rFonts w:ascii="Arial" w:hAnsi="Arial" w:cstheme="minorBidi"/>
    </w:r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rFonts w:ascii="Arial" w:hAnsi="Arial" w:cstheme="minorBidi"/>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rPr>
      <w:rFonts w:ascii="Arial" w:hAnsi="Arial" w:cstheme="minorBidi"/>
    </w:r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before="200" w:after="120"/>
    </w:pPr>
    <w:rPr>
      <w:rFonts w:ascii="Arial" w:hAnsi="Arial" w:cstheme="minorBidi"/>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rPr>
      <w:rFonts w:ascii="Arial" w:hAnsi="Arial" w:cstheme="minorBidi"/>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spacing w:before="200"/>
    </w:pPr>
    <w:rPr>
      <w:rFonts w:ascii="Arial" w:hAnsi="Arial" w:cstheme="minorBidi"/>
    </w:rPr>
  </w:style>
  <w:style w:type="paragraph" w:styleId="BodyText3">
    <w:name w:val="Body Text 3"/>
    <w:basedOn w:val="Normal"/>
    <w:link w:val="BodyText3Char"/>
    <w:uiPriority w:val="99"/>
    <w:semiHidden/>
    <w:unhideWhenUsed/>
    <w:rsid w:val="005C26CC"/>
    <w:pPr>
      <w:spacing w:before="200" w:after="120"/>
    </w:pPr>
    <w:rPr>
      <w:rFonts w:ascii="Arial" w:hAnsi="Arial" w:cstheme="minorBidi"/>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before="200" w:after="100"/>
    </w:pPr>
    <w:rPr>
      <w:rFonts w:ascii="Arial" w:hAnsi="Arial" w:cstheme="minorBidi"/>
      <w:noProof/>
      <w:lang w:val="en-US" w:eastAsia="ja-JP"/>
    </w:rPr>
  </w:style>
  <w:style w:type="paragraph" w:styleId="TOC2">
    <w:name w:val="toc 2"/>
    <w:basedOn w:val="Normal"/>
    <w:next w:val="Normal"/>
    <w:uiPriority w:val="39"/>
    <w:qFormat/>
    <w:rsid w:val="009F4940"/>
    <w:pPr>
      <w:tabs>
        <w:tab w:val="left" w:pos="880"/>
        <w:tab w:val="right" w:leader="dot" w:pos="9016"/>
      </w:tabs>
      <w:spacing w:before="200" w:after="100"/>
      <w:ind w:left="425"/>
    </w:pPr>
    <w:rPr>
      <w:rFonts w:ascii="Arial" w:hAnsi="Arial" w:cstheme="minorBidi"/>
      <w:noProof/>
    </w:rPr>
  </w:style>
  <w:style w:type="paragraph" w:styleId="TOC3">
    <w:name w:val="toc 3"/>
    <w:basedOn w:val="Normal"/>
    <w:next w:val="Normal"/>
    <w:uiPriority w:val="39"/>
    <w:qFormat/>
    <w:rsid w:val="009F4940"/>
    <w:pPr>
      <w:tabs>
        <w:tab w:val="left" w:pos="1760"/>
        <w:tab w:val="right" w:leader="dot" w:pos="9016"/>
      </w:tabs>
      <w:spacing w:before="200" w:after="100"/>
      <w:ind w:left="851"/>
    </w:pPr>
    <w:rPr>
      <w:rFonts w:ascii="Arial" w:hAnsi="Arial" w:cstheme="minorBidi"/>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spacing w:before="200"/>
      <w:ind w:left="720"/>
    </w:pPr>
    <w:rPr>
      <w:rFonts w:ascii="Arial" w:hAnsi="Arial" w:cstheme="minorBidi"/>
    </w:rPr>
  </w:style>
  <w:style w:type="paragraph" w:styleId="FootnoteText">
    <w:name w:val="footnote text"/>
    <w:basedOn w:val="Normal"/>
    <w:link w:val="FootnoteTextChar"/>
    <w:uiPriority w:val="2"/>
    <w:rsid w:val="003A673F"/>
    <w:pPr>
      <w:tabs>
        <w:tab w:val="left" w:pos="340"/>
      </w:tabs>
      <w:spacing w:before="60"/>
      <w:ind w:left="340" w:hanging="340"/>
    </w:pPr>
    <w:rPr>
      <w:rFonts w:ascii="Arial" w:hAnsi="Arial" w:cstheme="minorBidi"/>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before="200" w:after="100"/>
      <w:ind w:left="1276"/>
    </w:pPr>
    <w:rPr>
      <w:rFonts w:ascii="Arial" w:hAnsi="Arial" w:cstheme="minorBidi"/>
      <w:noProof/>
    </w:rPr>
  </w:style>
  <w:style w:type="paragraph" w:styleId="TOC5">
    <w:name w:val="toc 5"/>
    <w:basedOn w:val="Normal"/>
    <w:next w:val="Normal"/>
    <w:uiPriority w:val="39"/>
    <w:rsid w:val="009F4940"/>
    <w:pPr>
      <w:tabs>
        <w:tab w:val="right" w:leader="dot" w:pos="9016"/>
      </w:tabs>
      <w:spacing w:before="200" w:after="100"/>
      <w:ind w:left="1701"/>
    </w:pPr>
    <w:rPr>
      <w:rFonts w:ascii="Arial" w:hAnsi="Arial" w:cstheme="minorBidi"/>
      <w:noProof/>
    </w:rPr>
  </w:style>
  <w:style w:type="paragraph" w:styleId="TOC6">
    <w:name w:val="toc 6"/>
    <w:basedOn w:val="Normal"/>
    <w:next w:val="Normal"/>
    <w:uiPriority w:val="39"/>
    <w:rsid w:val="009F4940"/>
    <w:pPr>
      <w:tabs>
        <w:tab w:val="right" w:leader="dot" w:pos="9016"/>
      </w:tabs>
      <w:spacing w:before="200" w:after="100"/>
      <w:ind w:left="2127"/>
    </w:pPr>
    <w:rPr>
      <w:rFonts w:ascii="Arial" w:hAnsi="Arial" w:cstheme="minorBidi"/>
      <w:noProof/>
    </w:rPr>
  </w:style>
  <w:style w:type="paragraph" w:styleId="TOC7">
    <w:name w:val="toc 7"/>
    <w:basedOn w:val="Normal"/>
    <w:next w:val="Normal"/>
    <w:uiPriority w:val="39"/>
    <w:rsid w:val="009F4940"/>
    <w:pPr>
      <w:tabs>
        <w:tab w:val="right" w:leader="dot" w:pos="9016"/>
      </w:tabs>
      <w:spacing w:before="200" w:after="100"/>
      <w:ind w:left="2552"/>
    </w:pPr>
    <w:rPr>
      <w:rFonts w:ascii="Arial" w:hAnsi="Arial" w:cstheme="minorBidi"/>
      <w:noProof/>
    </w:rPr>
  </w:style>
  <w:style w:type="paragraph" w:styleId="TableofAuthorities">
    <w:name w:val="table of authorities"/>
    <w:basedOn w:val="Normal"/>
    <w:next w:val="Normal"/>
    <w:uiPriority w:val="99"/>
    <w:unhideWhenUsed/>
    <w:rsid w:val="00B60F5D"/>
    <w:pPr>
      <w:spacing w:before="200"/>
      <w:ind w:left="220" w:hanging="220"/>
    </w:pPr>
    <w:rPr>
      <w:rFonts w:ascii="Arial" w:hAnsi="Arial" w:cstheme="minorBidi"/>
    </w:r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rFonts w:ascii="Arial" w:hAnsi="Arial" w:cstheme="minorBidi"/>
      <w:b/>
      <w:bCs/>
      <w:sz w:val="24"/>
      <w:szCs w:val="18"/>
    </w:rPr>
  </w:style>
  <w:style w:type="paragraph" w:styleId="List">
    <w:name w:val="List"/>
    <w:basedOn w:val="Normal"/>
    <w:uiPriority w:val="99"/>
    <w:rsid w:val="00E4674F"/>
    <w:pPr>
      <w:tabs>
        <w:tab w:val="left" w:pos="340"/>
      </w:tabs>
      <w:spacing w:before="120"/>
      <w:ind w:left="340" w:hanging="340"/>
    </w:pPr>
    <w:rPr>
      <w:rFonts w:ascii="Arial" w:hAnsi="Arial" w:cstheme="minorBidi"/>
    </w:rPr>
  </w:style>
  <w:style w:type="paragraph" w:styleId="List2">
    <w:name w:val="List 2"/>
    <w:basedOn w:val="Normal"/>
    <w:uiPriority w:val="99"/>
    <w:rsid w:val="00E4674F"/>
    <w:pPr>
      <w:tabs>
        <w:tab w:val="left" w:pos="680"/>
      </w:tabs>
      <w:spacing w:before="120"/>
      <w:ind w:left="680" w:hanging="340"/>
    </w:pPr>
    <w:rPr>
      <w:rFonts w:ascii="Arial" w:hAnsi="Arial" w:cstheme="minorBidi"/>
    </w:rPr>
  </w:style>
  <w:style w:type="paragraph" w:styleId="List3">
    <w:name w:val="List 3"/>
    <w:basedOn w:val="Normal"/>
    <w:uiPriority w:val="99"/>
    <w:rsid w:val="00E4674F"/>
    <w:pPr>
      <w:tabs>
        <w:tab w:val="left" w:pos="1021"/>
      </w:tabs>
      <w:spacing w:before="120"/>
      <w:ind w:left="1020" w:hanging="340"/>
    </w:pPr>
    <w:rPr>
      <w:rFonts w:ascii="Arial" w:hAnsi="Arial" w:cstheme="minorBidi"/>
    </w:rPr>
  </w:style>
  <w:style w:type="paragraph" w:styleId="List4">
    <w:name w:val="List 4"/>
    <w:basedOn w:val="Normal"/>
    <w:uiPriority w:val="99"/>
    <w:rsid w:val="00E4674F"/>
    <w:pPr>
      <w:tabs>
        <w:tab w:val="left" w:pos="1361"/>
      </w:tabs>
      <w:spacing w:before="120"/>
      <w:ind w:left="1361" w:hanging="340"/>
    </w:pPr>
    <w:rPr>
      <w:rFonts w:ascii="Arial" w:hAnsi="Arial" w:cstheme="minorBidi"/>
    </w:rPr>
  </w:style>
  <w:style w:type="paragraph" w:styleId="List5">
    <w:name w:val="List 5"/>
    <w:basedOn w:val="Normal"/>
    <w:uiPriority w:val="99"/>
    <w:rsid w:val="00547CCF"/>
    <w:pPr>
      <w:tabs>
        <w:tab w:val="left" w:pos="1701"/>
      </w:tabs>
      <w:spacing w:before="120"/>
      <w:ind w:left="1701" w:hanging="340"/>
    </w:pPr>
    <w:rPr>
      <w:rFonts w:ascii="Arial" w:hAnsi="Arial" w:cstheme="minorBidi"/>
    </w:rPr>
  </w:style>
  <w:style w:type="paragraph" w:styleId="ListBullet3">
    <w:name w:val="List Bullet 3"/>
    <w:basedOn w:val="Normal"/>
    <w:uiPriority w:val="99"/>
    <w:rsid w:val="00181223"/>
    <w:pPr>
      <w:numPr>
        <w:numId w:val="4"/>
      </w:numPr>
      <w:tabs>
        <w:tab w:val="clear" w:pos="926"/>
        <w:tab w:val="num" w:pos="1021"/>
      </w:tabs>
      <w:spacing w:before="120"/>
      <w:ind w:left="1020" w:hanging="340"/>
    </w:pPr>
    <w:rPr>
      <w:rFonts w:ascii="Arial" w:hAnsi="Arial" w:cstheme="minorBidi"/>
    </w:rPr>
  </w:style>
  <w:style w:type="paragraph" w:styleId="ListBullet4">
    <w:name w:val="List Bullet 4"/>
    <w:basedOn w:val="Normal"/>
    <w:uiPriority w:val="99"/>
    <w:rsid w:val="00547CCF"/>
    <w:pPr>
      <w:numPr>
        <w:numId w:val="5"/>
      </w:numPr>
      <w:tabs>
        <w:tab w:val="clear" w:pos="1209"/>
        <w:tab w:val="num" w:pos="1361"/>
      </w:tabs>
      <w:spacing w:before="120"/>
      <w:ind w:left="1361" w:hanging="340"/>
    </w:pPr>
    <w:rPr>
      <w:rFonts w:ascii="Arial" w:hAnsi="Arial" w:cstheme="minorBidi"/>
    </w:rPr>
  </w:style>
  <w:style w:type="paragraph" w:styleId="ListBullet5">
    <w:name w:val="List Bullet 5"/>
    <w:basedOn w:val="Normal"/>
    <w:uiPriority w:val="99"/>
    <w:rsid w:val="00547CCF"/>
    <w:pPr>
      <w:numPr>
        <w:numId w:val="6"/>
      </w:numPr>
      <w:tabs>
        <w:tab w:val="clear" w:pos="1492"/>
        <w:tab w:val="num" w:pos="1701"/>
      </w:tabs>
      <w:spacing w:before="120"/>
      <w:ind w:left="1701" w:hanging="340"/>
    </w:pPr>
    <w:rPr>
      <w:rFonts w:ascii="Arial" w:hAnsi="Arial" w:cstheme="minorBidi"/>
    </w:rPr>
  </w:style>
  <w:style w:type="paragraph" w:styleId="ListContinue">
    <w:name w:val="List Continue"/>
    <w:basedOn w:val="Normal"/>
    <w:uiPriority w:val="99"/>
    <w:rsid w:val="00547CCF"/>
    <w:pPr>
      <w:tabs>
        <w:tab w:val="left" w:pos="340"/>
      </w:tabs>
      <w:spacing w:before="120"/>
      <w:ind w:left="340"/>
    </w:pPr>
    <w:rPr>
      <w:rFonts w:ascii="Arial" w:hAnsi="Arial" w:cstheme="minorBidi"/>
    </w:rPr>
  </w:style>
  <w:style w:type="paragraph" w:styleId="ListContinue2">
    <w:name w:val="List Continue 2"/>
    <w:basedOn w:val="Normal"/>
    <w:uiPriority w:val="99"/>
    <w:rsid w:val="00547CCF"/>
    <w:pPr>
      <w:tabs>
        <w:tab w:val="left" w:pos="680"/>
      </w:tabs>
      <w:spacing w:before="120"/>
      <w:ind w:left="680"/>
    </w:pPr>
    <w:rPr>
      <w:rFonts w:ascii="Arial" w:hAnsi="Arial" w:cstheme="minorBidi"/>
    </w:rPr>
  </w:style>
  <w:style w:type="paragraph" w:styleId="ListContinue3">
    <w:name w:val="List Continue 3"/>
    <w:basedOn w:val="Normal"/>
    <w:uiPriority w:val="99"/>
    <w:rsid w:val="00547CCF"/>
    <w:pPr>
      <w:tabs>
        <w:tab w:val="left" w:pos="1021"/>
      </w:tabs>
      <w:spacing w:before="120"/>
      <w:ind w:left="1021"/>
    </w:pPr>
    <w:rPr>
      <w:rFonts w:ascii="Arial" w:hAnsi="Arial" w:cstheme="minorBidi"/>
    </w:rPr>
  </w:style>
  <w:style w:type="paragraph" w:styleId="ListContinue4">
    <w:name w:val="List Continue 4"/>
    <w:basedOn w:val="Normal"/>
    <w:uiPriority w:val="99"/>
    <w:rsid w:val="00DC542F"/>
    <w:pPr>
      <w:tabs>
        <w:tab w:val="left" w:pos="1361"/>
      </w:tabs>
      <w:spacing w:before="120"/>
      <w:ind w:left="1361"/>
    </w:pPr>
    <w:rPr>
      <w:rFonts w:ascii="Arial" w:hAnsi="Arial" w:cstheme="minorBidi"/>
    </w:rPr>
  </w:style>
  <w:style w:type="paragraph" w:styleId="ListNumber3">
    <w:name w:val="List Number 3"/>
    <w:basedOn w:val="Normal"/>
    <w:uiPriority w:val="99"/>
    <w:rsid w:val="00BE4C99"/>
    <w:pPr>
      <w:numPr>
        <w:numId w:val="14"/>
      </w:numPr>
      <w:tabs>
        <w:tab w:val="left" w:pos="1021"/>
      </w:tabs>
      <w:spacing w:before="120"/>
    </w:pPr>
    <w:rPr>
      <w:rFonts w:ascii="Arial" w:hAnsi="Arial" w:cstheme="minorBidi"/>
    </w:rPr>
  </w:style>
  <w:style w:type="paragraph" w:styleId="ListNumber4">
    <w:name w:val="List Number 4"/>
    <w:basedOn w:val="Normal"/>
    <w:uiPriority w:val="99"/>
    <w:rsid w:val="00BE4C99"/>
    <w:pPr>
      <w:numPr>
        <w:numId w:val="7"/>
      </w:numPr>
      <w:tabs>
        <w:tab w:val="left" w:pos="1701"/>
      </w:tabs>
      <w:spacing w:before="120"/>
    </w:pPr>
    <w:rPr>
      <w:rFonts w:ascii="Arial" w:hAnsi="Arial" w:cstheme="minorBidi"/>
    </w:rPr>
  </w:style>
  <w:style w:type="paragraph" w:styleId="ListNumber5">
    <w:name w:val="List Number 5"/>
    <w:basedOn w:val="Normal"/>
    <w:uiPriority w:val="99"/>
    <w:rsid w:val="00BE4C99"/>
    <w:pPr>
      <w:numPr>
        <w:numId w:val="8"/>
      </w:numPr>
      <w:spacing w:before="120"/>
    </w:pPr>
    <w:rPr>
      <w:rFonts w:ascii="Arial" w:hAnsi="Arial" w:cstheme="minorBidi"/>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rPr>
      <w:rFonts w:ascii="Arial" w:hAnsi="Arial" w:cstheme="minorBidi"/>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rPr>
      <w:rFonts w:ascii="Arial" w:hAnsi="Arial" w:cstheme="minorBidi"/>
    </w:r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rPr>
      <w:rFonts w:ascii="Arial" w:hAnsi="Arial" w:cstheme="minorBidi"/>
    </w:r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spacing w:before="200"/>
    </w:pPr>
    <w:rPr>
      <w:rFonts w:ascii="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0893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mo.com.au/About-the-Industry/Legislation/National-Electricity-Law"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veto.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0B509.AB20A1C0"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usiness.qld.gov.au/__data/assets/pdf_file/0020/30674/Oakley-Greenwood-report.pdf"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40467C-15A8-4E3A-87AE-0AFBBCFB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3F90508F</Template>
  <TotalTime>2</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Lewis, Andrew</dc:creator>
  <cp:lastModifiedBy>Lewis, Andrew</cp:lastModifiedBy>
  <cp:revision>1</cp:revision>
  <dcterms:created xsi:type="dcterms:W3CDTF">2015-07-08T00:59:00Z</dcterms:created>
  <dcterms:modified xsi:type="dcterms:W3CDTF">2015-07-08T01:01:00Z</dcterms:modified>
</cp:coreProperties>
</file>