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43CB9" w14:textId="77777777" w:rsidR="00CF1AF6" w:rsidRDefault="00CF1AF6" w:rsidP="00CF1AF6">
      <w:pPr>
        <w:rPr>
          <w:b/>
        </w:rPr>
      </w:pPr>
      <w:bookmarkStart w:id="0" w:name="_GoBack"/>
      <w:bookmarkEnd w:id="0"/>
    </w:p>
    <w:p w14:paraId="5F0A4A70" w14:textId="77777777" w:rsidR="00547530" w:rsidRDefault="00547530" w:rsidP="00CF1AF6">
      <w:pPr>
        <w:tabs>
          <w:tab w:val="left" w:pos="993"/>
        </w:tabs>
        <w:spacing w:before="40"/>
        <w:jc w:val="left"/>
        <w:rPr>
          <w:rFonts w:asciiTheme="minorHAnsi" w:hAnsiTheme="minorHAnsi"/>
        </w:rPr>
      </w:pPr>
    </w:p>
    <w:p w14:paraId="28D6A499" w14:textId="77777777" w:rsidR="00547530" w:rsidRDefault="00547530" w:rsidP="00CF1AF6">
      <w:pPr>
        <w:tabs>
          <w:tab w:val="left" w:pos="993"/>
        </w:tabs>
        <w:spacing w:before="40"/>
        <w:jc w:val="left"/>
        <w:rPr>
          <w:rFonts w:asciiTheme="minorHAnsi" w:hAnsiTheme="minorHAnsi"/>
        </w:rPr>
      </w:pPr>
    </w:p>
    <w:p w14:paraId="4D75495D" w14:textId="77777777" w:rsidR="00547530" w:rsidRDefault="00547530" w:rsidP="00CF1AF6">
      <w:pPr>
        <w:tabs>
          <w:tab w:val="left" w:pos="993"/>
        </w:tabs>
        <w:spacing w:before="40"/>
        <w:jc w:val="left"/>
        <w:rPr>
          <w:rFonts w:asciiTheme="minorHAnsi" w:hAnsiTheme="minorHAnsi"/>
        </w:rPr>
      </w:pPr>
    </w:p>
    <w:p w14:paraId="278C4F13" w14:textId="4BAE281F" w:rsidR="00CF1AF6" w:rsidRPr="00AE64FA" w:rsidRDefault="00CF1AF6" w:rsidP="00547530">
      <w:pPr>
        <w:tabs>
          <w:tab w:val="left" w:pos="993"/>
        </w:tabs>
        <w:spacing w:before="40"/>
        <w:jc w:val="left"/>
        <w:rPr>
          <w:rFonts w:asciiTheme="minorHAnsi" w:hAnsiTheme="minorHAnsi"/>
        </w:rPr>
      </w:pPr>
      <w:r w:rsidRPr="00AE64FA">
        <w:rPr>
          <w:rFonts w:asciiTheme="minorHAnsi" w:hAnsiTheme="minorHAnsi"/>
        </w:rPr>
        <w:t>Our ref:</w:t>
      </w:r>
      <w:r w:rsidRPr="00AE64FA">
        <w:rPr>
          <w:rFonts w:asciiTheme="minorHAnsi" w:hAnsiTheme="minorHAnsi"/>
        </w:rPr>
        <w:tab/>
      </w:r>
      <w:r w:rsidR="00954FD8">
        <w:rPr>
          <w:rFonts w:asciiTheme="minorHAnsi" w:hAnsiTheme="minorHAnsi"/>
        </w:rPr>
        <w:t>13840716</w:t>
      </w:r>
    </w:p>
    <w:p w14:paraId="19F728C4" w14:textId="2A3857B2" w:rsidR="00843ED5" w:rsidRPr="00AE64FA" w:rsidRDefault="00CF1AF6" w:rsidP="00CF1AF6">
      <w:pPr>
        <w:tabs>
          <w:tab w:val="left" w:pos="993"/>
        </w:tabs>
        <w:spacing w:before="40"/>
        <w:jc w:val="left"/>
        <w:rPr>
          <w:rFonts w:asciiTheme="minorHAnsi" w:hAnsiTheme="minorHAnsi"/>
        </w:rPr>
      </w:pPr>
      <w:r w:rsidRPr="00AE64FA">
        <w:rPr>
          <w:rFonts w:asciiTheme="minorHAnsi" w:hAnsiTheme="minorHAnsi"/>
        </w:rPr>
        <w:t>Contact:</w:t>
      </w:r>
      <w:r w:rsidRPr="00AE64FA">
        <w:rPr>
          <w:rFonts w:asciiTheme="minorHAnsi" w:hAnsiTheme="minorHAnsi"/>
        </w:rPr>
        <w:tab/>
      </w:r>
      <w:r w:rsidR="00843ED5">
        <w:rPr>
          <w:rFonts w:asciiTheme="minorHAnsi" w:hAnsiTheme="minorHAnsi"/>
        </w:rPr>
        <w:t>Karyne Wong</w:t>
      </w:r>
    </w:p>
    <w:p w14:paraId="5810E3D7" w14:textId="77777777" w:rsidR="00CF1AF6" w:rsidRPr="00AE64FA" w:rsidRDefault="00CF1AF6" w:rsidP="00CF1AF6">
      <w:pPr>
        <w:jc w:val="left"/>
        <w:rPr>
          <w:rFonts w:asciiTheme="minorHAnsi" w:hAnsiTheme="minorHAnsi"/>
        </w:rPr>
      </w:pPr>
      <w:bookmarkStart w:id="1" w:name="Subject"/>
    </w:p>
    <w:p w14:paraId="1B01A5F2" w14:textId="77777777" w:rsidR="00CF1AF6" w:rsidRPr="00AE64FA" w:rsidRDefault="00CF1AF6" w:rsidP="00CF1AF6">
      <w:pPr>
        <w:jc w:val="left"/>
        <w:rPr>
          <w:rFonts w:asciiTheme="minorHAnsi" w:hAnsiTheme="minorHAnsi"/>
        </w:rPr>
      </w:pPr>
    </w:p>
    <w:p w14:paraId="2947EB8A" w14:textId="757A482C" w:rsidR="00CF1AF6" w:rsidRPr="00AE64FA" w:rsidRDefault="00380B5D" w:rsidP="00CF1AF6">
      <w:pPr>
        <w:jc w:val="left"/>
        <w:rPr>
          <w:rFonts w:asciiTheme="minorHAnsi" w:hAnsiTheme="minorHAnsi"/>
        </w:rPr>
      </w:pPr>
      <w:r>
        <w:rPr>
          <w:rFonts w:asciiTheme="minorHAnsi" w:hAnsiTheme="minorHAnsi"/>
        </w:rPr>
        <w:t>Date: 28</w:t>
      </w:r>
      <w:r w:rsidR="00843ED5">
        <w:rPr>
          <w:rFonts w:asciiTheme="minorHAnsi" w:hAnsiTheme="minorHAnsi"/>
        </w:rPr>
        <w:t xml:space="preserve"> April 2016</w:t>
      </w:r>
    </w:p>
    <w:p w14:paraId="4723D091" w14:textId="77777777" w:rsidR="00CF1AF6" w:rsidRPr="00AE64FA" w:rsidRDefault="00CF1AF6" w:rsidP="00CF1AF6">
      <w:pPr>
        <w:jc w:val="left"/>
        <w:rPr>
          <w:rFonts w:asciiTheme="minorHAnsi" w:hAnsiTheme="minorHAnsi"/>
        </w:rPr>
      </w:pPr>
    </w:p>
    <w:p w14:paraId="440536CC" w14:textId="77777777" w:rsidR="00CF1AF6" w:rsidRPr="00AE64FA" w:rsidRDefault="00CF1AF6" w:rsidP="00CF1AF6">
      <w:pPr>
        <w:jc w:val="left"/>
        <w:rPr>
          <w:rFonts w:asciiTheme="minorHAnsi" w:hAnsiTheme="minorHAnsi"/>
        </w:rPr>
      </w:pPr>
    </w:p>
    <w:p w14:paraId="17140E13" w14:textId="77777777" w:rsidR="007565EA" w:rsidRPr="007565EA" w:rsidRDefault="007565EA" w:rsidP="007565EA">
      <w:pPr>
        <w:jc w:val="left"/>
        <w:rPr>
          <w:rFonts w:asciiTheme="minorHAnsi" w:hAnsiTheme="minorHAnsi"/>
        </w:rPr>
      </w:pPr>
      <w:r w:rsidRPr="007565EA">
        <w:rPr>
          <w:rFonts w:asciiTheme="minorHAnsi" w:hAnsiTheme="minorHAnsi"/>
        </w:rPr>
        <w:t>Mr Sebastian Roberts</w:t>
      </w:r>
    </w:p>
    <w:p w14:paraId="776C99D5" w14:textId="77777777" w:rsidR="007565EA" w:rsidRPr="007565EA" w:rsidRDefault="007565EA" w:rsidP="007565EA">
      <w:pPr>
        <w:jc w:val="left"/>
        <w:rPr>
          <w:rFonts w:asciiTheme="minorHAnsi" w:hAnsiTheme="minorHAnsi"/>
        </w:rPr>
      </w:pPr>
      <w:r w:rsidRPr="007565EA">
        <w:rPr>
          <w:rFonts w:asciiTheme="minorHAnsi" w:hAnsiTheme="minorHAnsi"/>
        </w:rPr>
        <w:t>General Manager</w:t>
      </w:r>
    </w:p>
    <w:p w14:paraId="1C5683A8" w14:textId="77777777" w:rsidR="007565EA" w:rsidRPr="007565EA" w:rsidRDefault="007565EA" w:rsidP="007565EA">
      <w:pPr>
        <w:jc w:val="left"/>
        <w:rPr>
          <w:rFonts w:asciiTheme="minorHAnsi" w:hAnsiTheme="minorHAnsi"/>
        </w:rPr>
      </w:pPr>
      <w:r w:rsidRPr="007565EA">
        <w:rPr>
          <w:rFonts w:asciiTheme="minorHAnsi" w:hAnsiTheme="minorHAnsi"/>
        </w:rPr>
        <w:t>Australian Energy Regulator</w:t>
      </w:r>
    </w:p>
    <w:p w14:paraId="3E058080" w14:textId="77777777" w:rsidR="007565EA" w:rsidRPr="007565EA" w:rsidRDefault="007565EA" w:rsidP="007565EA">
      <w:pPr>
        <w:jc w:val="left"/>
        <w:rPr>
          <w:rFonts w:asciiTheme="minorHAnsi" w:hAnsiTheme="minorHAnsi"/>
        </w:rPr>
      </w:pPr>
      <w:r w:rsidRPr="007565EA">
        <w:rPr>
          <w:rFonts w:asciiTheme="minorHAnsi" w:hAnsiTheme="minorHAnsi"/>
        </w:rPr>
        <w:t>GPO Box 520</w:t>
      </w:r>
    </w:p>
    <w:p w14:paraId="741F7860" w14:textId="77777777" w:rsidR="00CF1AF6" w:rsidRPr="00AE64FA" w:rsidRDefault="007565EA" w:rsidP="007565EA">
      <w:pPr>
        <w:jc w:val="left"/>
        <w:rPr>
          <w:rFonts w:asciiTheme="minorHAnsi" w:hAnsiTheme="minorHAnsi"/>
        </w:rPr>
      </w:pPr>
      <w:r w:rsidRPr="007565EA">
        <w:rPr>
          <w:rFonts w:asciiTheme="minorHAnsi" w:hAnsiTheme="minorHAnsi"/>
        </w:rPr>
        <w:t>Melbourne VIC 3001</w:t>
      </w:r>
    </w:p>
    <w:p w14:paraId="7659FED2" w14:textId="77777777" w:rsidR="00CF1AF6" w:rsidRPr="00AE64FA" w:rsidRDefault="00CF1AF6" w:rsidP="00CF1AF6">
      <w:pPr>
        <w:jc w:val="left"/>
        <w:rPr>
          <w:rFonts w:asciiTheme="minorHAnsi" w:hAnsiTheme="minorHAnsi"/>
        </w:rPr>
      </w:pPr>
    </w:p>
    <w:p w14:paraId="7591B98B" w14:textId="77777777" w:rsidR="00547530" w:rsidRDefault="00547530" w:rsidP="00CF1AF6">
      <w:pPr>
        <w:jc w:val="left"/>
        <w:rPr>
          <w:rFonts w:asciiTheme="minorHAnsi" w:hAnsiTheme="minorHAnsi"/>
        </w:rPr>
      </w:pPr>
    </w:p>
    <w:p w14:paraId="7288020E" w14:textId="77777777" w:rsidR="00CF1AF6" w:rsidRDefault="00CF1AF6" w:rsidP="00CF1AF6">
      <w:pPr>
        <w:jc w:val="left"/>
        <w:rPr>
          <w:rFonts w:asciiTheme="minorHAnsi" w:hAnsiTheme="minorHAnsi"/>
        </w:rPr>
      </w:pPr>
      <w:r w:rsidRPr="00AE64FA">
        <w:rPr>
          <w:rFonts w:asciiTheme="minorHAnsi" w:hAnsiTheme="minorHAnsi"/>
        </w:rPr>
        <w:t xml:space="preserve">Dear </w:t>
      </w:r>
      <w:r w:rsidR="007565EA">
        <w:rPr>
          <w:rFonts w:asciiTheme="minorHAnsi" w:hAnsiTheme="minorHAnsi"/>
        </w:rPr>
        <w:t>Sebastian</w:t>
      </w:r>
    </w:p>
    <w:p w14:paraId="66C3B6F7" w14:textId="77777777" w:rsidR="007565EA" w:rsidRDefault="007565EA" w:rsidP="00CF1AF6">
      <w:pPr>
        <w:jc w:val="left"/>
        <w:rPr>
          <w:rFonts w:asciiTheme="minorHAnsi" w:hAnsiTheme="minorHAnsi"/>
        </w:rPr>
      </w:pPr>
    </w:p>
    <w:p w14:paraId="7D4F0083" w14:textId="77777777" w:rsidR="007565EA" w:rsidRPr="007565EA" w:rsidRDefault="007565EA" w:rsidP="00CF1AF6">
      <w:pPr>
        <w:jc w:val="left"/>
        <w:rPr>
          <w:rFonts w:asciiTheme="minorHAnsi" w:hAnsiTheme="minorHAnsi" w:cs="Arial"/>
          <w:b/>
        </w:rPr>
      </w:pPr>
      <w:r>
        <w:rPr>
          <w:rFonts w:asciiTheme="minorHAnsi" w:hAnsiTheme="minorHAnsi"/>
          <w:b/>
        </w:rPr>
        <w:t>Western Power’s submission on TransGrid’s draft Framework and Approach paper 2018-23</w:t>
      </w:r>
    </w:p>
    <w:p w14:paraId="5AD3992D" w14:textId="77777777" w:rsidR="00CF1AF6" w:rsidRPr="00AE64FA" w:rsidRDefault="00CF1AF6" w:rsidP="00CF1AF6">
      <w:pPr>
        <w:jc w:val="left"/>
        <w:rPr>
          <w:rFonts w:asciiTheme="minorHAnsi" w:hAnsiTheme="minorHAnsi" w:cs="Arial"/>
          <w:b/>
        </w:rPr>
      </w:pPr>
    </w:p>
    <w:bookmarkEnd w:id="1"/>
    <w:p w14:paraId="02A8294B" w14:textId="77777777" w:rsidR="00425465" w:rsidRDefault="00425465" w:rsidP="00425465">
      <w:pPr>
        <w:jc w:val="left"/>
        <w:rPr>
          <w:rFonts w:asciiTheme="minorHAnsi" w:hAnsiTheme="minorHAnsi"/>
        </w:rPr>
      </w:pPr>
      <w:r>
        <w:rPr>
          <w:rFonts w:asciiTheme="minorHAnsi" w:hAnsiTheme="minorHAnsi"/>
        </w:rPr>
        <w:t xml:space="preserve">Thank you for the opportunity to comment on TransGrid’s draft Framework and Approach paper for the 2018-23 regulatory control period. This submission </w:t>
      </w:r>
      <w:r w:rsidR="00550A88">
        <w:rPr>
          <w:rFonts w:asciiTheme="minorHAnsi" w:hAnsiTheme="minorHAnsi"/>
        </w:rPr>
        <w:t>concerns</w:t>
      </w:r>
      <w:r>
        <w:rPr>
          <w:rFonts w:asciiTheme="minorHAnsi" w:hAnsiTheme="minorHAnsi"/>
        </w:rPr>
        <w:t xml:space="preserve"> the Australian Energy Regulator’s (AER’s) proposed approach with respect to the application of the Capital Expenditure Sharing Scheme (CESS).</w:t>
      </w:r>
    </w:p>
    <w:p w14:paraId="0844E2D7" w14:textId="77777777" w:rsidR="00425465" w:rsidRDefault="00425465" w:rsidP="00425465">
      <w:pPr>
        <w:jc w:val="left"/>
        <w:rPr>
          <w:rFonts w:asciiTheme="minorHAnsi" w:hAnsiTheme="minorHAnsi"/>
        </w:rPr>
      </w:pPr>
    </w:p>
    <w:p w14:paraId="55BEF540" w14:textId="77777777" w:rsidR="008E4B2D" w:rsidRDefault="00550A88" w:rsidP="008E4B2D">
      <w:pPr>
        <w:jc w:val="left"/>
        <w:rPr>
          <w:rFonts w:asciiTheme="minorHAnsi" w:hAnsiTheme="minorHAnsi"/>
        </w:rPr>
      </w:pPr>
      <w:r>
        <w:rPr>
          <w:rFonts w:asciiTheme="minorHAnsi" w:hAnsiTheme="minorHAnsi"/>
        </w:rPr>
        <w:t xml:space="preserve">We note that the CESS is a foundational element of the current regulatory framework. It ensures that network businesses face </w:t>
      </w:r>
      <w:r w:rsidRPr="00550A88">
        <w:rPr>
          <w:rFonts w:asciiTheme="minorHAnsi" w:hAnsiTheme="minorHAnsi"/>
        </w:rPr>
        <w:t xml:space="preserve">continuous and symmetric incentives to undertake efficient capex </w:t>
      </w:r>
      <w:r>
        <w:rPr>
          <w:rFonts w:asciiTheme="minorHAnsi" w:hAnsiTheme="minorHAnsi"/>
        </w:rPr>
        <w:t xml:space="preserve">throughout a regulatory period, and complements the Efficiency Benefit Sharing Scheme (EBSS) to address the trade-off between </w:t>
      </w:r>
      <w:r w:rsidR="003D4A8C">
        <w:rPr>
          <w:rFonts w:asciiTheme="minorHAnsi" w:hAnsiTheme="minorHAnsi"/>
        </w:rPr>
        <w:t>capex and opex</w:t>
      </w:r>
      <w:r>
        <w:rPr>
          <w:rFonts w:asciiTheme="minorHAnsi" w:hAnsiTheme="minorHAnsi"/>
        </w:rPr>
        <w:t>.</w:t>
      </w:r>
      <w:r w:rsidR="002C0756">
        <w:rPr>
          <w:rFonts w:asciiTheme="minorHAnsi" w:hAnsiTheme="minorHAnsi"/>
        </w:rPr>
        <w:t xml:space="preserve"> </w:t>
      </w:r>
      <w:r w:rsidR="008E4B2D">
        <w:rPr>
          <w:rFonts w:asciiTheme="minorHAnsi" w:hAnsiTheme="minorHAnsi"/>
        </w:rPr>
        <w:t xml:space="preserve">This is consistent with the National Electricity Objective by promoting the </w:t>
      </w:r>
      <w:r w:rsidR="008E4B2D" w:rsidRPr="008E4B2D">
        <w:rPr>
          <w:rFonts w:asciiTheme="minorHAnsi" w:hAnsiTheme="minorHAnsi"/>
        </w:rPr>
        <w:t>efficient investment in, and efficient operation and use of, electricity services for the long term intere</w:t>
      </w:r>
      <w:r w:rsidR="008E4B2D">
        <w:rPr>
          <w:rFonts w:asciiTheme="minorHAnsi" w:hAnsiTheme="minorHAnsi"/>
        </w:rPr>
        <w:t>sts of consumers of electricity.</w:t>
      </w:r>
    </w:p>
    <w:p w14:paraId="19D369FD" w14:textId="77777777" w:rsidR="00867504" w:rsidRDefault="00867504" w:rsidP="00593C30">
      <w:pPr>
        <w:jc w:val="left"/>
        <w:rPr>
          <w:rFonts w:asciiTheme="minorHAnsi" w:hAnsiTheme="minorHAnsi"/>
        </w:rPr>
      </w:pPr>
    </w:p>
    <w:p w14:paraId="5E95DFFB" w14:textId="77777777" w:rsidR="00867504" w:rsidRDefault="00867504" w:rsidP="00867504">
      <w:pPr>
        <w:jc w:val="left"/>
        <w:rPr>
          <w:rFonts w:asciiTheme="minorHAnsi" w:hAnsiTheme="minorHAnsi"/>
        </w:rPr>
      </w:pPr>
      <w:r>
        <w:rPr>
          <w:rFonts w:asciiTheme="minorHAnsi" w:hAnsiTheme="minorHAnsi"/>
        </w:rPr>
        <w:t xml:space="preserve">However, we have identified several issues in relation to the current version of the scheme which has implications for its application </w:t>
      </w:r>
      <w:r w:rsidR="00452551">
        <w:rPr>
          <w:rFonts w:asciiTheme="minorHAnsi" w:hAnsiTheme="minorHAnsi"/>
        </w:rPr>
        <w:t xml:space="preserve">to </w:t>
      </w:r>
      <w:r>
        <w:rPr>
          <w:rFonts w:asciiTheme="minorHAnsi" w:hAnsiTheme="minorHAnsi"/>
        </w:rPr>
        <w:t>TransGrid and other network businesses. These issues fall into three categories: (a) the scheme’s mechanics and formulation; (b) treatment of capital contributions; and (c) treatment of asset disposals. We discuss each of these issues in further detail below.</w:t>
      </w:r>
    </w:p>
    <w:p w14:paraId="36BE8E8E" w14:textId="77777777" w:rsidR="00867504" w:rsidRDefault="00867504" w:rsidP="00867504">
      <w:pPr>
        <w:jc w:val="left"/>
        <w:rPr>
          <w:rFonts w:asciiTheme="minorHAnsi" w:hAnsiTheme="minorHAnsi"/>
        </w:rPr>
      </w:pPr>
    </w:p>
    <w:p w14:paraId="476FA66B" w14:textId="77777777" w:rsidR="00867504" w:rsidRDefault="00867504" w:rsidP="00867504">
      <w:pPr>
        <w:jc w:val="left"/>
        <w:rPr>
          <w:rFonts w:asciiTheme="minorHAnsi" w:hAnsiTheme="minorHAnsi"/>
        </w:rPr>
      </w:pPr>
      <w:r>
        <w:rPr>
          <w:rFonts w:asciiTheme="minorHAnsi" w:hAnsiTheme="minorHAnsi"/>
        </w:rPr>
        <w:t>Western Power will join the National Electricity Market in November 2016</w:t>
      </w:r>
      <w:r w:rsidR="00452551">
        <w:rPr>
          <w:rFonts w:asciiTheme="minorHAnsi" w:hAnsiTheme="minorHAnsi"/>
        </w:rPr>
        <w:t>. O</w:t>
      </w:r>
      <w:r>
        <w:rPr>
          <w:rFonts w:asciiTheme="minorHAnsi" w:hAnsiTheme="minorHAnsi"/>
        </w:rPr>
        <w:t xml:space="preserve">ur first revenue proposals under the National Electricity Rules (NER) for our transmission and distribution businesses are due by 1 April 2017. </w:t>
      </w:r>
      <w:r w:rsidR="00452551">
        <w:rPr>
          <w:rFonts w:asciiTheme="minorHAnsi" w:hAnsiTheme="minorHAnsi"/>
        </w:rPr>
        <w:t xml:space="preserve">We were not involved in the development of the CESS, and </w:t>
      </w:r>
      <w:r>
        <w:rPr>
          <w:rFonts w:asciiTheme="minorHAnsi" w:hAnsiTheme="minorHAnsi"/>
        </w:rPr>
        <w:t xml:space="preserve">TransGrid’s Framework and Approach paper represents our first opportunity to comment on the formulation and application of the scheme. </w:t>
      </w:r>
    </w:p>
    <w:p w14:paraId="21501FA1" w14:textId="77777777" w:rsidR="00867504" w:rsidRDefault="00867504" w:rsidP="00550A88">
      <w:pPr>
        <w:jc w:val="left"/>
        <w:rPr>
          <w:rFonts w:asciiTheme="minorHAnsi" w:hAnsiTheme="minorHAnsi"/>
        </w:rPr>
      </w:pPr>
    </w:p>
    <w:p w14:paraId="19DA2547" w14:textId="77777777" w:rsidR="00550A88" w:rsidRDefault="00452551" w:rsidP="00550A88">
      <w:pPr>
        <w:jc w:val="left"/>
        <w:rPr>
          <w:rFonts w:asciiTheme="minorHAnsi" w:hAnsiTheme="minorHAnsi"/>
        </w:rPr>
      </w:pPr>
      <w:r>
        <w:rPr>
          <w:rFonts w:asciiTheme="minorHAnsi" w:hAnsiTheme="minorHAnsi"/>
        </w:rPr>
        <w:t xml:space="preserve">In our opinion, we think the AER will be best served by addressing the issues raised in this submission through an industry-wide consultation to amend the CESS guideline. In the absence of this, we hope that the comments provided below will assist the AER in applying the current version of the CESS to TransGrid and other network businesses, and </w:t>
      </w:r>
      <w:r w:rsidR="00867504">
        <w:rPr>
          <w:rFonts w:asciiTheme="minorHAnsi" w:hAnsiTheme="minorHAnsi"/>
        </w:rPr>
        <w:t xml:space="preserve">welcome further dialogue or clarification on any </w:t>
      </w:r>
      <w:r>
        <w:rPr>
          <w:rFonts w:asciiTheme="minorHAnsi" w:hAnsiTheme="minorHAnsi"/>
        </w:rPr>
        <w:t>o</w:t>
      </w:r>
      <w:r w:rsidR="00867504">
        <w:rPr>
          <w:rFonts w:asciiTheme="minorHAnsi" w:hAnsiTheme="minorHAnsi"/>
        </w:rPr>
        <w:t>f the matter</w:t>
      </w:r>
      <w:r>
        <w:rPr>
          <w:rFonts w:asciiTheme="minorHAnsi" w:hAnsiTheme="minorHAnsi"/>
        </w:rPr>
        <w:t>s</w:t>
      </w:r>
      <w:r w:rsidR="00867504">
        <w:rPr>
          <w:rFonts w:asciiTheme="minorHAnsi" w:hAnsiTheme="minorHAnsi"/>
        </w:rPr>
        <w:t xml:space="preserve"> raised.</w:t>
      </w:r>
    </w:p>
    <w:p w14:paraId="4C4E86CD" w14:textId="77777777" w:rsidR="007565EA" w:rsidRDefault="007565EA" w:rsidP="00C31C09">
      <w:pPr>
        <w:jc w:val="left"/>
        <w:rPr>
          <w:rFonts w:asciiTheme="minorHAnsi" w:hAnsiTheme="minorHAnsi"/>
        </w:rPr>
        <w:sectPr w:rsidR="007565EA" w:rsidSect="007D66FD">
          <w:headerReference w:type="default" r:id="rId9"/>
          <w:footerReference w:type="default" r:id="rId10"/>
          <w:pgSz w:w="11906" w:h="16838"/>
          <w:pgMar w:top="1418" w:right="1134" w:bottom="851" w:left="1418" w:header="680" w:footer="561" w:gutter="0"/>
          <w:cols w:space="708"/>
          <w:docGrid w:linePitch="360"/>
        </w:sectPr>
      </w:pPr>
    </w:p>
    <w:p w14:paraId="7B9653F1" w14:textId="77777777" w:rsidR="00550A88" w:rsidRDefault="003D4A8C" w:rsidP="002C0756">
      <w:pPr>
        <w:rPr>
          <w:rFonts w:asciiTheme="minorHAnsi" w:hAnsiTheme="minorHAnsi"/>
          <w:b/>
          <w:u w:val="single"/>
        </w:rPr>
      </w:pPr>
      <w:r w:rsidRPr="003D4A8C">
        <w:rPr>
          <w:rFonts w:asciiTheme="minorHAnsi" w:hAnsiTheme="minorHAnsi"/>
          <w:b/>
          <w:u w:val="single"/>
        </w:rPr>
        <w:lastRenderedPageBreak/>
        <w:t>Scheme mechanics and formulation</w:t>
      </w:r>
    </w:p>
    <w:p w14:paraId="511F2CDA" w14:textId="77777777" w:rsidR="003D4A8C" w:rsidRDefault="003D4A8C" w:rsidP="002C0756">
      <w:pPr>
        <w:rPr>
          <w:rFonts w:asciiTheme="minorHAnsi" w:hAnsiTheme="minorHAnsi"/>
          <w:b/>
          <w:u w:val="single"/>
        </w:rPr>
      </w:pPr>
    </w:p>
    <w:p w14:paraId="34087B0B" w14:textId="77777777" w:rsidR="003D4A8C" w:rsidRPr="003D4A8C" w:rsidRDefault="003D4A8C" w:rsidP="003D4A8C">
      <w:pPr>
        <w:pStyle w:val="ListParagraph"/>
        <w:numPr>
          <w:ilvl w:val="0"/>
          <w:numId w:val="32"/>
        </w:numPr>
        <w:ind w:left="720"/>
        <w:rPr>
          <w:b/>
        </w:rPr>
      </w:pPr>
      <w:r w:rsidRPr="003D4A8C">
        <w:rPr>
          <w:b/>
        </w:rPr>
        <w:t>Accounting for benefits and costs already incurred</w:t>
      </w:r>
    </w:p>
    <w:p w14:paraId="4465124A" w14:textId="77777777" w:rsidR="003D4A8C" w:rsidRPr="003D4A8C" w:rsidRDefault="003D4A8C" w:rsidP="003D4A8C">
      <w:pPr>
        <w:jc w:val="left"/>
        <w:rPr>
          <w:rFonts w:asciiTheme="minorHAnsi" w:hAnsiTheme="minorHAnsi"/>
        </w:rPr>
      </w:pPr>
      <w:r w:rsidRPr="003D4A8C">
        <w:rPr>
          <w:rFonts w:asciiTheme="minorHAnsi" w:hAnsiTheme="minorHAnsi"/>
        </w:rPr>
        <w:t xml:space="preserve">The CESS makes an adjustment to the value of incentive payments to account for any benefits and costs that have already accrued to a </w:t>
      </w:r>
      <w:r>
        <w:rPr>
          <w:rFonts w:asciiTheme="minorHAnsi" w:hAnsiTheme="minorHAnsi"/>
        </w:rPr>
        <w:t>network business</w:t>
      </w:r>
      <w:r w:rsidRPr="003D4A8C">
        <w:rPr>
          <w:rFonts w:asciiTheme="minorHAnsi" w:hAnsiTheme="minorHAnsi"/>
        </w:rPr>
        <w:t xml:space="preserve"> during the regulatory control period (the ‘net financing benefit’). However, the approach adopted in the CESS to account for the return on capital for new capex differs from the </w:t>
      </w:r>
      <w:r w:rsidR="00A46D59">
        <w:rPr>
          <w:rFonts w:asciiTheme="minorHAnsi" w:hAnsiTheme="minorHAnsi"/>
        </w:rPr>
        <w:t xml:space="preserve">revenue actually provided </w:t>
      </w:r>
      <w:r w:rsidRPr="003D4A8C">
        <w:rPr>
          <w:rFonts w:asciiTheme="minorHAnsi" w:hAnsiTheme="minorHAnsi"/>
        </w:rPr>
        <w:t xml:space="preserve">by the AER </w:t>
      </w:r>
      <w:r w:rsidR="00A46D59">
        <w:rPr>
          <w:rFonts w:asciiTheme="minorHAnsi" w:hAnsiTheme="minorHAnsi"/>
        </w:rPr>
        <w:t xml:space="preserve">through its </w:t>
      </w:r>
      <w:r w:rsidRPr="003D4A8C">
        <w:rPr>
          <w:rFonts w:asciiTheme="minorHAnsi" w:hAnsiTheme="minorHAnsi"/>
        </w:rPr>
        <w:t>Post Tax Revenue Model (PTRM).</w:t>
      </w:r>
    </w:p>
    <w:p w14:paraId="747B6AAF" w14:textId="77777777" w:rsidR="003D4A8C" w:rsidRDefault="003D4A8C" w:rsidP="003D4A8C">
      <w:pPr>
        <w:jc w:val="left"/>
        <w:rPr>
          <w:rFonts w:asciiTheme="minorHAnsi" w:hAnsiTheme="minorHAnsi"/>
        </w:rPr>
      </w:pPr>
    </w:p>
    <w:p w14:paraId="3DB8B88E" w14:textId="77777777" w:rsidR="00246C09" w:rsidRPr="003D4A8C" w:rsidRDefault="00246C09" w:rsidP="00246C09">
      <w:pPr>
        <w:jc w:val="left"/>
        <w:rPr>
          <w:rFonts w:asciiTheme="minorHAnsi" w:hAnsiTheme="minorHAnsi"/>
        </w:rPr>
      </w:pPr>
      <w:r>
        <w:rPr>
          <w:rFonts w:asciiTheme="minorHAnsi" w:hAnsiTheme="minorHAnsi"/>
        </w:rPr>
        <w:t xml:space="preserve">Specifically, </w:t>
      </w:r>
      <w:r w:rsidRPr="003D4A8C">
        <w:rPr>
          <w:rFonts w:asciiTheme="minorHAnsi" w:hAnsiTheme="minorHAnsi"/>
        </w:rPr>
        <w:t xml:space="preserve">the PTRM provides for a half year return on new capex to be capitalised and recovered over the life of the asset. This is calculated using the specific half vanilla WACC applying to the year in which the expenditure is incurred. This approach means that the return on new capex for the 6-month period before that capex is included in the RAB is not recovered immediately, but rather is recovered over the economic life of the asset through the </w:t>
      </w:r>
      <w:r w:rsidR="008E4B2D">
        <w:rPr>
          <w:rFonts w:asciiTheme="minorHAnsi" w:hAnsiTheme="minorHAnsi"/>
        </w:rPr>
        <w:t>network business</w:t>
      </w:r>
      <w:r w:rsidRPr="003D4A8C">
        <w:rPr>
          <w:rFonts w:asciiTheme="minorHAnsi" w:hAnsiTheme="minorHAnsi"/>
        </w:rPr>
        <w:t xml:space="preserve">’ depreciation allowance. </w:t>
      </w:r>
    </w:p>
    <w:p w14:paraId="728CF886" w14:textId="77777777" w:rsidR="00246C09" w:rsidRDefault="00246C09" w:rsidP="003D4A8C">
      <w:pPr>
        <w:jc w:val="left"/>
        <w:rPr>
          <w:rFonts w:asciiTheme="minorHAnsi" w:hAnsiTheme="minorHAnsi"/>
        </w:rPr>
      </w:pPr>
    </w:p>
    <w:p w14:paraId="25271DD3" w14:textId="77777777" w:rsidR="008E4B2D" w:rsidRPr="008E4B2D" w:rsidRDefault="008E4B2D" w:rsidP="00706EA9">
      <w:pPr>
        <w:jc w:val="left"/>
        <w:rPr>
          <w:rFonts w:asciiTheme="minorHAnsi" w:hAnsiTheme="minorHAnsi"/>
        </w:rPr>
      </w:pPr>
      <w:r w:rsidRPr="003D4A8C">
        <w:rPr>
          <w:rFonts w:asciiTheme="minorHAnsi" w:hAnsiTheme="minorHAnsi"/>
        </w:rPr>
        <w:t xml:space="preserve">In contrast, the </w:t>
      </w:r>
      <w:r>
        <w:rPr>
          <w:rFonts w:asciiTheme="minorHAnsi" w:hAnsiTheme="minorHAnsi"/>
        </w:rPr>
        <w:t xml:space="preserve">CESS </w:t>
      </w:r>
      <w:r w:rsidRPr="003D4A8C">
        <w:rPr>
          <w:rFonts w:asciiTheme="minorHAnsi" w:hAnsiTheme="minorHAnsi"/>
        </w:rPr>
        <w:t xml:space="preserve">assumes that a </w:t>
      </w:r>
      <w:r>
        <w:rPr>
          <w:rFonts w:asciiTheme="minorHAnsi" w:hAnsiTheme="minorHAnsi"/>
        </w:rPr>
        <w:t>network business</w:t>
      </w:r>
      <w:r w:rsidRPr="003D4A8C">
        <w:rPr>
          <w:rFonts w:asciiTheme="minorHAnsi" w:hAnsiTheme="minorHAnsi"/>
        </w:rPr>
        <w:t xml:space="preserve"> will immediately receive the financing benefit of any capex underspend, and immediately incur the financing cost of any capex overspend, for the year in which the capex is incurred. This arises from the equation </w:t>
      </w:r>
      <w:r w:rsidR="00A46D59">
        <w:rPr>
          <w:rFonts w:asciiTheme="minorHAnsi" w:hAnsiTheme="minorHAnsi"/>
        </w:rPr>
        <w:t>set out in section 2.3.3 of the CESS guideline (</w:t>
      </w:r>
      <w:r w:rsidR="000A7F23">
        <w:rPr>
          <w:rFonts w:asciiTheme="minorHAnsi" w:hAnsiTheme="minorHAnsi"/>
        </w:rPr>
        <w:t>2013</w:t>
      </w:r>
      <w:r w:rsidR="00A46D59">
        <w:rPr>
          <w:rFonts w:asciiTheme="minorHAnsi" w:hAnsiTheme="minorHAnsi"/>
        </w:rPr>
        <w:t>)</w:t>
      </w:r>
      <w:r w:rsidRPr="003D4A8C">
        <w:rPr>
          <w:rFonts w:asciiTheme="minorHAnsi" w:hAnsiTheme="minorHAnsi"/>
        </w:rPr>
        <w:t xml:space="preserve"> to calculate the net financing benefit, which assumes that a </w:t>
      </w:r>
      <w:r w:rsidR="00706EA9">
        <w:rPr>
          <w:rFonts w:asciiTheme="minorHAnsi" w:hAnsiTheme="minorHAnsi"/>
        </w:rPr>
        <w:t xml:space="preserve">network business </w:t>
      </w:r>
      <w:r w:rsidRPr="008E4B2D">
        <w:rPr>
          <w:rFonts w:asciiTheme="minorHAnsi" w:hAnsiTheme="minorHAnsi"/>
        </w:rPr>
        <w:t>recovers a half-year financing benefit on the portion of any unspent capex allowance, calculated as a half year return on the value of the underspend, in the year in which the underspend occurs</w:t>
      </w:r>
      <w:r w:rsidR="00706EA9">
        <w:rPr>
          <w:rFonts w:asciiTheme="minorHAnsi" w:hAnsiTheme="minorHAnsi"/>
        </w:rPr>
        <w:t xml:space="preserve"> (an equivalent calculation is applied to any overspend).</w:t>
      </w:r>
    </w:p>
    <w:p w14:paraId="68AFE5C4" w14:textId="77777777" w:rsidR="00246C09" w:rsidRDefault="00246C09" w:rsidP="003D4A8C">
      <w:pPr>
        <w:jc w:val="left"/>
        <w:rPr>
          <w:rFonts w:asciiTheme="minorHAnsi" w:hAnsiTheme="minorHAnsi"/>
        </w:rPr>
      </w:pPr>
    </w:p>
    <w:p w14:paraId="3F0E804C" w14:textId="77777777" w:rsidR="003D4A8C" w:rsidRPr="003D4A8C" w:rsidRDefault="003D4A8C" w:rsidP="003D4A8C">
      <w:pPr>
        <w:jc w:val="left"/>
        <w:rPr>
          <w:rFonts w:asciiTheme="minorHAnsi" w:hAnsiTheme="minorHAnsi"/>
        </w:rPr>
      </w:pPr>
      <w:r w:rsidRPr="003D4A8C">
        <w:rPr>
          <w:rFonts w:asciiTheme="minorHAnsi" w:hAnsiTheme="minorHAnsi"/>
        </w:rPr>
        <w:t xml:space="preserve">The difference in approach between the PTRM and the CESS means that the current formulation </w:t>
      </w:r>
      <w:r w:rsidR="00A46D59">
        <w:rPr>
          <w:rFonts w:asciiTheme="minorHAnsi" w:hAnsiTheme="minorHAnsi"/>
        </w:rPr>
        <w:t xml:space="preserve">incorrectly calculates the </w:t>
      </w:r>
      <w:r w:rsidRPr="003D4A8C">
        <w:rPr>
          <w:rFonts w:asciiTheme="minorHAnsi" w:hAnsiTheme="minorHAnsi"/>
        </w:rPr>
        <w:t xml:space="preserve">net financing benefit </w:t>
      </w:r>
      <w:r w:rsidR="00A46D59">
        <w:rPr>
          <w:rFonts w:asciiTheme="minorHAnsi" w:hAnsiTheme="minorHAnsi"/>
        </w:rPr>
        <w:t xml:space="preserve">(cost) received by </w:t>
      </w:r>
      <w:r w:rsidRPr="003D4A8C">
        <w:rPr>
          <w:rFonts w:asciiTheme="minorHAnsi" w:hAnsiTheme="minorHAnsi"/>
        </w:rPr>
        <w:t xml:space="preserve">a </w:t>
      </w:r>
      <w:r w:rsidR="008E4B2D">
        <w:rPr>
          <w:rFonts w:asciiTheme="minorHAnsi" w:hAnsiTheme="minorHAnsi"/>
        </w:rPr>
        <w:t>network business</w:t>
      </w:r>
      <w:r w:rsidRPr="003D4A8C">
        <w:rPr>
          <w:rFonts w:asciiTheme="minorHAnsi" w:hAnsiTheme="minorHAnsi"/>
        </w:rPr>
        <w:t xml:space="preserve"> </w:t>
      </w:r>
      <w:r w:rsidR="00A46D59">
        <w:rPr>
          <w:rFonts w:asciiTheme="minorHAnsi" w:hAnsiTheme="minorHAnsi"/>
        </w:rPr>
        <w:t>for under (over) spending its capex allowance over a</w:t>
      </w:r>
      <w:r w:rsidRPr="003D4A8C">
        <w:rPr>
          <w:rFonts w:asciiTheme="minorHAnsi" w:hAnsiTheme="minorHAnsi"/>
        </w:rPr>
        <w:t xml:space="preserve"> regulatory control period.</w:t>
      </w:r>
    </w:p>
    <w:p w14:paraId="2A5CB343" w14:textId="77777777" w:rsidR="008E4B2D" w:rsidRDefault="008E4B2D" w:rsidP="003D4A8C">
      <w:pPr>
        <w:jc w:val="left"/>
        <w:rPr>
          <w:rFonts w:asciiTheme="minorHAnsi" w:hAnsiTheme="minorHAnsi"/>
        </w:rPr>
      </w:pPr>
    </w:p>
    <w:p w14:paraId="4155C80A" w14:textId="77777777" w:rsidR="003D4A8C" w:rsidRDefault="008E4B2D" w:rsidP="008E4B2D">
      <w:pPr>
        <w:jc w:val="left"/>
        <w:rPr>
          <w:rFonts w:asciiTheme="minorHAnsi" w:hAnsiTheme="minorHAnsi"/>
        </w:rPr>
      </w:pPr>
      <w:r>
        <w:rPr>
          <w:rFonts w:asciiTheme="minorHAnsi" w:hAnsiTheme="minorHAnsi"/>
        </w:rPr>
        <w:t xml:space="preserve">Western Power supports amending </w:t>
      </w:r>
      <w:r w:rsidR="003D4A8C" w:rsidRPr="003D4A8C">
        <w:rPr>
          <w:rFonts w:asciiTheme="minorHAnsi" w:hAnsiTheme="minorHAnsi"/>
        </w:rPr>
        <w:t>the calculation of the net financing benefit in the CESS to align the treatment of the return on capital for new capex with the approach adopted in the PTRM.</w:t>
      </w:r>
    </w:p>
    <w:p w14:paraId="12E7F20A" w14:textId="77777777" w:rsidR="009501C6" w:rsidRDefault="009501C6" w:rsidP="008E4B2D">
      <w:pPr>
        <w:jc w:val="left"/>
        <w:rPr>
          <w:rFonts w:asciiTheme="minorHAnsi" w:hAnsiTheme="minorHAnsi"/>
        </w:rPr>
      </w:pPr>
    </w:p>
    <w:p w14:paraId="673D2B45" w14:textId="77777777" w:rsidR="009501C6" w:rsidRPr="009501C6" w:rsidRDefault="009501C6" w:rsidP="00410BF7">
      <w:pPr>
        <w:pStyle w:val="ListParagraph"/>
        <w:numPr>
          <w:ilvl w:val="0"/>
          <w:numId w:val="32"/>
        </w:numPr>
        <w:ind w:left="720"/>
        <w:rPr>
          <w:b/>
        </w:rPr>
      </w:pPr>
      <w:r w:rsidRPr="009501C6">
        <w:rPr>
          <w:b/>
        </w:rPr>
        <w:t>Deferral of capex in the current regulatory period</w:t>
      </w:r>
    </w:p>
    <w:p w14:paraId="30B1D467" w14:textId="77777777" w:rsidR="00461B48" w:rsidRDefault="006D436A" w:rsidP="00461B48">
      <w:pPr>
        <w:jc w:val="left"/>
        <w:rPr>
          <w:rFonts w:asciiTheme="minorHAnsi" w:hAnsiTheme="minorHAnsi"/>
        </w:rPr>
      </w:pPr>
      <w:r>
        <w:rPr>
          <w:rFonts w:asciiTheme="minorHAnsi" w:hAnsiTheme="minorHAnsi"/>
        </w:rPr>
        <w:t xml:space="preserve">The CESS allows the AER to make an adjustment to the incentive payment received by a network business when a material amount of capex is deferred from the current regulatory period to the next period. </w:t>
      </w:r>
      <w:r w:rsidR="00F63DA6">
        <w:rPr>
          <w:rFonts w:asciiTheme="minorHAnsi" w:hAnsiTheme="minorHAnsi"/>
        </w:rPr>
        <w:t>In our opinion, application of th</w:t>
      </w:r>
      <w:r w:rsidR="00461B48">
        <w:rPr>
          <w:rFonts w:asciiTheme="minorHAnsi" w:hAnsiTheme="minorHAnsi"/>
        </w:rPr>
        <w:t>is</w:t>
      </w:r>
      <w:r w:rsidR="00F63DA6">
        <w:rPr>
          <w:rFonts w:asciiTheme="minorHAnsi" w:hAnsiTheme="minorHAnsi"/>
        </w:rPr>
        <w:t xml:space="preserve"> adjustment will require the AER to undertake a project level assessment of a network business’ capex profile, contrary to the intention of the NER.</w:t>
      </w:r>
      <w:r w:rsidR="00F63DA6" w:rsidRPr="009501C6">
        <w:rPr>
          <w:rFonts w:asciiTheme="minorHAnsi" w:hAnsiTheme="minorHAnsi"/>
        </w:rPr>
        <w:t xml:space="preserve"> </w:t>
      </w:r>
    </w:p>
    <w:p w14:paraId="312E4132" w14:textId="77777777" w:rsidR="00461B48" w:rsidRDefault="00461B48" w:rsidP="00461B48">
      <w:pPr>
        <w:jc w:val="left"/>
        <w:rPr>
          <w:rFonts w:asciiTheme="minorHAnsi" w:hAnsiTheme="minorHAnsi"/>
        </w:rPr>
      </w:pPr>
    </w:p>
    <w:p w14:paraId="5687E378" w14:textId="77777777" w:rsidR="00461B48" w:rsidRDefault="00461B48" w:rsidP="00461B48">
      <w:pPr>
        <w:jc w:val="left"/>
        <w:rPr>
          <w:rFonts w:asciiTheme="minorHAnsi" w:hAnsiTheme="minorHAnsi"/>
        </w:rPr>
      </w:pPr>
      <w:r>
        <w:rPr>
          <w:rFonts w:asciiTheme="minorHAnsi" w:hAnsiTheme="minorHAnsi"/>
        </w:rPr>
        <w:t xml:space="preserve">Under the CESS guideline, if the AER determines that an adjustment for deferred capex should be made, it must: </w:t>
      </w:r>
      <w:r w:rsidRPr="009501C6">
        <w:rPr>
          <w:rFonts w:asciiTheme="minorHAnsi" w:hAnsiTheme="minorHAnsi"/>
        </w:rPr>
        <w:t>(a) identify capex in the current period that has deferred to the next period; (b) determine the value of this deferred capex in the next period; (c) discount this amount to present value terms</w:t>
      </w:r>
      <w:r>
        <w:rPr>
          <w:rFonts w:asciiTheme="minorHAnsi" w:hAnsiTheme="minorHAnsi"/>
        </w:rPr>
        <w:t>; and (d) sub</w:t>
      </w:r>
      <w:r w:rsidR="00706EA9">
        <w:rPr>
          <w:rFonts w:asciiTheme="minorHAnsi" w:hAnsiTheme="minorHAnsi"/>
        </w:rPr>
        <w:t>tract</w:t>
      </w:r>
      <w:r>
        <w:rPr>
          <w:rFonts w:asciiTheme="minorHAnsi" w:hAnsiTheme="minorHAnsi"/>
        </w:rPr>
        <w:t xml:space="preserve"> this from the total efficiency gain calculated for the current period</w:t>
      </w:r>
      <w:r w:rsidRPr="009501C6">
        <w:rPr>
          <w:rFonts w:asciiTheme="minorHAnsi" w:hAnsiTheme="minorHAnsi"/>
        </w:rPr>
        <w:t xml:space="preserve">. </w:t>
      </w:r>
      <w:r>
        <w:rPr>
          <w:rFonts w:asciiTheme="minorHAnsi" w:hAnsiTheme="minorHAnsi"/>
        </w:rPr>
        <w:t xml:space="preserve">To give effect to this, a network business would need to provide </w:t>
      </w:r>
      <w:r w:rsidRPr="009501C6">
        <w:rPr>
          <w:rFonts w:asciiTheme="minorHAnsi" w:hAnsiTheme="minorHAnsi"/>
        </w:rPr>
        <w:t xml:space="preserve">a list of all capex projects that it had intended to undertake in the current period, but which have instead been deferred to a later regulatory control period. </w:t>
      </w:r>
    </w:p>
    <w:p w14:paraId="362E574C" w14:textId="77777777" w:rsidR="00461B48" w:rsidRDefault="00461B48" w:rsidP="00461B48">
      <w:pPr>
        <w:jc w:val="left"/>
        <w:rPr>
          <w:rFonts w:asciiTheme="minorHAnsi" w:hAnsiTheme="minorHAnsi"/>
        </w:rPr>
      </w:pPr>
    </w:p>
    <w:p w14:paraId="2AD7DD3F" w14:textId="77777777" w:rsidR="009501C6" w:rsidRPr="009501C6" w:rsidRDefault="00461B48" w:rsidP="009501C6">
      <w:pPr>
        <w:jc w:val="left"/>
        <w:rPr>
          <w:rFonts w:asciiTheme="minorHAnsi" w:hAnsiTheme="minorHAnsi"/>
        </w:rPr>
      </w:pPr>
      <w:r>
        <w:rPr>
          <w:rFonts w:asciiTheme="minorHAnsi" w:hAnsiTheme="minorHAnsi"/>
        </w:rPr>
        <w:t>U</w:t>
      </w:r>
      <w:r w:rsidR="009501C6" w:rsidRPr="009501C6">
        <w:rPr>
          <w:rFonts w:asciiTheme="minorHAnsi" w:hAnsiTheme="minorHAnsi"/>
        </w:rPr>
        <w:t xml:space="preserve">nder the NER, the AER is </w:t>
      </w:r>
      <w:r w:rsidR="00706EA9">
        <w:rPr>
          <w:rFonts w:asciiTheme="minorHAnsi" w:hAnsiTheme="minorHAnsi"/>
        </w:rPr>
        <w:t xml:space="preserve">only </w:t>
      </w:r>
      <w:r w:rsidR="009501C6" w:rsidRPr="009501C6">
        <w:rPr>
          <w:rFonts w:asciiTheme="minorHAnsi" w:hAnsiTheme="minorHAnsi"/>
        </w:rPr>
        <w:t xml:space="preserve">required to determine a </w:t>
      </w:r>
      <w:r>
        <w:rPr>
          <w:rFonts w:asciiTheme="minorHAnsi" w:hAnsiTheme="minorHAnsi"/>
        </w:rPr>
        <w:t>network business</w:t>
      </w:r>
      <w:r w:rsidR="009501C6" w:rsidRPr="009501C6">
        <w:rPr>
          <w:rFonts w:asciiTheme="minorHAnsi" w:hAnsiTheme="minorHAnsi"/>
        </w:rPr>
        <w:t xml:space="preserve"> total forecast capex for the next regulatory control period. The AER is not required to approve the subcomponents of this budget, such as individual projects or programs. The prioritisation of particular capital investments during the regulatory control period remains in the hands of a </w:t>
      </w:r>
      <w:r>
        <w:rPr>
          <w:rFonts w:asciiTheme="minorHAnsi" w:hAnsiTheme="minorHAnsi"/>
        </w:rPr>
        <w:t>network business</w:t>
      </w:r>
      <w:r w:rsidR="009501C6" w:rsidRPr="009501C6">
        <w:rPr>
          <w:rFonts w:asciiTheme="minorHAnsi" w:hAnsiTheme="minorHAnsi"/>
        </w:rPr>
        <w:t xml:space="preserve">, and it is open for </w:t>
      </w:r>
      <w:r>
        <w:rPr>
          <w:rFonts w:asciiTheme="minorHAnsi" w:hAnsiTheme="minorHAnsi"/>
        </w:rPr>
        <w:t>the network</w:t>
      </w:r>
      <w:r w:rsidR="00706EA9">
        <w:rPr>
          <w:rFonts w:asciiTheme="minorHAnsi" w:hAnsiTheme="minorHAnsi"/>
        </w:rPr>
        <w:t xml:space="preserve"> </w:t>
      </w:r>
      <w:r w:rsidR="009501C6" w:rsidRPr="009501C6">
        <w:rPr>
          <w:rFonts w:asciiTheme="minorHAnsi" w:hAnsiTheme="minorHAnsi"/>
        </w:rPr>
        <w:t xml:space="preserve">to change its capex program during the course of a regulatory control period in response to actual circumstances. </w:t>
      </w:r>
      <w:r>
        <w:rPr>
          <w:rFonts w:asciiTheme="minorHAnsi" w:hAnsiTheme="minorHAnsi"/>
        </w:rPr>
        <w:t>However, t</w:t>
      </w:r>
      <w:r w:rsidRPr="009501C6">
        <w:rPr>
          <w:rFonts w:asciiTheme="minorHAnsi" w:hAnsiTheme="minorHAnsi"/>
        </w:rPr>
        <w:t xml:space="preserve">he </w:t>
      </w:r>
      <w:r>
        <w:rPr>
          <w:rFonts w:asciiTheme="minorHAnsi" w:hAnsiTheme="minorHAnsi"/>
        </w:rPr>
        <w:t xml:space="preserve">adjustment for deferred capex in the CESS guideline </w:t>
      </w:r>
      <w:r w:rsidRPr="009501C6">
        <w:rPr>
          <w:rFonts w:asciiTheme="minorHAnsi" w:hAnsiTheme="minorHAnsi"/>
        </w:rPr>
        <w:t>creates a risk that the AER will be overly focussed on specific projects rather than an overall allowance</w:t>
      </w:r>
      <w:r>
        <w:rPr>
          <w:rFonts w:asciiTheme="minorHAnsi" w:hAnsiTheme="minorHAnsi"/>
        </w:rPr>
        <w:t>.</w:t>
      </w:r>
    </w:p>
    <w:p w14:paraId="364F7D2C" w14:textId="77777777" w:rsidR="00B50E69" w:rsidRDefault="00B50E69" w:rsidP="009501C6">
      <w:pPr>
        <w:jc w:val="left"/>
        <w:rPr>
          <w:rFonts w:asciiTheme="minorHAnsi" w:hAnsiTheme="minorHAnsi"/>
        </w:rPr>
      </w:pPr>
    </w:p>
    <w:p w14:paraId="2281DF2C" w14:textId="77777777" w:rsidR="009501C6" w:rsidRDefault="00B50E69" w:rsidP="009501C6">
      <w:pPr>
        <w:jc w:val="left"/>
        <w:rPr>
          <w:rFonts w:asciiTheme="minorHAnsi" w:hAnsiTheme="minorHAnsi"/>
        </w:rPr>
      </w:pPr>
      <w:r>
        <w:rPr>
          <w:rFonts w:asciiTheme="minorHAnsi" w:hAnsiTheme="minorHAnsi"/>
        </w:rPr>
        <w:t>Western Power seeks clarification from t</w:t>
      </w:r>
      <w:r w:rsidR="009501C6" w:rsidRPr="009501C6">
        <w:rPr>
          <w:rFonts w:asciiTheme="minorHAnsi" w:hAnsiTheme="minorHAnsi"/>
        </w:rPr>
        <w:t xml:space="preserve">he AER </w:t>
      </w:r>
      <w:r>
        <w:rPr>
          <w:rFonts w:asciiTheme="minorHAnsi" w:hAnsiTheme="minorHAnsi"/>
        </w:rPr>
        <w:t>on</w:t>
      </w:r>
      <w:r w:rsidR="009501C6" w:rsidRPr="009501C6">
        <w:rPr>
          <w:rFonts w:asciiTheme="minorHAnsi" w:hAnsiTheme="minorHAnsi"/>
        </w:rPr>
        <w:t xml:space="preserve"> its approach to identifying deferred capex projects, and calculating the value of the CESS adjustment for deferr</w:t>
      </w:r>
      <w:r>
        <w:rPr>
          <w:rFonts w:asciiTheme="minorHAnsi" w:hAnsiTheme="minorHAnsi"/>
        </w:rPr>
        <w:t>ed</w:t>
      </w:r>
      <w:r w:rsidR="009501C6" w:rsidRPr="009501C6">
        <w:rPr>
          <w:rFonts w:asciiTheme="minorHAnsi" w:hAnsiTheme="minorHAnsi"/>
        </w:rPr>
        <w:t xml:space="preserve"> capex.</w:t>
      </w:r>
    </w:p>
    <w:p w14:paraId="6B5B5AD2" w14:textId="77777777" w:rsidR="00706EA9" w:rsidRDefault="00706EA9" w:rsidP="009501C6">
      <w:pPr>
        <w:jc w:val="left"/>
        <w:rPr>
          <w:rFonts w:asciiTheme="minorHAnsi" w:hAnsiTheme="minorHAnsi"/>
        </w:rPr>
      </w:pPr>
    </w:p>
    <w:p w14:paraId="2AB82134" w14:textId="77777777" w:rsidR="00706EA9" w:rsidRPr="009501C6" w:rsidRDefault="00706EA9" w:rsidP="009501C6">
      <w:pPr>
        <w:jc w:val="left"/>
        <w:rPr>
          <w:rFonts w:asciiTheme="minorHAnsi" w:hAnsiTheme="minorHAnsi"/>
        </w:rPr>
      </w:pPr>
    </w:p>
    <w:p w14:paraId="74DE858E" w14:textId="77777777" w:rsidR="00E74106" w:rsidRPr="00E74106" w:rsidRDefault="00E74106" w:rsidP="00E74106">
      <w:pPr>
        <w:pStyle w:val="ListParagraph"/>
        <w:numPr>
          <w:ilvl w:val="0"/>
          <w:numId w:val="32"/>
        </w:numPr>
        <w:ind w:left="720"/>
        <w:rPr>
          <w:b/>
        </w:rPr>
      </w:pPr>
      <w:r w:rsidRPr="00E74106">
        <w:rPr>
          <w:b/>
        </w:rPr>
        <w:t>Bringing forward capex into the current regulatory period</w:t>
      </w:r>
    </w:p>
    <w:p w14:paraId="17B6853C" w14:textId="77777777" w:rsidR="00E74106" w:rsidRPr="00E74106" w:rsidRDefault="00E74106" w:rsidP="00E74106">
      <w:pPr>
        <w:jc w:val="left"/>
        <w:rPr>
          <w:rFonts w:asciiTheme="minorHAnsi" w:hAnsiTheme="minorHAnsi"/>
        </w:rPr>
      </w:pPr>
      <w:r w:rsidRPr="00E74106">
        <w:rPr>
          <w:rFonts w:asciiTheme="minorHAnsi" w:hAnsiTheme="minorHAnsi"/>
        </w:rPr>
        <w:t xml:space="preserve">The CESS guideline makes no provision for when capex is efficiently brought forward into the current regulatory period. Under the current version of the scheme, bringing forward capex may result in a CESS penalty if it results in the </w:t>
      </w:r>
      <w:r>
        <w:rPr>
          <w:rFonts w:asciiTheme="minorHAnsi" w:hAnsiTheme="minorHAnsi"/>
        </w:rPr>
        <w:t>network business</w:t>
      </w:r>
      <w:r w:rsidRPr="00E74106">
        <w:rPr>
          <w:rFonts w:asciiTheme="minorHAnsi" w:hAnsiTheme="minorHAnsi"/>
        </w:rPr>
        <w:t xml:space="preserve"> spending more than its forecast capex allowance in the current period. This provides a disincentive to bring forward capex, even when it would be efficient to do so (due to, for instance, unanticipated increases in network demand or connections). </w:t>
      </w:r>
    </w:p>
    <w:p w14:paraId="502210CF" w14:textId="77777777" w:rsidR="00E74106" w:rsidRDefault="00E74106" w:rsidP="00E74106">
      <w:pPr>
        <w:jc w:val="left"/>
        <w:rPr>
          <w:rFonts w:asciiTheme="minorHAnsi" w:hAnsiTheme="minorHAnsi"/>
        </w:rPr>
      </w:pPr>
    </w:p>
    <w:p w14:paraId="45EBB003" w14:textId="5F1B0821" w:rsidR="00E74106" w:rsidRDefault="00E74106" w:rsidP="00E74106">
      <w:pPr>
        <w:jc w:val="left"/>
        <w:rPr>
          <w:rFonts w:asciiTheme="minorHAnsi" w:hAnsiTheme="minorHAnsi"/>
        </w:rPr>
      </w:pPr>
      <w:r w:rsidRPr="00E74106">
        <w:rPr>
          <w:rFonts w:asciiTheme="minorHAnsi" w:hAnsiTheme="minorHAnsi"/>
        </w:rPr>
        <w:t>As noted in the preceding section, the AER may adjust the efficiency benefit/loss for deferred capex. The impact of these provisions is that the efficiency calculations only reflect the benefit that a</w:t>
      </w:r>
      <w:r>
        <w:rPr>
          <w:rFonts w:asciiTheme="minorHAnsi" w:hAnsiTheme="minorHAnsi"/>
        </w:rPr>
        <w:t xml:space="preserve"> network business</w:t>
      </w:r>
      <w:r w:rsidRPr="00E74106">
        <w:rPr>
          <w:rFonts w:asciiTheme="minorHAnsi" w:hAnsiTheme="minorHAnsi"/>
        </w:rPr>
        <w:t xml:space="preserve"> receives from deferring capex (the time value of money), as distinct from the full value of the deferred capex. </w:t>
      </w:r>
      <w:r w:rsidR="00490D4A">
        <w:rPr>
          <w:rFonts w:asciiTheme="minorHAnsi" w:hAnsiTheme="minorHAnsi"/>
        </w:rPr>
        <w:t>In our view, a</w:t>
      </w:r>
      <w:r w:rsidRPr="00E74106">
        <w:rPr>
          <w:rFonts w:asciiTheme="minorHAnsi" w:hAnsiTheme="minorHAnsi"/>
        </w:rPr>
        <w:t xml:space="preserve">n equivalent provision should be included to address the situation where capex is brought forward – that is, the cost of bringing forward capex should not reflect the full value of that capex, </w:t>
      </w:r>
      <w:r w:rsidR="00490D4A">
        <w:rPr>
          <w:rFonts w:asciiTheme="minorHAnsi" w:hAnsiTheme="minorHAnsi"/>
        </w:rPr>
        <w:t>but only</w:t>
      </w:r>
      <w:r w:rsidRPr="00E74106">
        <w:rPr>
          <w:rFonts w:asciiTheme="minorHAnsi" w:hAnsiTheme="minorHAnsi"/>
        </w:rPr>
        <w:t xml:space="preserve"> the time value of money associated with undertak</w:t>
      </w:r>
      <w:r w:rsidR="00490D4A">
        <w:rPr>
          <w:rFonts w:asciiTheme="minorHAnsi" w:hAnsiTheme="minorHAnsi"/>
        </w:rPr>
        <w:t>ing</w:t>
      </w:r>
      <w:r w:rsidRPr="00E74106">
        <w:rPr>
          <w:rFonts w:asciiTheme="minorHAnsi" w:hAnsiTheme="minorHAnsi"/>
        </w:rPr>
        <w:t xml:space="preserve"> the expenditure earlier </w:t>
      </w:r>
      <w:r w:rsidR="00490D4A" w:rsidRPr="00E74106">
        <w:rPr>
          <w:rFonts w:asciiTheme="minorHAnsi" w:hAnsiTheme="minorHAnsi"/>
        </w:rPr>
        <w:t>than</w:t>
      </w:r>
      <w:r w:rsidRPr="00E74106">
        <w:rPr>
          <w:rFonts w:asciiTheme="minorHAnsi" w:hAnsiTheme="minorHAnsi"/>
        </w:rPr>
        <w:t xml:space="preserve"> expected.</w:t>
      </w:r>
    </w:p>
    <w:p w14:paraId="7DCC429F" w14:textId="77777777" w:rsidR="00490D4A" w:rsidRDefault="00490D4A" w:rsidP="00E74106">
      <w:pPr>
        <w:rPr>
          <w:b/>
        </w:rPr>
      </w:pPr>
    </w:p>
    <w:p w14:paraId="2024BE4E" w14:textId="77777777" w:rsidR="00E74106" w:rsidRPr="00490D4A" w:rsidRDefault="00490D4A" w:rsidP="00490D4A">
      <w:pPr>
        <w:jc w:val="left"/>
        <w:rPr>
          <w:rFonts w:asciiTheme="minorHAnsi" w:hAnsiTheme="minorHAnsi"/>
        </w:rPr>
      </w:pPr>
      <w:r w:rsidRPr="00490D4A">
        <w:rPr>
          <w:rFonts w:asciiTheme="minorHAnsi" w:hAnsiTheme="minorHAnsi"/>
        </w:rPr>
        <w:t xml:space="preserve">Western Power seeks clarification from the AER on its </w:t>
      </w:r>
      <w:r w:rsidR="00E74106" w:rsidRPr="00490D4A">
        <w:rPr>
          <w:rFonts w:asciiTheme="minorHAnsi" w:hAnsiTheme="minorHAnsi"/>
        </w:rPr>
        <w:t xml:space="preserve">approach to calculating the efficiency benefit or loss in circumstances where a </w:t>
      </w:r>
      <w:r>
        <w:rPr>
          <w:rFonts w:asciiTheme="minorHAnsi" w:hAnsiTheme="minorHAnsi"/>
        </w:rPr>
        <w:t>network business</w:t>
      </w:r>
      <w:r w:rsidR="00E74106" w:rsidRPr="00490D4A">
        <w:rPr>
          <w:rFonts w:asciiTheme="minorHAnsi" w:hAnsiTheme="minorHAnsi"/>
        </w:rPr>
        <w:t xml:space="preserve"> has efficiently brought forward capex into the current regulatory control period.</w:t>
      </w:r>
    </w:p>
    <w:p w14:paraId="3CA5896F" w14:textId="77777777" w:rsidR="00E74106" w:rsidRDefault="00E74106" w:rsidP="00E74106">
      <w:pPr>
        <w:jc w:val="left"/>
        <w:rPr>
          <w:rFonts w:asciiTheme="minorHAnsi" w:hAnsiTheme="minorHAnsi"/>
        </w:rPr>
      </w:pPr>
    </w:p>
    <w:p w14:paraId="35962BA9" w14:textId="77777777" w:rsidR="00104545" w:rsidRPr="00104545" w:rsidRDefault="00104545" w:rsidP="00104545">
      <w:pPr>
        <w:pStyle w:val="ListParagraph"/>
        <w:numPr>
          <w:ilvl w:val="0"/>
          <w:numId w:val="32"/>
        </w:numPr>
        <w:ind w:left="720"/>
        <w:rPr>
          <w:b/>
        </w:rPr>
      </w:pPr>
      <w:r w:rsidRPr="00104545">
        <w:rPr>
          <w:b/>
        </w:rPr>
        <w:t>Deferral of capex in subsequent regulatory periods</w:t>
      </w:r>
    </w:p>
    <w:p w14:paraId="5D15BF0B" w14:textId="77777777" w:rsidR="00104545" w:rsidRDefault="00104545" w:rsidP="00104545">
      <w:pPr>
        <w:jc w:val="left"/>
        <w:rPr>
          <w:rFonts w:asciiTheme="minorHAnsi" w:hAnsiTheme="minorHAnsi"/>
        </w:rPr>
      </w:pPr>
      <w:r w:rsidRPr="00104545">
        <w:rPr>
          <w:rFonts w:asciiTheme="minorHAnsi" w:hAnsiTheme="minorHAnsi"/>
        </w:rPr>
        <w:t xml:space="preserve">The current CESS will only reward a </w:t>
      </w:r>
      <w:r>
        <w:rPr>
          <w:rFonts w:asciiTheme="minorHAnsi" w:hAnsiTheme="minorHAnsi"/>
        </w:rPr>
        <w:t>network business</w:t>
      </w:r>
      <w:r w:rsidRPr="00104545">
        <w:rPr>
          <w:rFonts w:asciiTheme="minorHAnsi" w:hAnsiTheme="minorHAnsi"/>
        </w:rPr>
        <w:t xml:space="preserve"> if its actual level of capex in the current regulatory control period is less than its capex allowance approved by the AER for that period. The CESS does not reward </w:t>
      </w:r>
      <w:r>
        <w:rPr>
          <w:rFonts w:asciiTheme="minorHAnsi" w:hAnsiTheme="minorHAnsi"/>
        </w:rPr>
        <w:t>network businesses</w:t>
      </w:r>
      <w:r w:rsidRPr="00104545">
        <w:rPr>
          <w:rFonts w:asciiTheme="minorHAnsi" w:hAnsiTheme="minorHAnsi"/>
        </w:rPr>
        <w:t xml:space="preserve"> for the deferment of </w:t>
      </w:r>
      <w:r>
        <w:rPr>
          <w:rFonts w:asciiTheme="minorHAnsi" w:hAnsiTheme="minorHAnsi"/>
        </w:rPr>
        <w:t>capital expenditure</w:t>
      </w:r>
      <w:r w:rsidRPr="00104545">
        <w:rPr>
          <w:rFonts w:asciiTheme="minorHAnsi" w:hAnsiTheme="minorHAnsi"/>
        </w:rPr>
        <w:t xml:space="preserve"> in subsequent regulatory periods that occur as a result of actions taken by the </w:t>
      </w:r>
      <w:r>
        <w:rPr>
          <w:rFonts w:asciiTheme="minorHAnsi" w:hAnsiTheme="minorHAnsi"/>
        </w:rPr>
        <w:t>network</w:t>
      </w:r>
      <w:r w:rsidRPr="00104545">
        <w:rPr>
          <w:rFonts w:asciiTheme="minorHAnsi" w:hAnsiTheme="minorHAnsi"/>
        </w:rPr>
        <w:t xml:space="preserve"> in the current regulatory period. </w:t>
      </w:r>
    </w:p>
    <w:p w14:paraId="264F023B" w14:textId="77777777" w:rsidR="00104545" w:rsidRDefault="00104545" w:rsidP="00104545">
      <w:pPr>
        <w:jc w:val="left"/>
        <w:rPr>
          <w:rFonts w:asciiTheme="minorHAnsi" w:hAnsiTheme="minorHAnsi"/>
        </w:rPr>
      </w:pPr>
    </w:p>
    <w:p w14:paraId="4015673A" w14:textId="77777777" w:rsidR="00104545" w:rsidRPr="00104545" w:rsidRDefault="00104545" w:rsidP="00104545">
      <w:pPr>
        <w:jc w:val="left"/>
        <w:rPr>
          <w:rFonts w:asciiTheme="minorHAnsi" w:hAnsiTheme="minorHAnsi"/>
        </w:rPr>
      </w:pPr>
      <w:r w:rsidRPr="00104545">
        <w:rPr>
          <w:rFonts w:asciiTheme="minorHAnsi" w:hAnsiTheme="minorHAnsi"/>
        </w:rPr>
        <w:t xml:space="preserve">As such, a </w:t>
      </w:r>
      <w:r>
        <w:rPr>
          <w:rFonts w:asciiTheme="minorHAnsi" w:hAnsiTheme="minorHAnsi"/>
        </w:rPr>
        <w:t>network business</w:t>
      </w:r>
      <w:r w:rsidRPr="00104545">
        <w:rPr>
          <w:rFonts w:asciiTheme="minorHAnsi" w:hAnsiTheme="minorHAnsi"/>
        </w:rPr>
        <w:t xml:space="preserve"> that implements minor capital works or a demand management program in the current regulatory period </w:t>
      </w:r>
      <w:r w:rsidR="00CD4E6A">
        <w:rPr>
          <w:rFonts w:asciiTheme="minorHAnsi" w:hAnsiTheme="minorHAnsi"/>
        </w:rPr>
        <w:t>may</w:t>
      </w:r>
      <w:r w:rsidRPr="00104545">
        <w:rPr>
          <w:rFonts w:asciiTheme="minorHAnsi" w:hAnsiTheme="minorHAnsi"/>
        </w:rPr>
        <w:t xml:space="preserve"> not receive a reward under the CESS if that program defers network investment in a subsequent regulatory period, or results in a trigger for a contingent project being deferred to the next period.</w:t>
      </w:r>
      <w:r w:rsidR="00CD4E6A">
        <w:rPr>
          <w:rFonts w:asciiTheme="minorHAnsi" w:hAnsiTheme="minorHAnsi"/>
        </w:rPr>
        <w:t xml:space="preserve"> If the demand management program results in the network business over-spending its opex allowance, the business will incur an EBSS penalty for the overspend, but will not receive a corresponding CESS reward since </w:t>
      </w:r>
      <w:r w:rsidR="00CD4E6A" w:rsidRPr="00104545">
        <w:rPr>
          <w:rFonts w:asciiTheme="minorHAnsi" w:hAnsiTheme="minorHAnsi"/>
        </w:rPr>
        <w:t xml:space="preserve">any deferred capex in the next regulatory period would be captured through a reduction in the </w:t>
      </w:r>
      <w:r w:rsidR="00CD4E6A">
        <w:rPr>
          <w:rFonts w:asciiTheme="minorHAnsi" w:hAnsiTheme="minorHAnsi"/>
        </w:rPr>
        <w:t>network</w:t>
      </w:r>
      <w:r w:rsidR="00CD4E6A" w:rsidRPr="00104545">
        <w:rPr>
          <w:rFonts w:asciiTheme="minorHAnsi" w:hAnsiTheme="minorHAnsi"/>
        </w:rPr>
        <w:t>’s capex allowance</w:t>
      </w:r>
      <w:r w:rsidR="00CD4E6A">
        <w:rPr>
          <w:rFonts w:asciiTheme="minorHAnsi" w:hAnsiTheme="minorHAnsi"/>
        </w:rPr>
        <w:t xml:space="preserve">. </w:t>
      </w:r>
    </w:p>
    <w:p w14:paraId="1025F517" w14:textId="77777777" w:rsidR="00104545" w:rsidRDefault="00104545" w:rsidP="00104545">
      <w:pPr>
        <w:jc w:val="left"/>
        <w:rPr>
          <w:rFonts w:asciiTheme="minorHAnsi" w:hAnsiTheme="minorHAnsi"/>
        </w:rPr>
      </w:pPr>
    </w:p>
    <w:p w14:paraId="1B381EBE" w14:textId="77777777" w:rsidR="00CD4E6A" w:rsidRPr="00104545" w:rsidRDefault="00104545" w:rsidP="00CD4E6A">
      <w:pPr>
        <w:jc w:val="left"/>
        <w:rPr>
          <w:rFonts w:asciiTheme="minorHAnsi" w:hAnsiTheme="minorHAnsi"/>
        </w:rPr>
      </w:pPr>
      <w:r w:rsidRPr="00104545">
        <w:rPr>
          <w:rFonts w:asciiTheme="minorHAnsi" w:hAnsiTheme="minorHAnsi"/>
        </w:rPr>
        <w:t xml:space="preserve">This omission may create incentives that are inconsistent with the NEO. </w:t>
      </w:r>
      <w:r w:rsidR="00CD4E6A">
        <w:rPr>
          <w:rFonts w:asciiTheme="minorHAnsi" w:hAnsiTheme="minorHAnsi"/>
        </w:rPr>
        <w:t>For instance, a network business</w:t>
      </w:r>
      <w:r w:rsidR="00CD4E6A" w:rsidRPr="00104545">
        <w:rPr>
          <w:rFonts w:asciiTheme="minorHAnsi" w:hAnsiTheme="minorHAnsi"/>
        </w:rPr>
        <w:t xml:space="preserve"> may be inclined to defer an efficient demand management program until the next regulatory period, if that program defers capex in the next regulatory period (or defers a larger amount of capex in the next period, vis-à-vis any capex that may be deferred in the current period). This outcome is more likely at the end of a regulatory period, where the implementation of demand management programs has a greater likelihood of deferring capex in the next regulatory period than in the current period.</w:t>
      </w:r>
    </w:p>
    <w:p w14:paraId="53001904" w14:textId="77777777" w:rsidR="00104545" w:rsidRDefault="00104545" w:rsidP="00104545">
      <w:pPr>
        <w:jc w:val="left"/>
        <w:rPr>
          <w:rFonts w:asciiTheme="minorHAnsi" w:hAnsiTheme="minorHAnsi"/>
        </w:rPr>
      </w:pPr>
    </w:p>
    <w:p w14:paraId="45CC9EEC" w14:textId="77777777" w:rsidR="00104545" w:rsidRDefault="00CD4E6A" w:rsidP="00CD4E6A">
      <w:pPr>
        <w:jc w:val="left"/>
        <w:rPr>
          <w:rFonts w:asciiTheme="minorHAnsi" w:hAnsiTheme="minorHAnsi"/>
        </w:rPr>
      </w:pPr>
      <w:r>
        <w:rPr>
          <w:rFonts w:asciiTheme="minorHAnsi" w:hAnsiTheme="minorHAnsi"/>
        </w:rPr>
        <w:t xml:space="preserve">Western Power supports amending </w:t>
      </w:r>
      <w:r w:rsidR="00104545" w:rsidRPr="00CD4E6A">
        <w:rPr>
          <w:rFonts w:asciiTheme="minorHAnsi" w:hAnsiTheme="minorHAnsi"/>
        </w:rPr>
        <w:t xml:space="preserve">the calculation of efficiency gains to account for the deferment of </w:t>
      </w:r>
      <w:r>
        <w:rPr>
          <w:rFonts w:asciiTheme="minorHAnsi" w:hAnsiTheme="minorHAnsi"/>
        </w:rPr>
        <w:t>capex</w:t>
      </w:r>
      <w:r w:rsidR="00104545" w:rsidRPr="00CD4E6A">
        <w:rPr>
          <w:rFonts w:asciiTheme="minorHAnsi" w:hAnsiTheme="minorHAnsi"/>
        </w:rPr>
        <w:t xml:space="preserve"> in subsequent regulatory periods that occur as a result of actions taken by </w:t>
      </w:r>
      <w:r>
        <w:rPr>
          <w:rFonts w:asciiTheme="minorHAnsi" w:hAnsiTheme="minorHAnsi"/>
        </w:rPr>
        <w:t>a network business</w:t>
      </w:r>
      <w:r w:rsidR="00104545" w:rsidRPr="00CD4E6A">
        <w:rPr>
          <w:rFonts w:asciiTheme="minorHAnsi" w:hAnsiTheme="minorHAnsi"/>
        </w:rPr>
        <w:t xml:space="preserve"> in the current regulatory period.</w:t>
      </w:r>
    </w:p>
    <w:p w14:paraId="55F98FDC" w14:textId="77777777" w:rsidR="00733BF5" w:rsidRDefault="00733BF5" w:rsidP="00733BF5">
      <w:pPr>
        <w:jc w:val="left"/>
        <w:rPr>
          <w:rFonts w:asciiTheme="minorHAnsi" w:hAnsiTheme="minorHAnsi"/>
        </w:rPr>
      </w:pPr>
    </w:p>
    <w:p w14:paraId="6210D9BD" w14:textId="77777777" w:rsidR="00733BF5" w:rsidRPr="00733BF5" w:rsidRDefault="00733BF5" w:rsidP="00733BF5">
      <w:pPr>
        <w:pStyle w:val="ListParagraph"/>
        <w:numPr>
          <w:ilvl w:val="0"/>
          <w:numId w:val="32"/>
        </w:numPr>
        <w:ind w:left="720"/>
        <w:rPr>
          <w:b/>
        </w:rPr>
      </w:pPr>
      <w:r w:rsidRPr="00733BF5">
        <w:rPr>
          <w:b/>
        </w:rPr>
        <w:t>The appropriate rate of return</w:t>
      </w:r>
    </w:p>
    <w:p w14:paraId="3B7E1A4D" w14:textId="77777777" w:rsidR="00733BF5" w:rsidRDefault="00733BF5" w:rsidP="00733BF5">
      <w:pPr>
        <w:jc w:val="left"/>
        <w:rPr>
          <w:rFonts w:asciiTheme="minorHAnsi" w:hAnsiTheme="minorHAnsi"/>
        </w:rPr>
      </w:pPr>
      <w:r w:rsidRPr="00733BF5">
        <w:rPr>
          <w:rFonts w:asciiTheme="minorHAnsi" w:hAnsiTheme="minorHAnsi"/>
        </w:rPr>
        <w:t xml:space="preserve">The CESS assumes that </w:t>
      </w:r>
      <w:r>
        <w:rPr>
          <w:rFonts w:asciiTheme="minorHAnsi" w:hAnsiTheme="minorHAnsi"/>
        </w:rPr>
        <w:t>a network business</w:t>
      </w:r>
      <w:r w:rsidRPr="00733BF5">
        <w:rPr>
          <w:rFonts w:asciiTheme="minorHAnsi" w:hAnsiTheme="minorHAnsi"/>
        </w:rPr>
        <w:t xml:space="preserve"> will earn a nominal rate of return on its capex. However, under the PTRM, a </w:t>
      </w:r>
      <w:r>
        <w:rPr>
          <w:rFonts w:asciiTheme="minorHAnsi" w:hAnsiTheme="minorHAnsi"/>
        </w:rPr>
        <w:t>network’s</w:t>
      </w:r>
      <w:r w:rsidRPr="00733BF5">
        <w:rPr>
          <w:rFonts w:asciiTheme="minorHAnsi" w:hAnsiTheme="minorHAnsi"/>
        </w:rPr>
        <w:t xml:space="preserve"> revenues only effectively include a real rate of return on assets, with the indexation of the RAB compensating the </w:t>
      </w:r>
      <w:r>
        <w:rPr>
          <w:rFonts w:asciiTheme="minorHAnsi" w:hAnsiTheme="minorHAnsi"/>
        </w:rPr>
        <w:t>network</w:t>
      </w:r>
      <w:r w:rsidRPr="00733BF5">
        <w:rPr>
          <w:rFonts w:asciiTheme="minorHAnsi" w:hAnsiTheme="minorHAnsi"/>
        </w:rPr>
        <w:t xml:space="preserve"> for the effects of inflation.</w:t>
      </w:r>
      <w:r w:rsidR="002128EF">
        <w:rPr>
          <w:rStyle w:val="FootnoteReference"/>
          <w:rFonts w:asciiTheme="minorHAnsi" w:hAnsiTheme="minorHAnsi"/>
        </w:rPr>
        <w:footnoteReference w:id="1"/>
      </w:r>
      <w:r w:rsidRPr="00733BF5">
        <w:rPr>
          <w:rFonts w:asciiTheme="minorHAnsi" w:hAnsiTheme="minorHAnsi"/>
        </w:rPr>
        <w:t xml:space="preserve"> In addition, the CESS does not stipulate whether the AER will adopt a pre-</w:t>
      </w:r>
      <w:r w:rsidR="004F71CD">
        <w:rPr>
          <w:rFonts w:asciiTheme="minorHAnsi" w:hAnsiTheme="minorHAnsi"/>
        </w:rPr>
        <w:t xml:space="preserve"> </w:t>
      </w:r>
      <w:r w:rsidRPr="00733BF5">
        <w:rPr>
          <w:rFonts w:asciiTheme="minorHAnsi" w:hAnsiTheme="minorHAnsi"/>
        </w:rPr>
        <w:t xml:space="preserve">or post-tax rate of return. The PTRM calculates regulated </w:t>
      </w:r>
      <w:r w:rsidRPr="00733BF5">
        <w:rPr>
          <w:rFonts w:asciiTheme="minorHAnsi" w:hAnsiTheme="minorHAnsi"/>
        </w:rPr>
        <w:lastRenderedPageBreak/>
        <w:t xml:space="preserve">revenues using a vanilla WACC, and compensates </w:t>
      </w:r>
      <w:r>
        <w:rPr>
          <w:rFonts w:asciiTheme="minorHAnsi" w:hAnsiTheme="minorHAnsi"/>
        </w:rPr>
        <w:t>networks</w:t>
      </w:r>
      <w:r w:rsidRPr="00733BF5">
        <w:rPr>
          <w:rFonts w:asciiTheme="minorHAnsi" w:hAnsiTheme="minorHAnsi"/>
        </w:rPr>
        <w:t xml:space="preserve"> for tax liabilities through the inclusion of a separate tax building block that feeds into the calculation of the annual revenue requirement. </w:t>
      </w:r>
    </w:p>
    <w:p w14:paraId="6FC3D25D" w14:textId="77777777" w:rsidR="004F71CD" w:rsidRDefault="004F71CD" w:rsidP="00733BF5">
      <w:pPr>
        <w:jc w:val="left"/>
        <w:rPr>
          <w:rFonts w:asciiTheme="minorHAnsi" w:hAnsiTheme="minorHAnsi"/>
        </w:rPr>
      </w:pPr>
    </w:p>
    <w:p w14:paraId="466A242F" w14:textId="77777777" w:rsidR="00733BF5" w:rsidRDefault="00733BF5" w:rsidP="00733BF5">
      <w:pPr>
        <w:jc w:val="left"/>
        <w:rPr>
          <w:rFonts w:asciiTheme="minorHAnsi" w:hAnsiTheme="minorHAnsi"/>
        </w:rPr>
      </w:pPr>
      <w:r>
        <w:rPr>
          <w:rFonts w:asciiTheme="minorHAnsi" w:hAnsiTheme="minorHAnsi"/>
        </w:rPr>
        <w:t xml:space="preserve">Western Power </w:t>
      </w:r>
      <w:r w:rsidR="004F71CD">
        <w:rPr>
          <w:rFonts w:asciiTheme="minorHAnsi" w:hAnsiTheme="minorHAnsi"/>
        </w:rPr>
        <w:t xml:space="preserve">seeks clarification from the AER on the rate of return that will be applied to calculate the incentive payments under the CESS. Western Power </w:t>
      </w:r>
      <w:r>
        <w:rPr>
          <w:rFonts w:asciiTheme="minorHAnsi" w:hAnsiTheme="minorHAnsi"/>
        </w:rPr>
        <w:t xml:space="preserve">supports </w:t>
      </w:r>
      <w:r w:rsidR="004F71CD">
        <w:rPr>
          <w:rFonts w:asciiTheme="minorHAnsi" w:hAnsiTheme="minorHAnsi"/>
        </w:rPr>
        <w:t>the use of a real vanilla WACC,</w:t>
      </w:r>
      <w:r w:rsidR="00E430FB">
        <w:rPr>
          <w:rFonts w:asciiTheme="minorHAnsi" w:hAnsiTheme="minorHAnsi"/>
        </w:rPr>
        <w:t xml:space="preserve"> which is</w:t>
      </w:r>
      <w:r w:rsidR="004F71CD">
        <w:rPr>
          <w:rFonts w:asciiTheme="minorHAnsi" w:hAnsiTheme="minorHAnsi"/>
        </w:rPr>
        <w:t xml:space="preserve"> consistent with the PTRM.</w:t>
      </w:r>
    </w:p>
    <w:p w14:paraId="70FAF637" w14:textId="77777777" w:rsidR="004F71CD" w:rsidRDefault="004F71CD" w:rsidP="00733BF5">
      <w:pPr>
        <w:jc w:val="left"/>
        <w:rPr>
          <w:rFonts w:asciiTheme="minorHAnsi" w:hAnsiTheme="minorHAnsi"/>
        </w:rPr>
      </w:pPr>
    </w:p>
    <w:p w14:paraId="66C47F55" w14:textId="77777777" w:rsidR="00C371FA" w:rsidRPr="00C371FA" w:rsidRDefault="00C371FA" w:rsidP="00C371FA">
      <w:pPr>
        <w:rPr>
          <w:rFonts w:asciiTheme="minorHAnsi" w:hAnsiTheme="minorHAnsi"/>
          <w:b/>
          <w:u w:val="single"/>
        </w:rPr>
      </w:pPr>
      <w:r w:rsidRPr="00C371FA">
        <w:rPr>
          <w:rFonts w:asciiTheme="minorHAnsi" w:hAnsiTheme="minorHAnsi"/>
          <w:b/>
          <w:u w:val="single"/>
        </w:rPr>
        <w:t>Treatment of capital contributions</w:t>
      </w:r>
    </w:p>
    <w:p w14:paraId="1B55DA8A" w14:textId="77777777" w:rsidR="00C371FA" w:rsidRDefault="00C371FA" w:rsidP="00C371FA">
      <w:pPr>
        <w:jc w:val="left"/>
        <w:rPr>
          <w:rFonts w:asciiTheme="minorHAnsi" w:hAnsiTheme="minorHAnsi"/>
        </w:rPr>
      </w:pPr>
    </w:p>
    <w:p w14:paraId="47ADA0DF" w14:textId="77777777" w:rsidR="00C371FA" w:rsidRDefault="00C371FA" w:rsidP="00C371FA">
      <w:pPr>
        <w:jc w:val="left"/>
        <w:rPr>
          <w:rFonts w:asciiTheme="minorHAnsi" w:hAnsiTheme="minorHAnsi"/>
        </w:rPr>
      </w:pPr>
      <w:r w:rsidRPr="00C371FA">
        <w:rPr>
          <w:rFonts w:asciiTheme="minorHAnsi" w:hAnsiTheme="minorHAnsi"/>
        </w:rPr>
        <w:t xml:space="preserve">The CESS guideline is silent on the treatment of capital contributions in the calculation of the efficiency gains or losses. </w:t>
      </w:r>
      <w:r>
        <w:rPr>
          <w:rFonts w:asciiTheme="minorHAnsi" w:hAnsiTheme="minorHAnsi"/>
        </w:rPr>
        <w:t>We recognise that c</w:t>
      </w:r>
      <w:r w:rsidRPr="00C371FA">
        <w:rPr>
          <w:rFonts w:asciiTheme="minorHAnsi" w:hAnsiTheme="minorHAnsi"/>
        </w:rPr>
        <w:t xml:space="preserve">apital contributions have greater relevance for </w:t>
      </w:r>
      <w:r>
        <w:rPr>
          <w:rFonts w:asciiTheme="minorHAnsi" w:hAnsiTheme="minorHAnsi"/>
        </w:rPr>
        <w:t>distribution business</w:t>
      </w:r>
      <w:r w:rsidRPr="00C371FA">
        <w:rPr>
          <w:rFonts w:asciiTheme="minorHAnsi" w:hAnsiTheme="minorHAnsi"/>
        </w:rPr>
        <w:t xml:space="preserve">, which may require certain customers to contribute to the cost of connecting them to the distribution network, then for </w:t>
      </w:r>
      <w:r>
        <w:rPr>
          <w:rFonts w:asciiTheme="minorHAnsi" w:hAnsiTheme="minorHAnsi"/>
        </w:rPr>
        <w:t>transmission businesses</w:t>
      </w:r>
      <w:r w:rsidRPr="00C371FA">
        <w:rPr>
          <w:rFonts w:asciiTheme="minorHAnsi" w:hAnsiTheme="minorHAnsi"/>
        </w:rPr>
        <w:t>, which have no (or very limited) contributions in relation to regulated transmission services.</w:t>
      </w:r>
      <w:r>
        <w:rPr>
          <w:rFonts w:asciiTheme="minorHAnsi" w:hAnsiTheme="minorHAnsi"/>
        </w:rPr>
        <w:t xml:space="preserve"> Notwithstanding this, we have included this issue for completeness.</w:t>
      </w:r>
    </w:p>
    <w:p w14:paraId="6B016273" w14:textId="77777777" w:rsidR="00C371FA" w:rsidRDefault="00C371FA" w:rsidP="00C371FA">
      <w:pPr>
        <w:jc w:val="left"/>
        <w:rPr>
          <w:rFonts w:asciiTheme="minorHAnsi" w:hAnsiTheme="minorHAnsi"/>
        </w:rPr>
      </w:pPr>
    </w:p>
    <w:p w14:paraId="2F2AD502" w14:textId="77777777" w:rsidR="00C371FA" w:rsidRPr="00C371FA" w:rsidRDefault="00C371FA" w:rsidP="00C371FA">
      <w:pPr>
        <w:jc w:val="left"/>
        <w:rPr>
          <w:rFonts w:asciiTheme="minorHAnsi" w:hAnsiTheme="minorHAnsi"/>
        </w:rPr>
      </w:pPr>
      <w:r>
        <w:rPr>
          <w:rFonts w:asciiTheme="minorHAnsi" w:hAnsiTheme="minorHAnsi"/>
        </w:rPr>
        <w:t>In our view, t</w:t>
      </w:r>
      <w:r w:rsidRPr="00C371FA">
        <w:rPr>
          <w:rFonts w:asciiTheme="minorHAnsi" w:hAnsiTheme="minorHAnsi"/>
        </w:rPr>
        <w:t>here are two key reasons to exclude capital contributions from the operation of the CESS:</w:t>
      </w:r>
    </w:p>
    <w:p w14:paraId="193A718A" w14:textId="77777777" w:rsidR="00C371FA" w:rsidRDefault="00C371FA" w:rsidP="00C371FA">
      <w:pPr>
        <w:jc w:val="left"/>
        <w:rPr>
          <w:rFonts w:asciiTheme="minorHAnsi" w:hAnsiTheme="minorHAnsi"/>
        </w:rPr>
      </w:pPr>
    </w:p>
    <w:p w14:paraId="72227D5E" w14:textId="77777777" w:rsidR="00C371FA" w:rsidRPr="00C371FA" w:rsidRDefault="00C371FA" w:rsidP="00C371FA">
      <w:pPr>
        <w:pStyle w:val="ListParagraph"/>
        <w:numPr>
          <w:ilvl w:val="0"/>
          <w:numId w:val="35"/>
        </w:numPr>
        <w:ind w:left="360"/>
      </w:pPr>
      <w:r w:rsidRPr="00C371FA">
        <w:t xml:space="preserve">NSPs have little control over capital contributions – </w:t>
      </w:r>
      <w:r>
        <w:t xml:space="preserve">in the context of distribution connections, </w:t>
      </w:r>
      <w:r w:rsidRPr="00C371FA">
        <w:t xml:space="preserve">the AER’s </w:t>
      </w:r>
      <w:r w:rsidRPr="00C371FA">
        <w:rPr>
          <w:i/>
        </w:rPr>
        <w:t>Connection Charge Guideline</w:t>
      </w:r>
      <w:r w:rsidRPr="00C371FA">
        <w:t xml:space="preserve"> sets out when a </w:t>
      </w:r>
      <w:r>
        <w:t>distribution network</w:t>
      </w:r>
      <w:r w:rsidRPr="00C371FA">
        <w:t xml:space="preserve"> may seek a capital contribution, and how the value of that capital contribution should be calculated. Fundamentally however, the application of these provisions is contingent on decisions made by connection applicants rather than the </w:t>
      </w:r>
      <w:r>
        <w:t>network business</w:t>
      </w:r>
      <w:r w:rsidRPr="00C371FA">
        <w:t xml:space="preserve">. The applicant’s decision on the location and size of new connections will determine the network extension and augmentation costs that a </w:t>
      </w:r>
      <w:r>
        <w:t>distribution network</w:t>
      </w:r>
      <w:r w:rsidRPr="00C371FA">
        <w:t xml:space="preserve"> will incur to accommodate the new connection, and consequently whether a capital contribution can be sought and the value of that contribution. There is little reason to provide efficiency incentives under the CESS for costs that are outside of the control of the </w:t>
      </w:r>
      <w:r w:rsidR="0069133B">
        <w:t>network</w:t>
      </w:r>
      <w:r w:rsidRPr="00C371FA">
        <w:t>; and</w:t>
      </w:r>
    </w:p>
    <w:p w14:paraId="30306EDE" w14:textId="77777777" w:rsidR="00C371FA" w:rsidRPr="00C371FA" w:rsidRDefault="00C371FA" w:rsidP="00C371FA">
      <w:pPr>
        <w:pStyle w:val="ListParagraph"/>
        <w:numPr>
          <w:ilvl w:val="0"/>
          <w:numId w:val="35"/>
        </w:numPr>
        <w:spacing w:after="0"/>
        <w:ind w:left="357" w:hanging="357"/>
      </w:pPr>
      <w:r w:rsidRPr="00C371FA">
        <w:t>capital contributions reflect a shifting of costs between customers, rather than any intrinsic efficiency outcomes – capital contributions shift the recovery of network costs from tomorrow’s customers, which benefit from contributed assets, to today’s customers, which ma</w:t>
      </w:r>
      <w:r w:rsidR="0069133B">
        <w:t>k</w:t>
      </w:r>
      <w:r w:rsidRPr="00C371FA">
        <w:t xml:space="preserve">e the contribution. That is, capital contributions operate to allocate costs between different groups of customers, and have little reflection on the efficiency gains (losses) that are achieved (incurred) by a </w:t>
      </w:r>
      <w:r w:rsidR="0069133B">
        <w:t>network.</w:t>
      </w:r>
      <w:r w:rsidRPr="00C371FA">
        <w:t xml:space="preserve"> Capital contributions are therefore not required to achieve the overarching objective of the CESS, which is to promote efficient investment in the network.</w:t>
      </w:r>
    </w:p>
    <w:p w14:paraId="4D1A0DE5" w14:textId="77777777" w:rsidR="0069133B" w:rsidRDefault="0069133B" w:rsidP="00C371FA">
      <w:pPr>
        <w:jc w:val="left"/>
        <w:rPr>
          <w:rFonts w:asciiTheme="minorHAnsi" w:hAnsiTheme="minorHAnsi"/>
        </w:rPr>
      </w:pPr>
    </w:p>
    <w:p w14:paraId="7B93DC76" w14:textId="77777777" w:rsidR="00C371FA" w:rsidRPr="00C371FA" w:rsidRDefault="0069133B" w:rsidP="00C371FA">
      <w:pPr>
        <w:jc w:val="left"/>
        <w:rPr>
          <w:rFonts w:asciiTheme="minorHAnsi" w:hAnsiTheme="minorHAnsi"/>
        </w:rPr>
      </w:pPr>
      <w:r>
        <w:rPr>
          <w:rFonts w:asciiTheme="minorHAnsi" w:hAnsiTheme="minorHAnsi"/>
        </w:rPr>
        <w:t>Western Power seeks clarification from the AER on the treatment of capital contributions under the CESS. Western Power supports excluding t</w:t>
      </w:r>
      <w:r w:rsidR="00C371FA" w:rsidRPr="00C371FA">
        <w:rPr>
          <w:rFonts w:asciiTheme="minorHAnsi" w:hAnsiTheme="minorHAnsi"/>
        </w:rPr>
        <w:t>he value of capital contributions from the calculation of efficiency gains or losses</w:t>
      </w:r>
      <w:r>
        <w:rPr>
          <w:rFonts w:asciiTheme="minorHAnsi" w:hAnsiTheme="minorHAnsi"/>
        </w:rPr>
        <w:t xml:space="preserve"> – that is, </w:t>
      </w:r>
      <w:r w:rsidR="00C371FA" w:rsidRPr="00C371FA">
        <w:rPr>
          <w:rFonts w:asciiTheme="minorHAnsi" w:hAnsiTheme="minorHAnsi"/>
        </w:rPr>
        <w:t>the CESS should be applied to capex net of capital contributions.</w:t>
      </w:r>
    </w:p>
    <w:p w14:paraId="727D85A3" w14:textId="77777777" w:rsidR="0069133B" w:rsidRDefault="0069133B" w:rsidP="00C371FA">
      <w:pPr>
        <w:jc w:val="left"/>
        <w:rPr>
          <w:rFonts w:asciiTheme="minorHAnsi" w:hAnsiTheme="minorHAnsi"/>
        </w:rPr>
      </w:pPr>
    </w:p>
    <w:p w14:paraId="547CB846" w14:textId="77777777" w:rsidR="00C371FA" w:rsidRPr="0069133B" w:rsidRDefault="00C371FA" w:rsidP="0069133B">
      <w:pPr>
        <w:rPr>
          <w:rFonts w:asciiTheme="minorHAnsi" w:hAnsiTheme="minorHAnsi"/>
          <w:b/>
          <w:u w:val="single"/>
        </w:rPr>
      </w:pPr>
      <w:r w:rsidRPr="0069133B">
        <w:rPr>
          <w:rFonts w:asciiTheme="minorHAnsi" w:hAnsiTheme="minorHAnsi"/>
          <w:b/>
          <w:u w:val="single"/>
        </w:rPr>
        <w:t>Treatment of asset disposals</w:t>
      </w:r>
    </w:p>
    <w:p w14:paraId="4FB62B39" w14:textId="77777777" w:rsidR="0069133B" w:rsidRDefault="0069133B" w:rsidP="00C371FA">
      <w:pPr>
        <w:jc w:val="left"/>
        <w:rPr>
          <w:rFonts w:asciiTheme="minorHAnsi" w:hAnsiTheme="minorHAnsi"/>
        </w:rPr>
      </w:pPr>
    </w:p>
    <w:p w14:paraId="1AA502B9" w14:textId="77777777" w:rsidR="00847BE8" w:rsidRDefault="00C371FA" w:rsidP="00C371FA">
      <w:pPr>
        <w:jc w:val="left"/>
        <w:rPr>
          <w:rFonts w:asciiTheme="minorHAnsi" w:hAnsiTheme="minorHAnsi"/>
        </w:rPr>
      </w:pPr>
      <w:r w:rsidRPr="00C371FA">
        <w:rPr>
          <w:rFonts w:asciiTheme="minorHAnsi" w:hAnsiTheme="minorHAnsi"/>
        </w:rPr>
        <w:t>The CESS guideline is silent on the treatment of asset disposals in the calculation of the efficiency gains or losses. In our view, applying the CESS on capex net of disposals is consistent with the objective of the scheme and the NE</w:t>
      </w:r>
      <w:r w:rsidR="0069133B">
        <w:rPr>
          <w:rFonts w:asciiTheme="minorHAnsi" w:hAnsiTheme="minorHAnsi"/>
        </w:rPr>
        <w:t>O</w:t>
      </w:r>
      <w:r w:rsidRPr="00C371FA">
        <w:rPr>
          <w:rFonts w:asciiTheme="minorHAnsi" w:hAnsiTheme="minorHAnsi"/>
        </w:rPr>
        <w:t>. Specifically, including disposals</w:t>
      </w:r>
      <w:r w:rsidR="002128EF">
        <w:rPr>
          <w:rFonts w:asciiTheme="minorHAnsi" w:hAnsiTheme="minorHAnsi"/>
        </w:rPr>
        <w:t xml:space="preserve"> within the CESS</w:t>
      </w:r>
      <w:r w:rsidRPr="00C371FA">
        <w:rPr>
          <w:rFonts w:asciiTheme="minorHAnsi" w:hAnsiTheme="minorHAnsi"/>
        </w:rPr>
        <w:t xml:space="preserve"> provides a strong incentive to </w:t>
      </w:r>
      <w:r w:rsidR="0069133B">
        <w:rPr>
          <w:rFonts w:asciiTheme="minorHAnsi" w:hAnsiTheme="minorHAnsi"/>
        </w:rPr>
        <w:t>network businesses</w:t>
      </w:r>
      <w:r w:rsidRPr="00C371FA">
        <w:rPr>
          <w:rFonts w:asciiTheme="minorHAnsi" w:hAnsiTheme="minorHAnsi"/>
        </w:rPr>
        <w:t xml:space="preserve"> to</w:t>
      </w:r>
      <w:r w:rsidR="00847BE8">
        <w:rPr>
          <w:rFonts w:asciiTheme="minorHAnsi" w:hAnsiTheme="minorHAnsi"/>
        </w:rPr>
        <w:t>:</w:t>
      </w:r>
    </w:p>
    <w:p w14:paraId="476644F4" w14:textId="77777777" w:rsidR="00847BE8" w:rsidRDefault="00847BE8" w:rsidP="00C371FA">
      <w:pPr>
        <w:jc w:val="left"/>
        <w:rPr>
          <w:rFonts w:asciiTheme="minorHAnsi" w:hAnsiTheme="minorHAnsi"/>
        </w:rPr>
      </w:pPr>
    </w:p>
    <w:p w14:paraId="39702500" w14:textId="77777777" w:rsidR="00847BE8" w:rsidRDefault="00C371FA" w:rsidP="00847BE8">
      <w:pPr>
        <w:pStyle w:val="ListParagraph"/>
        <w:numPr>
          <w:ilvl w:val="0"/>
          <w:numId w:val="35"/>
        </w:numPr>
        <w:ind w:left="360"/>
      </w:pPr>
      <w:r w:rsidRPr="00C371FA">
        <w:t>optimise their capital stock</w:t>
      </w:r>
      <w:r w:rsidR="00847BE8">
        <w:t>, by providing a</w:t>
      </w:r>
      <w:r w:rsidR="00E430FB">
        <w:t>n</w:t>
      </w:r>
      <w:r w:rsidR="00847BE8">
        <w:t xml:space="preserve"> incentive to either dispose of regulated assets that are no longer necessary to provide controlled network services</w:t>
      </w:r>
      <w:r w:rsidR="00E430FB">
        <w:t>,</w:t>
      </w:r>
      <w:r w:rsidR="00847BE8">
        <w:t xml:space="preserve"> or to efficiently relocate assets;</w:t>
      </w:r>
      <w:r w:rsidRPr="00C371FA">
        <w:t xml:space="preserve"> and </w:t>
      </w:r>
    </w:p>
    <w:p w14:paraId="1E483B1B" w14:textId="77777777" w:rsidR="00847BE8" w:rsidRDefault="00C371FA" w:rsidP="00E430FB">
      <w:pPr>
        <w:pStyle w:val="ListParagraph"/>
        <w:numPr>
          <w:ilvl w:val="0"/>
          <w:numId w:val="35"/>
        </w:numPr>
        <w:spacing w:after="0"/>
        <w:ind w:left="357" w:hanging="357"/>
      </w:pPr>
      <w:r w:rsidRPr="00C371FA">
        <w:t xml:space="preserve">maximise the sale value of disposed assets, since </w:t>
      </w:r>
      <w:r w:rsidR="00E430FB">
        <w:t>the network</w:t>
      </w:r>
      <w:r w:rsidRPr="00C371FA">
        <w:t xml:space="preserve"> will be entitled to retain 30 per cent of any realised value on disposed assets. </w:t>
      </w:r>
    </w:p>
    <w:p w14:paraId="541046EF" w14:textId="77777777" w:rsidR="00E430FB" w:rsidRDefault="00E430FB" w:rsidP="00847BE8">
      <w:pPr>
        <w:jc w:val="left"/>
        <w:rPr>
          <w:rFonts w:asciiTheme="minorHAnsi" w:hAnsiTheme="minorHAnsi"/>
        </w:rPr>
      </w:pPr>
    </w:p>
    <w:p w14:paraId="0F7E2DA5" w14:textId="77777777" w:rsidR="00E430FB" w:rsidRDefault="00E430FB">
      <w:pPr>
        <w:jc w:val="left"/>
        <w:rPr>
          <w:rFonts w:asciiTheme="minorHAnsi" w:hAnsiTheme="minorHAnsi"/>
        </w:rPr>
      </w:pPr>
      <w:r>
        <w:rPr>
          <w:rFonts w:asciiTheme="minorHAnsi" w:hAnsiTheme="minorHAnsi"/>
        </w:rPr>
        <w:br w:type="page"/>
      </w:r>
    </w:p>
    <w:p w14:paraId="76A9DF37" w14:textId="77777777" w:rsidR="00C371FA" w:rsidRPr="00C371FA" w:rsidRDefault="00C371FA" w:rsidP="00847BE8">
      <w:pPr>
        <w:jc w:val="left"/>
        <w:rPr>
          <w:rFonts w:asciiTheme="minorHAnsi" w:hAnsiTheme="minorHAnsi"/>
        </w:rPr>
      </w:pPr>
      <w:r w:rsidRPr="00C371FA">
        <w:rPr>
          <w:rFonts w:asciiTheme="minorHAnsi" w:hAnsiTheme="minorHAnsi"/>
        </w:rPr>
        <w:lastRenderedPageBreak/>
        <w:t xml:space="preserve">In addition, customers </w:t>
      </w:r>
      <w:r w:rsidR="00847BE8">
        <w:rPr>
          <w:rFonts w:asciiTheme="minorHAnsi" w:hAnsiTheme="minorHAnsi"/>
        </w:rPr>
        <w:t xml:space="preserve">will directly </w:t>
      </w:r>
      <w:r w:rsidRPr="00C371FA">
        <w:rPr>
          <w:rFonts w:asciiTheme="minorHAnsi" w:hAnsiTheme="minorHAnsi"/>
        </w:rPr>
        <w:t xml:space="preserve">benefit </w:t>
      </w:r>
      <w:r w:rsidR="00847BE8">
        <w:rPr>
          <w:rFonts w:asciiTheme="minorHAnsi" w:hAnsiTheme="minorHAnsi"/>
        </w:rPr>
        <w:t>from including disposals within the CESS framework since it will</w:t>
      </w:r>
      <w:r w:rsidR="0069133B">
        <w:rPr>
          <w:rFonts w:asciiTheme="minorHAnsi" w:hAnsiTheme="minorHAnsi"/>
        </w:rPr>
        <w:t xml:space="preserve"> </w:t>
      </w:r>
      <w:r w:rsidRPr="00C371FA">
        <w:rPr>
          <w:rFonts w:asciiTheme="minorHAnsi" w:hAnsiTheme="minorHAnsi"/>
        </w:rPr>
        <w:t xml:space="preserve">lower </w:t>
      </w:r>
      <w:r w:rsidR="00847BE8">
        <w:rPr>
          <w:rFonts w:asciiTheme="minorHAnsi" w:hAnsiTheme="minorHAnsi"/>
        </w:rPr>
        <w:t xml:space="preserve">the </w:t>
      </w:r>
      <w:r w:rsidRPr="00C371FA">
        <w:rPr>
          <w:rFonts w:asciiTheme="minorHAnsi" w:hAnsiTheme="minorHAnsi"/>
        </w:rPr>
        <w:t xml:space="preserve">cost of controlled </w:t>
      </w:r>
      <w:r w:rsidR="00847BE8">
        <w:rPr>
          <w:rFonts w:asciiTheme="minorHAnsi" w:hAnsiTheme="minorHAnsi"/>
        </w:rPr>
        <w:t xml:space="preserve">network </w:t>
      </w:r>
      <w:r w:rsidRPr="00C371FA">
        <w:rPr>
          <w:rFonts w:asciiTheme="minorHAnsi" w:hAnsiTheme="minorHAnsi"/>
        </w:rPr>
        <w:t>services going forward (</w:t>
      </w:r>
      <w:proofErr w:type="spellStart"/>
      <w:r w:rsidRPr="00C371FA">
        <w:rPr>
          <w:rFonts w:asciiTheme="minorHAnsi" w:hAnsiTheme="minorHAnsi"/>
        </w:rPr>
        <w:t>ie</w:t>
      </w:r>
      <w:proofErr w:type="spellEnd"/>
      <w:r w:rsidRPr="00C371FA">
        <w:rPr>
          <w:rFonts w:asciiTheme="minorHAnsi" w:hAnsiTheme="minorHAnsi"/>
        </w:rPr>
        <w:t xml:space="preserve">, the greater the disposal value, the lower the cost to </w:t>
      </w:r>
      <w:r w:rsidR="0069133B">
        <w:rPr>
          <w:rFonts w:asciiTheme="minorHAnsi" w:hAnsiTheme="minorHAnsi"/>
        </w:rPr>
        <w:t>network businesses</w:t>
      </w:r>
      <w:r w:rsidRPr="00C371FA">
        <w:rPr>
          <w:rFonts w:asciiTheme="minorHAnsi" w:hAnsiTheme="minorHAnsi"/>
        </w:rPr>
        <w:t xml:space="preserve"> of provided controlled services, and hence the lower the price of these services, assuming all else remains constant).</w:t>
      </w:r>
    </w:p>
    <w:p w14:paraId="6DE53DBC" w14:textId="77777777" w:rsidR="00CF0A65" w:rsidRDefault="00CF0A65" w:rsidP="00C371FA">
      <w:pPr>
        <w:jc w:val="left"/>
        <w:rPr>
          <w:rFonts w:asciiTheme="minorHAnsi" w:hAnsiTheme="minorHAnsi"/>
        </w:rPr>
      </w:pPr>
    </w:p>
    <w:p w14:paraId="0E7E3FC6" w14:textId="77777777" w:rsidR="00733BF5" w:rsidRDefault="00CF0A65" w:rsidP="00C371FA">
      <w:pPr>
        <w:jc w:val="left"/>
        <w:rPr>
          <w:rFonts w:asciiTheme="minorHAnsi" w:hAnsiTheme="minorHAnsi"/>
        </w:rPr>
      </w:pPr>
      <w:r>
        <w:rPr>
          <w:rFonts w:asciiTheme="minorHAnsi" w:hAnsiTheme="minorHAnsi"/>
        </w:rPr>
        <w:t xml:space="preserve">Western Power seeks clarification from the AER on the treatment of asset disposals under the CESS. Western Power supports including the </w:t>
      </w:r>
      <w:r w:rsidR="00C371FA" w:rsidRPr="00C371FA">
        <w:rPr>
          <w:rFonts w:asciiTheme="minorHAnsi" w:hAnsiTheme="minorHAnsi"/>
        </w:rPr>
        <w:t>value of asset disposals in the calculation of efficiency gains or losses</w:t>
      </w:r>
      <w:r>
        <w:rPr>
          <w:rFonts w:asciiTheme="minorHAnsi" w:hAnsiTheme="minorHAnsi"/>
        </w:rPr>
        <w:t xml:space="preserve"> – t</w:t>
      </w:r>
      <w:r w:rsidR="00C371FA" w:rsidRPr="00C371FA">
        <w:rPr>
          <w:rFonts w:asciiTheme="minorHAnsi" w:hAnsiTheme="minorHAnsi"/>
        </w:rPr>
        <w:t>hat is, the CESS should be applied to capex net of asset disposals.</w:t>
      </w:r>
    </w:p>
    <w:p w14:paraId="1C6146C1" w14:textId="77777777" w:rsidR="007F39FB" w:rsidRDefault="007F39FB" w:rsidP="00C371FA">
      <w:pPr>
        <w:jc w:val="left"/>
        <w:rPr>
          <w:rFonts w:asciiTheme="minorHAnsi" w:hAnsiTheme="minorHAnsi"/>
        </w:rPr>
      </w:pPr>
    </w:p>
    <w:p w14:paraId="5AE419F3" w14:textId="705796DC" w:rsidR="007F39FB" w:rsidRDefault="007F39FB" w:rsidP="00C371FA">
      <w:pPr>
        <w:jc w:val="left"/>
        <w:rPr>
          <w:rFonts w:asciiTheme="minorHAnsi" w:hAnsiTheme="minorHAnsi"/>
        </w:rPr>
      </w:pPr>
      <w:r>
        <w:rPr>
          <w:rFonts w:asciiTheme="minorHAnsi" w:hAnsiTheme="minorHAnsi"/>
        </w:rPr>
        <w:t xml:space="preserve">If you have any questions with respect to this submission, please call </w:t>
      </w:r>
      <w:r w:rsidR="00607BB3">
        <w:rPr>
          <w:rFonts w:asciiTheme="minorHAnsi" w:hAnsiTheme="minorHAnsi"/>
        </w:rPr>
        <w:t>me</w:t>
      </w:r>
      <w:r w:rsidR="00954FD8">
        <w:rPr>
          <w:rFonts w:asciiTheme="minorHAnsi" w:hAnsiTheme="minorHAnsi"/>
        </w:rPr>
        <w:t xml:space="preserve"> </w:t>
      </w:r>
      <w:r>
        <w:rPr>
          <w:rFonts w:asciiTheme="minorHAnsi" w:hAnsiTheme="minorHAnsi"/>
        </w:rPr>
        <w:t xml:space="preserve">on </w:t>
      </w:r>
      <w:r w:rsidR="00954FD8">
        <w:rPr>
          <w:rFonts w:asciiTheme="minorHAnsi" w:hAnsiTheme="minorHAnsi"/>
        </w:rPr>
        <w:t>9326 4083</w:t>
      </w:r>
      <w:r w:rsidR="004761DD">
        <w:rPr>
          <w:rFonts w:asciiTheme="minorHAnsi" w:hAnsiTheme="minorHAnsi"/>
        </w:rPr>
        <w:t xml:space="preserve"> or Karyne Wong on 9326 6495</w:t>
      </w:r>
      <w:r>
        <w:rPr>
          <w:rFonts w:asciiTheme="minorHAnsi" w:hAnsiTheme="minorHAnsi"/>
        </w:rPr>
        <w:t>.</w:t>
      </w:r>
    </w:p>
    <w:p w14:paraId="7BC4762F" w14:textId="77777777" w:rsidR="007F39FB" w:rsidRDefault="007F39FB" w:rsidP="00C371FA">
      <w:pPr>
        <w:jc w:val="left"/>
        <w:rPr>
          <w:rFonts w:asciiTheme="minorHAnsi" w:hAnsiTheme="minorHAnsi"/>
        </w:rPr>
      </w:pPr>
    </w:p>
    <w:p w14:paraId="3AF6F364" w14:textId="77777777" w:rsidR="00E430FB" w:rsidRDefault="007F39FB" w:rsidP="008E4B2D">
      <w:pPr>
        <w:jc w:val="left"/>
        <w:rPr>
          <w:rFonts w:asciiTheme="minorHAnsi" w:hAnsiTheme="minorHAnsi"/>
        </w:rPr>
      </w:pPr>
      <w:r>
        <w:rPr>
          <w:rFonts w:asciiTheme="minorHAnsi" w:hAnsiTheme="minorHAnsi"/>
        </w:rPr>
        <w:t>Yours sincerely,</w:t>
      </w:r>
    </w:p>
    <w:p w14:paraId="05560D9C" w14:textId="77777777" w:rsidR="00954FD8" w:rsidRDefault="00954FD8" w:rsidP="008E4B2D">
      <w:pPr>
        <w:jc w:val="left"/>
        <w:rPr>
          <w:rFonts w:asciiTheme="minorHAnsi" w:hAnsiTheme="minorHAnsi"/>
        </w:rPr>
      </w:pPr>
    </w:p>
    <w:p w14:paraId="5154BB50" w14:textId="77777777" w:rsidR="00954FD8" w:rsidRDefault="00954FD8" w:rsidP="008E4B2D">
      <w:pPr>
        <w:jc w:val="left"/>
        <w:rPr>
          <w:rFonts w:asciiTheme="minorHAnsi" w:hAnsiTheme="minorHAnsi"/>
        </w:rPr>
      </w:pPr>
    </w:p>
    <w:p w14:paraId="3AA2DB42" w14:textId="77777777" w:rsidR="00954FD8" w:rsidRDefault="00954FD8" w:rsidP="008E4B2D">
      <w:pPr>
        <w:jc w:val="left"/>
        <w:rPr>
          <w:rFonts w:asciiTheme="minorHAnsi" w:hAnsiTheme="minorHAnsi"/>
        </w:rPr>
      </w:pPr>
    </w:p>
    <w:p w14:paraId="14C23BBC" w14:textId="2EC4CCC5" w:rsidR="00954FD8" w:rsidRDefault="00843ED5" w:rsidP="008E4B2D">
      <w:pPr>
        <w:jc w:val="left"/>
        <w:rPr>
          <w:rFonts w:asciiTheme="minorHAnsi" w:hAnsiTheme="minorHAnsi"/>
        </w:rPr>
      </w:pPr>
      <w:r>
        <w:rPr>
          <w:rFonts w:asciiTheme="minorHAnsi" w:hAnsiTheme="minorHAnsi"/>
        </w:rPr>
        <w:t>Noel Ryan</w:t>
      </w:r>
    </w:p>
    <w:p w14:paraId="7A7A5D15" w14:textId="13D97F59" w:rsidR="00954FD8" w:rsidRDefault="00843ED5" w:rsidP="008E4B2D">
      <w:pPr>
        <w:jc w:val="left"/>
        <w:rPr>
          <w:rFonts w:asciiTheme="minorHAnsi" w:hAnsiTheme="minorHAnsi"/>
        </w:rPr>
      </w:pPr>
      <w:r>
        <w:rPr>
          <w:rFonts w:asciiTheme="minorHAnsi" w:hAnsiTheme="minorHAnsi"/>
        </w:rPr>
        <w:t>Economic Regulation Manager</w:t>
      </w:r>
    </w:p>
    <w:p w14:paraId="36479587" w14:textId="7FE761B6" w:rsidR="00954FD8" w:rsidRPr="003D4A8C" w:rsidRDefault="00954FD8" w:rsidP="008E4B2D">
      <w:pPr>
        <w:jc w:val="left"/>
        <w:rPr>
          <w:rFonts w:asciiTheme="minorHAnsi" w:hAnsiTheme="minorHAnsi"/>
        </w:rPr>
      </w:pPr>
      <w:r>
        <w:rPr>
          <w:rFonts w:asciiTheme="minorHAnsi" w:hAnsiTheme="minorHAnsi"/>
        </w:rPr>
        <w:t>Western Power</w:t>
      </w:r>
    </w:p>
    <w:sectPr w:rsidR="00954FD8" w:rsidRPr="003D4A8C" w:rsidSect="007D66FD">
      <w:headerReference w:type="default" r:id="rId11"/>
      <w:pgSz w:w="11906" w:h="16838"/>
      <w:pgMar w:top="1418" w:right="1134" w:bottom="851" w:left="1418" w:header="680"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16F1C" w14:textId="77777777" w:rsidR="00002785" w:rsidRDefault="00002785" w:rsidP="00300681">
      <w:r>
        <w:separator/>
      </w:r>
    </w:p>
  </w:endnote>
  <w:endnote w:type="continuationSeparator" w:id="0">
    <w:p w14:paraId="38636649" w14:textId="77777777" w:rsidR="00002785" w:rsidRDefault="00002785" w:rsidP="0030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C9B17" w14:textId="77777777" w:rsidR="00300681" w:rsidRPr="007D66FD" w:rsidRDefault="007D66FD" w:rsidP="007D66FD">
    <w:pPr>
      <w:pStyle w:val="Footer"/>
      <w:tabs>
        <w:tab w:val="clear" w:pos="9026"/>
        <w:tab w:val="right" w:pos="9639"/>
      </w:tabs>
      <w:jc w:val="center"/>
      <w:rPr>
        <w:rFonts w:ascii="Arial" w:hAnsi="Arial" w:cs="Arial"/>
      </w:rPr>
    </w:pPr>
    <w:r w:rsidRPr="007D66FD">
      <w:rPr>
        <w:rFonts w:ascii="Arial" w:hAnsi="Arial" w:cs="Arial"/>
        <w:noProof/>
        <w:lang w:val="en-AU" w:eastAsia="en-AU"/>
      </w:rPr>
      <w:t>www.westernpower.com.au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42902" w14:textId="77777777" w:rsidR="00002785" w:rsidRDefault="00002785" w:rsidP="00300681">
      <w:r>
        <w:separator/>
      </w:r>
    </w:p>
  </w:footnote>
  <w:footnote w:type="continuationSeparator" w:id="0">
    <w:p w14:paraId="3A028D5C" w14:textId="77777777" w:rsidR="00002785" w:rsidRDefault="00002785" w:rsidP="00300681">
      <w:r>
        <w:continuationSeparator/>
      </w:r>
    </w:p>
  </w:footnote>
  <w:footnote w:id="1">
    <w:p w14:paraId="76A01F92" w14:textId="77777777" w:rsidR="002128EF" w:rsidRPr="000A7F23" w:rsidRDefault="002128EF">
      <w:pPr>
        <w:pStyle w:val="FootnoteText"/>
        <w:rPr>
          <w:color w:val="auto"/>
        </w:rPr>
      </w:pPr>
      <w:r w:rsidRPr="000A7F23">
        <w:rPr>
          <w:rStyle w:val="FootnoteReference"/>
          <w:color w:val="auto"/>
        </w:rPr>
        <w:footnoteRef/>
      </w:r>
      <w:r w:rsidRPr="000A7F23">
        <w:rPr>
          <w:color w:val="auto"/>
        </w:rPr>
        <w:t xml:space="preserve"> The WACC is defined in section 2.3.1 of the CESS guideline (2013) as a nominal WACC applied in the regulatory period.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7ECE" w14:textId="77777777" w:rsidR="00300681" w:rsidRDefault="00547530" w:rsidP="00300681">
    <w:pPr>
      <w:pStyle w:val="Header"/>
    </w:pPr>
    <w:r w:rsidRPr="00547530">
      <w:rPr>
        <w:noProof/>
        <w:lang w:val="en-AU" w:eastAsia="en-AU"/>
      </w:rPr>
      <mc:AlternateContent>
        <mc:Choice Requires="wps">
          <w:drawing>
            <wp:anchor distT="0" distB="0" distL="114300" distR="114300" simplePos="0" relativeHeight="251766784" behindDoc="0" locked="0" layoutInCell="1" allowOverlap="1" wp14:anchorId="3C451B67" wp14:editId="42390F91">
              <wp:simplePos x="0" y="0"/>
              <wp:positionH relativeFrom="column">
                <wp:posOffset>4294505</wp:posOffset>
              </wp:positionH>
              <wp:positionV relativeFrom="paragraph">
                <wp:posOffset>758507</wp:posOffset>
              </wp:positionV>
              <wp:extent cx="2374265" cy="2266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66950"/>
                      </a:xfrm>
                      <a:prstGeom prst="rect">
                        <a:avLst/>
                      </a:prstGeom>
                      <a:noFill/>
                      <a:ln w="9525">
                        <a:noFill/>
                        <a:miter lim="800000"/>
                        <a:headEnd/>
                        <a:tailEnd/>
                      </a:ln>
                    </wps:spPr>
                    <wps:txbx>
                      <w:txbxContent>
                        <w:p w14:paraId="1F44B5F6" w14:textId="77777777" w:rsidR="00547530" w:rsidRPr="007D66FD" w:rsidRDefault="00547530" w:rsidP="00547530">
                          <w:pPr>
                            <w:rPr>
                              <w:rFonts w:cs="Arial"/>
                              <w:sz w:val="20"/>
                              <w:szCs w:val="20"/>
                            </w:rPr>
                          </w:pPr>
                          <w:r w:rsidRPr="007D66FD">
                            <w:rPr>
                              <w:rFonts w:cs="Arial"/>
                              <w:sz w:val="20"/>
                              <w:szCs w:val="20"/>
                            </w:rPr>
                            <w:t>363 Wellington Street</w:t>
                          </w:r>
                        </w:p>
                        <w:p w14:paraId="2A057450" w14:textId="77777777" w:rsidR="00547530" w:rsidRPr="007D66FD" w:rsidRDefault="00547530" w:rsidP="00547530">
                          <w:pPr>
                            <w:rPr>
                              <w:rFonts w:cs="Arial"/>
                              <w:sz w:val="20"/>
                              <w:szCs w:val="20"/>
                            </w:rPr>
                          </w:pPr>
                          <w:r w:rsidRPr="007D66FD">
                            <w:rPr>
                              <w:rFonts w:cs="Arial"/>
                              <w:sz w:val="20"/>
                              <w:szCs w:val="20"/>
                            </w:rPr>
                            <w:t>Perth WA 6000</w:t>
                          </w:r>
                        </w:p>
                        <w:p w14:paraId="2E4BE1A7" w14:textId="77777777" w:rsidR="00547530" w:rsidRPr="007D66FD" w:rsidRDefault="00547530" w:rsidP="00547530">
                          <w:pPr>
                            <w:rPr>
                              <w:rFonts w:cs="Arial"/>
                              <w:sz w:val="20"/>
                              <w:szCs w:val="20"/>
                            </w:rPr>
                          </w:pPr>
                          <w:r w:rsidRPr="007D66FD">
                            <w:rPr>
                              <w:rFonts w:cs="Arial"/>
                              <w:sz w:val="20"/>
                              <w:szCs w:val="20"/>
                            </w:rPr>
                            <w:t>GPO Box L921 Perth WA 6842</w:t>
                          </w:r>
                        </w:p>
                        <w:p w14:paraId="301C8D2D" w14:textId="77777777" w:rsidR="00547530" w:rsidRPr="007D66FD" w:rsidRDefault="00547530" w:rsidP="00547530">
                          <w:pPr>
                            <w:rPr>
                              <w:rFonts w:cs="Arial"/>
                              <w:sz w:val="20"/>
                              <w:szCs w:val="20"/>
                            </w:rPr>
                          </w:pPr>
                        </w:p>
                        <w:p w14:paraId="5260B217" w14:textId="77777777" w:rsidR="00547530" w:rsidRPr="007D66FD" w:rsidRDefault="00547530" w:rsidP="00547530">
                          <w:pPr>
                            <w:rPr>
                              <w:rFonts w:cs="Arial"/>
                              <w:sz w:val="20"/>
                              <w:szCs w:val="20"/>
                            </w:rPr>
                          </w:pPr>
                          <w:r w:rsidRPr="007D66FD">
                            <w:rPr>
                              <w:rFonts w:cs="Arial"/>
                              <w:sz w:val="20"/>
                              <w:szCs w:val="20"/>
                            </w:rPr>
                            <w:t>T: 13 10 87 | Fax: 08 9225 2660</w:t>
                          </w:r>
                        </w:p>
                        <w:p w14:paraId="629D05C7" w14:textId="77777777" w:rsidR="00547530" w:rsidRPr="007D66FD" w:rsidRDefault="00547530" w:rsidP="00547530">
                          <w:pPr>
                            <w:rPr>
                              <w:rFonts w:cs="Arial"/>
                              <w:sz w:val="20"/>
                              <w:szCs w:val="20"/>
                            </w:rPr>
                          </w:pPr>
                          <w:r w:rsidRPr="007D66FD">
                            <w:rPr>
                              <w:rFonts w:cs="Arial"/>
                              <w:sz w:val="20"/>
                              <w:szCs w:val="20"/>
                            </w:rPr>
                            <w:t>TTY 1800 13 13 51 | TIS 13 14 50</w:t>
                          </w:r>
                        </w:p>
                        <w:p w14:paraId="3CF392F0" w14:textId="77777777" w:rsidR="00547530" w:rsidRPr="007D66FD" w:rsidRDefault="00547530" w:rsidP="00547530">
                          <w:pPr>
                            <w:rPr>
                              <w:rFonts w:cs="Arial"/>
                              <w:sz w:val="20"/>
                              <w:szCs w:val="20"/>
                            </w:rPr>
                          </w:pPr>
                        </w:p>
                        <w:p w14:paraId="6758CD63" w14:textId="77777777" w:rsidR="00547530" w:rsidRPr="007D66FD" w:rsidRDefault="00547530" w:rsidP="00547530">
                          <w:pPr>
                            <w:rPr>
                              <w:rFonts w:cs="Arial"/>
                              <w:sz w:val="20"/>
                              <w:szCs w:val="20"/>
                            </w:rPr>
                          </w:pPr>
                          <w:r w:rsidRPr="007D66FD">
                            <w:rPr>
                              <w:rFonts w:cs="Arial"/>
                              <w:sz w:val="20"/>
                              <w:szCs w:val="20"/>
                            </w:rPr>
                            <w:t>Electricity Networks Corporation</w:t>
                          </w:r>
                        </w:p>
                        <w:p w14:paraId="54CC44C0" w14:textId="77777777" w:rsidR="00547530" w:rsidRPr="007D66FD" w:rsidRDefault="00547530" w:rsidP="00547530">
                          <w:pPr>
                            <w:rPr>
                              <w:rFonts w:cs="Arial"/>
                              <w:sz w:val="20"/>
                              <w:szCs w:val="20"/>
                            </w:rPr>
                          </w:pPr>
                          <w:r w:rsidRPr="007D66FD">
                            <w:rPr>
                              <w:rFonts w:cs="Arial"/>
                              <w:sz w:val="20"/>
                              <w:szCs w:val="20"/>
                            </w:rPr>
                            <w:t>ABN 18 540 492 861</w:t>
                          </w:r>
                        </w:p>
                        <w:p w14:paraId="3B766845" w14:textId="77777777" w:rsidR="00547530" w:rsidRPr="007D66FD" w:rsidRDefault="00547530" w:rsidP="00547530">
                          <w:pPr>
                            <w:rPr>
                              <w:rFonts w:cs="Arial"/>
                              <w:sz w:val="20"/>
                              <w:szCs w:val="20"/>
                            </w:rPr>
                          </w:pPr>
                        </w:p>
                        <w:p w14:paraId="488AF5D5" w14:textId="77777777" w:rsidR="00547530" w:rsidRPr="007D66FD" w:rsidRDefault="00547530" w:rsidP="00547530">
                          <w:pPr>
                            <w:rPr>
                              <w:rFonts w:cs="Arial"/>
                              <w:sz w:val="20"/>
                              <w:szCs w:val="20"/>
                            </w:rPr>
                          </w:pPr>
                          <w:r w:rsidRPr="007D66FD">
                            <w:rPr>
                              <w:rFonts w:cs="Arial"/>
                              <w:sz w:val="20"/>
                              <w:szCs w:val="20"/>
                            </w:rPr>
                            <w:t>enquiry@westernpower.com.au</w:t>
                          </w:r>
                        </w:p>
                        <w:p w14:paraId="1605D342" w14:textId="77777777" w:rsidR="00547530" w:rsidRPr="007D66FD" w:rsidRDefault="00547530" w:rsidP="00547530">
                          <w:pPr>
                            <w:rPr>
                              <w:rFonts w:cs="Arial"/>
                              <w:sz w:val="20"/>
                              <w:szCs w:val="20"/>
                            </w:rPr>
                          </w:pPr>
                          <w:r w:rsidRPr="007D66FD">
                            <w:rPr>
                              <w:rFonts w:cs="Arial"/>
                              <w:sz w:val="20"/>
                              <w:szCs w:val="20"/>
                            </w:rPr>
                            <w:t>westernpower.com.au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97E649" id="_x0000_t202" coordsize="21600,21600" o:spt="202" path="m,l,21600r21600,l21600,xe">
              <v:stroke joinstyle="miter"/>
              <v:path gradientshapeok="t" o:connecttype="rect"/>
            </v:shapetype>
            <v:shape id="Text Box 2" o:spid="_x0000_s1026" type="#_x0000_t202" style="position:absolute;margin-left:338.15pt;margin-top:59.7pt;width:186.95pt;height:178.5pt;z-index:2517667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" filled="f" stroked="f">
              <v:textbox>
                <w:txbxContent>
                  <w:p w:rsidR="00547530" w:rsidRPr="007D66FD" w:rsidRDefault="00547530" w:rsidP="00547530">
                    <w:pPr>
                      <w:rPr>
                        <w:rFonts w:cs="Arial"/>
                        <w:sz w:val="20"/>
                        <w:szCs w:val="20"/>
                      </w:rPr>
                    </w:pPr>
                    <w:r w:rsidRPr="007D66FD">
                      <w:rPr>
                        <w:rFonts w:cs="Arial"/>
                        <w:sz w:val="20"/>
                        <w:szCs w:val="20"/>
                      </w:rPr>
                      <w:t>363 Wellington Street</w:t>
                    </w:r>
                  </w:p>
                  <w:p w:rsidR="00547530" w:rsidRPr="007D66FD" w:rsidRDefault="00547530" w:rsidP="00547530">
                    <w:pPr>
                      <w:rPr>
                        <w:rFonts w:cs="Arial"/>
                        <w:sz w:val="20"/>
                        <w:szCs w:val="20"/>
                      </w:rPr>
                    </w:pPr>
                    <w:r w:rsidRPr="007D66FD">
                      <w:rPr>
                        <w:rFonts w:cs="Arial"/>
                        <w:sz w:val="20"/>
                        <w:szCs w:val="20"/>
                      </w:rPr>
                      <w:t>Perth WA 6000</w:t>
                    </w:r>
                  </w:p>
                  <w:p w:rsidR="00547530" w:rsidRPr="007D66FD" w:rsidRDefault="00547530" w:rsidP="00547530">
                    <w:pPr>
                      <w:rPr>
                        <w:rFonts w:cs="Arial"/>
                        <w:sz w:val="20"/>
                        <w:szCs w:val="20"/>
                      </w:rPr>
                    </w:pPr>
                    <w:r w:rsidRPr="007D66FD">
                      <w:rPr>
                        <w:rFonts w:cs="Arial"/>
                        <w:sz w:val="20"/>
                        <w:szCs w:val="20"/>
                      </w:rPr>
                      <w:t>GPO Box L921 Perth WA 6842</w:t>
                    </w:r>
                  </w:p>
                  <w:p w:rsidR="00547530" w:rsidRPr="007D66FD" w:rsidRDefault="00547530" w:rsidP="00547530">
                    <w:pPr>
                      <w:rPr>
                        <w:rFonts w:cs="Arial"/>
                        <w:sz w:val="20"/>
                        <w:szCs w:val="20"/>
                      </w:rPr>
                    </w:pPr>
                  </w:p>
                  <w:p w:rsidR="00547530" w:rsidRPr="007D66FD" w:rsidRDefault="00547530" w:rsidP="00547530">
                    <w:pPr>
                      <w:rPr>
                        <w:rFonts w:cs="Arial"/>
                        <w:sz w:val="20"/>
                        <w:szCs w:val="20"/>
                      </w:rPr>
                    </w:pPr>
                    <w:r w:rsidRPr="007D66FD">
                      <w:rPr>
                        <w:rFonts w:cs="Arial"/>
                        <w:sz w:val="20"/>
                        <w:szCs w:val="20"/>
                      </w:rPr>
                      <w:t>T: 13 10 87 | Fax: 08 9225 2660</w:t>
                    </w:r>
                  </w:p>
                  <w:p w:rsidR="00547530" w:rsidRPr="007D66FD" w:rsidRDefault="00547530" w:rsidP="00547530">
                    <w:pPr>
                      <w:rPr>
                        <w:rFonts w:cs="Arial"/>
                        <w:sz w:val="20"/>
                        <w:szCs w:val="20"/>
                      </w:rPr>
                    </w:pPr>
                    <w:r w:rsidRPr="007D66FD">
                      <w:rPr>
                        <w:rFonts w:cs="Arial"/>
                        <w:sz w:val="20"/>
                        <w:szCs w:val="20"/>
                      </w:rPr>
                      <w:t>TTY 1800 13 13 51 | TIS 13 14 50</w:t>
                    </w:r>
                  </w:p>
                  <w:p w:rsidR="00547530" w:rsidRPr="007D66FD" w:rsidRDefault="00547530" w:rsidP="00547530">
                    <w:pPr>
                      <w:rPr>
                        <w:rFonts w:cs="Arial"/>
                        <w:sz w:val="20"/>
                        <w:szCs w:val="20"/>
                      </w:rPr>
                    </w:pPr>
                  </w:p>
                  <w:p w:rsidR="00547530" w:rsidRPr="007D66FD" w:rsidRDefault="00547530" w:rsidP="00547530">
                    <w:pPr>
                      <w:rPr>
                        <w:rFonts w:cs="Arial"/>
                        <w:sz w:val="20"/>
                        <w:szCs w:val="20"/>
                      </w:rPr>
                    </w:pPr>
                    <w:r w:rsidRPr="007D66FD">
                      <w:rPr>
                        <w:rFonts w:cs="Arial"/>
                        <w:sz w:val="20"/>
                        <w:szCs w:val="20"/>
                      </w:rPr>
                      <w:t>Electricity Networks Corporation</w:t>
                    </w:r>
                  </w:p>
                  <w:p w:rsidR="00547530" w:rsidRPr="007D66FD" w:rsidRDefault="00547530" w:rsidP="00547530">
                    <w:pPr>
                      <w:rPr>
                        <w:rFonts w:cs="Arial"/>
                        <w:sz w:val="20"/>
                        <w:szCs w:val="20"/>
                      </w:rPr>
                    </w:pPr>
                    <w:r w:rsidRPr="007D66FD">
                      <w:rPr>
                        <w:rFonts w:cs="Arial"/>
                        <w:sz w:val="20"/>
                        <w:szCs w:val="20"/>
                      </w:rPr>
                      <w:t>ABN 18 540 492 861</w:t>
                    </w:r>
                  </w:p>
                  <w:p w:rsidR="00547530" w:rsidRPr="007D66FD" w:rsidRDefault="00547530" w:rsidP="00547530">
                    <w:pPr>
                      <w:rPr>
                        <w:rFonts w:cs="Arial"/>
                        <w:sz w:val="20"/>
                        <w:szCs w:val="20"/>
                      </w:rPr>
                    </w:pPr>
                  </w:p>
                  <w:p w:rsidR="00547530" w:rsidRPr="007D66FD" w:rsidRDefault="00547530" w:rsidP="00547530">
                    <w:pPr>
                      <w:rPr>
                        <w:rFonts w:cs="Arial"/>
                        <w:sz w:val="20"/>
                        <w:szCs w:val="20"/>
                      </w:rPr>
                    </w:pPr>
                    <w:r w:rsidRPr="007D66FD">
                      <w:rPr>
                        <w:rFonts w:cs="Arial"/>
                        <w:sz w:val="20"/>
                        <w:szCs w:val="20"/>
                      </w:rPr>
                      <w:t>enquiry@westernpower.com.au</w:t>
                    </w:r>
                  </w:p>
                  <w:p w:rsidR="00547530" w:rsidRPr="007D66FD" w:rsidRDefault="00547530" w:rsidP="00547530">
                    <w:pPr>
                      <w:rPr>
                        <w:rFonts w:cs="Arial"/>
                        <w:sz w:val="20"/>
                        <w:szCs w:val="20"/>
                      </w:rPr>
                    </w:pPr>
                    <w:r w:rsidRPr="007D66FD">
                      <w:rPr>
                        <w:rFonts w:cs="Arial"/>
                        <w:sz w:val="20"/>
                        <w:szCs w:val="20"/>
                      </w:rPr>
                      <w:t>westernpower.com.au</w:t>
                    </w:r>
                  </w:p>
                </w:txbxContent>
              </v:textbox>
            </v:shape>
          </w:pict>
        </mc:Fallback>
      </mc:AlternateContent>
    </w:r>
    <w:r>
      <w:rPr>
        <w:noProof/>
        <w:lang w:val="en-AU" w:eastAsia="en-AU"/>
      </w:rPr>
      <w:t xml:space="preserve"> </w:t>
    </w:r>
    <w:r>
      <w:rPr>
        <w:noProof/>
        <w:lang w:val="en-AU" w:eastAsia="en-AU"/>
      </w:rPr>
      <mc:AlternateContent>
        <mc:Choice Requires="wps">
          <w:drawing>
            <wp:anchor distT="0" distB="0" distL="114300" distR="114300" simplePos="0" relativeHeight="251600896" behindDoc="0" locked="0" layoutInCell="1" allowOverlap="1" wp14:anchorId="2216FCA7" wp14:editId="66E75760">
              <wp:simplePos x="0" y="0"/>
              <wp:positionH relativeFrom="page">
                <wp:posOffset>627063</wp:posOffset>
              </wp:positionH>
              <wp:positionV relativeFrom="page">
                <wp:posOffset>0</wp:posOffset>
              </wp:positionV>
              <wp:extent cx="7023100" cy="1260475"/>
              <wp:effectExtent l="0" t="0" r="6350" b="0"/>
              <wp:wrapNone/>
              <wp:docPr id="7" name="Right Triangle 7"/>
              <wp:cNvGraphicFramePr/>
              <a:graphic xmlns:a="http://schemas.openxmlformats.org/drawingml/2006/main">
                <a:graphicData uri="http://schemas.microsoft.com/office/word/2010/wordprocessingShape">
                  <wps:wsp>
                    <wps:cNvSpPr/>
                    <wps:spPr>
                      <a:xfrm rot="10800000">
                        <a:off x="0" y="0"/>
                        <a:ext cx="7023100" cy="1260475"/>
                      </a:xfrm>
                      <a:prstGeom prst="rtTriangle">
                        <a:avLst/>
                      </a:prstGeom>
                      <a:solidFill>
                        <a:srgbClr val="0041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C0F167"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49.4pt;margin-top:0;width:553pt;height:99.25pt;rotation:180;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" fillcolor="#004167" stroked="f" strokeweight="2pt">
              <w10:wrap anchorx="page" anchory="page"/>
            </v:shape>
          </w:pict>
        </mc:Fallback>
      </mc:AlternateContent>
    </w:r>
    <w:r>
      <w:rPr>
        <w:noProof/>
        <w:lang w:val="en-AU" w:eastAsia="en-AU"/>
      </w:rPr>
      <mc:AlternateContent>
        <mc:Choice Requires="wps">
          <w:drawing>
            <wp:anchor distT="0" distB="0" distL="114300" distR="114300" simplePos="0" relativeHeight="251711488" behindDoc="0" locked="0" layoutInCell="1" allowOverlap="1" wp14:anchorId="540FED5E" wp14:editId="021213C8">
              <wp:simplePos x="0" y="0"/>
              <wp:positionH relativeFrom="column">
                <wp:posOffset>5837872</wp:posOffset>
              </wp:positionH>
              <wp:positionV relativeFrom="paragraph">
                <wp:posOffset>423545</wp:posOffset>
              </wp:positionV>
              <wp:extent cx="1061561" cy="573610"/>
              <wp:effectExtent l="0" t="3810" r="1905" b="1905"/>
              <wp:wrapNone/>
              <wp:docPr id="9" name="Isosceles Triangle 9"/>
              <wp:cNvGraphicFramePr/>
              <a:graphic xmlns:a="http://schemas.openxmlformats.org/drawingml/2006/main">
                <a:graphicData uri="http://schemas.microsoft.com/office/word/2010/wordprocessingShape">
                  <wps:wsp>
                    <wps:cNvSpPr/>
                    <wps:spPr>
                      <a:xfrm rot="16200000">
                        <a:off x="0" y="0"/>
                        <a:ext cx="1061561" cy="573610"/>
                      </a:xfrm>
                      <a:custGeom>
                        <a:avLst/>
                        <a:gdLst>
                          <a:gd name="connsiteX0" fmla="*/ 0 w 1061085"/>
                          <a:gd name="connsiteY0" fmla="*/ 887730 h 887730"/>
                          <a:gd name="connsiteX1" fmla="*/ 530543 w 1061085"/>
                          <a:gd name="connsiteY1" fmla="*/ 0 h 887730"/>
                          <a:gd name="connsiteX2" fmla="*/ 1061085 w 1061085"/>
                          <a:gd name="connsiteY2" fmla="*/ 887730 h 887730"/>
                          <a:gd name="connsiteX3" fmla="*/ 0 w 1061085"/>
                          <a:gd name="connsiteY3" fmla="*/ 887730 h 887730"/>
                          <a:gd name="connsiteX0" fmla="*/ 0 w 1061085"/>
                          <a:gd name="connsiteY0" fmla="*/ 382905 h 382905"/>
                          <a:gd name="connsiteX1" fmla="*/ 535305 w 1061085"/>
                          <a:gd name="connsiteY1" fmla="*/ 0 h 382905"/>
                          <a:gd name="connsiteX2" fmla="*/ 1061085 w 1061085"/>
                          <a:gd name="connsiteY2" fmla="*/ 382905 h 382905"/>
                          <a:gd name="connsiteX3" fmla="*/ 0 w 1061085"/>
                          <a:gd name="connsiteY3" fmla="*/ 382905 h 382905"/>
                          <a:gd name="connsiteX0" fmla="*/ 0 w 1061085"/>
                          <a:gd name="connsiteY0" fmla="*/ 573405 h 573405"/>
                          <a:gd name="connsiteX1" fmla="*/ 535305 w 1061085"/>
                          <a:gd name="connsiteY1" fmla="*/ 0 h 573405"/>
                          <a:gd name="connsiteX2" fmla="*/ 1061085 w 1061085"/>
                          <a:gd name="connsiteY2" fmla="*/ 573405 h 573405"/>
                          <a:gd name="connsiteX3" fmla="*/ 0 w 1061085"/>
                          <a:gd name="connsiteY3" fmla="*/ 573405 h 573405"/>
                        </a:gdLst>
                        <a:ahLst/>
                        <a:cxnLst>
                          <a:cxn ang="0">
                            <a:pos x="connsiteX0" y="connsiteY0"/>
                          </a:cxn>
                          <a:cxn ang="0">
                            <a:pos x="connsiteX1" y="connsiteY1"/>
                          </a:cxn>
                          <a:cxn ang="0">
                            <a:pos x="connsiteX2" y="connsiteY2"/>
                          </a:cxn>
                          <a:cxn ang="0">
                            <a:pos x="connsiteX3" y="connsiteY3"/>
                          </a:cxn>
                        </a:cxnLst>
                        <a:rect l="l" t="t" r="r" b="b"/>
                        <a:pathLst>
                          <a:path w="1061085" h="573405">
                            <a:moveTo>
                              <a:pt x="0" y="573405"/>
                            </a:moveTo>
                            <a:lnTo>
                              <a:pt x="535305" y="0"/>
                            </a:lnTo>
                            <a:lnTo>
                              <a:pt x="1061085" y="573405"/>
                            </a:lnTo>
                            <a:lnTo>
                              <a:pt x="0" y="573405"/>
                            </a:lnTo>
                            <a:close/>
                          </a:path>
                        </a:pathLst>
                      </a:custGeom>
                      <a:solidFill>
                        <a:srgbClr val="4071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A3E4A3" id="Isosceles Triangle 9" o:spid="_x0000_s1026" style="position:absolute;margin-left:459.65pt;margin-top:33.35pt;width:83.6pt;height:45.1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085,5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" path="m,573405l535305,r525780,573405l,573405xe" fillcolor="#40718d" stroked="f" strokeweight="2pt">
              <v:path arrowok="t" o:connecttype="custom" o:connectlocs="0,573610;535545,0;1061561,573610;0,573610" o:connectangles="0,0,0,0"/>
            </v:shape>
          </w:pict>
        </mc:Fallback>
      </mc:AlternateContent>
    </w:r>
    <w:r w:rsidRPr="00CF1AF6">
      <w:rPr>
        <w:noProof/>
        <w:lang w:val="en-AU" w:eastAsia="en-AU"/>
      </w:rPr>
      <w:drawing>
        <wp:anchor distT="0" distB="0" distL="114300" distR="114300" simplePos="0" relativeHeight="251656192" behindDoc="0" locked="0" layoutInCell="1" allowOverlap="1" wp14:anchorId="0A8D90F6" wp14:editId="73FEF4C6">
          <wp:simplePos x="0" y="0"/>
          <wp:positionH relativeFrom="column">
            <wp:posOffset>4291965</wp:posOffset>
          </wp:positionH>
          <wp:positionV relativeFrom="paragraph">
            <wp:posOffset>-82030</wp:posOffset>
          </wp:positionV>
          <wp:extent cx="1836000" cy="30240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ern Power Logo - white(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836000" cy="302400"/>
                  </a:xfrm>
                  <a:prstGeom prst="rect">
                    <a:avLst/>
                  </a:prstGeom>
                </pic:spPr>
              </pic:pic>
            </a:graphicData>
          </a:graphic>
          <wp14:sizeRelH relativeFrom="page">
            <wp14:pctWidth>0</wp14:pctWidth>
          </wp14:sizeRelH>
          <wp14:sizeRelV relativeFrom="page">
            <wp14:pctHeight>0</wp14:pctHeight>
          </wp14:sizeRelV>
        </wp:anchor>
      </w:drawing>
    </w:r>
  </w:p>
  <w:p w14:paraId="2D358A11" w14:textId="77777777" w:rsidR="00300681" w:rsidRDefault="00547530" w:rsidP="00300681">
    <w:pPr>
      <w:pStyle w:val="Header"/>
    </w:pPr>
    <w:r>
      <w:rPr>
        <w:noProof/>
        <w:lang w:val="en-AU" w:eastAsia="en-AU"/>
      </w:rPr>
      <w:drawing>
        <wp:inline distT="0" distB="0" distL="0" distR="0" wp14:anchorId="170144BD" wp14:editId="26B6B1BF">
          <wp:extent cx="6120130" cy="8656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 Letterhead 2016_96dpi.jpg"/>
                  <pic:cNvPicPr/>
                </pic:nvPicPr>
                <pic:blipFill>
                  <a:blip r:embed="rId2">
                    <a:extLst>
                      <a:ext uri="{28A0092B-C50C-407E-A947-70E740481C1C}">
                        <a14:useLocalDpi xmlns:a14="http://schemas.microsoft.com/office/drawing/2010/main" val="0"/>
                      </a:ext>
                    </a:extLst>
                  </a:blip>
                  <a:stretch>
                    <a:fillRect/>
                  </a:stretch>
                </pic:blipFill>
                <pic:spPr>
                  <a:xfrm>
                    <a:off x="0" y="0"/>
                    <a:ext cx="6120130" cy="86563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14E4" w14:textId="77777777" w:rsidR="00C31C09" w:rsidRDefault="00C31C09" w:rsidP="00300681">
    <w:pPr>
      <w:pStyle w:val="Header"/>
    </w:pPr>
    <w:r>
      <w:rPr>
        <w:noProof/>
        <w:lang w:val="en-AU" w:eastAsia="en-AU"/>
      </w:rPr>
      <w:t xml:space="preserve"> </w:t>
    </w:r>
  </w:p>
  <w:p w14:paraId="727D6AD5" w14:textId="77777777" w:rsidR="00C31C09" w:rsidRDefault="00C31C09" w:rsidP="00300681">
    <w:pPr>
      <w:pStyle w:val="Header"/>
    </w:pPr>
    <w:r>
      <w:rPr>
        <w:noProof/>
        <w:lang w:val="en-AU" w:eastAsia="en-AU"/>
      </w:rPr>
      <w:drawing>
        <wp:inline distT="0" distB="0" distL="0" distR="0" wp14:anchorId="49CDB0DF" wp14:editId="73073599">
          <wp:extent cx="6120130" cy="8656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 Letterhead 2016_96dp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8656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63C1DB8"/>
    <w:lvl w:ilvl="0">
      <w:numFmt w:val="bullet"/>
      <w:lvlText w:val="*"/>
      <w:lvlJc w:val="left"/>
    </w:lvl>
  </w:abstractNum>
  <w:abstractNum w:abstractNumId="1">
    <w:nsid w:val="074B0A5F"/>
    <w:multiLevelType w:val="hybridMultilevel"/>
    <w:tmpl w:val="1B0E6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4570CA"/>
    <w:multiLevelType w:val="hybridMultilevel"/>
    <w:tmpl w:val="F6D4A73C"/>
    <w:lvl w:ilvl="0" w:tplc="A78412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2C06D0"/>
    <w:multiLevelType w:val="hybridMultilevel"/>
    <w:tmpl w:val="0D1A2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AC6729"/>
    <w:multiLevelType w:val="hybridMultilevel"/>
    <w:tmpl w:val="00BA1A3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8A1697"/>
    <w:multiLevelType w:val="hybridMultilevel"/>
    <w:tmpl w:val="9396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BC2BA3"/>
    <w:multiLevelType w:val="hybridMultilevel"/>
    <w:tmpl w:val="A4001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6765B5"/>
    <w:multiLevelType w:val="hybridMultilevel"/>
    <w:tmpl w:val="2B4EA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E5C3A3C"/>
    <w:multiLevelType w:val="hybridMultilevel"/>
    <w:tmpl w:val="042E908C"/>
    <w:lvl w:ilvl="0" w:tplc="515240C4">
      <w:start w:val="3"/>
      <w:numFmt w:val="bullet"/>
      <w:lvlText w:val="-"/>
      <w:lvlJc w:val="left"/>
      <w:pPr>
        <w:ind w:left="1133" w:hanging="360"/>
      </w:pPr>
      <w:rPr>
        <w:rFonts w:ascii="Calibri" w:eastAsia="Times New Roman" w:hAnsi="Calibri" w:cs="Calibri"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9">
    <w:nsid w:val="33527D68"/>
    <w:multiLevelType w:val="hybridMultilevel"/>
    <w:tmpl w:val="80D62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BA2260"/>
    <w:multiLevelType w:val="hybridMultilevel"/>
    <w:tmpl w:val="D306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B64A21"/>
    <w:multiLevelType w:val="hybridMultilevel"/>
    <w:tmpl w:val="D4BE1FBA"/>
    <w:lvl w:ilvl="0" w:tplc="ECB0A776">
      <w:start w:val="3"/>
      <w:numFmt w:val="bullet"/>
      <w:lvlText w:val="-"/>
      <w:lvlJc w:val="left"/>
      <w:pPr>
        <w:ind w:left="1133" w:hanging="360"/>
      </w:pPr>
      <w:rPr>
        <w:rFonts w:ascii="Calibri" w:eastAsia="Times New Roman" w:hAnsi="Calibri" w:cs="Calibri"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12">
    <w:nsid w:val="3F1D6EA3"/>
    <w:multiLevelType w:val="hybridMultilevel"/>
    <w:tmpl w:val="1B84DFFC"/>
    <w:lvl w:ilvl="0" w:tplc="0C090001">
      <w:start w:val="1"/>
      <w:numFmt w:val="bullet"/>
      <w:lvlText w:val=""/>
      <w:lvlJc w:val="left"/>
      <w:pPr>
        <w:ind w:left="408" w:hanging="360"/>
      </w:pPr>
      <w:rPr>
        <w:rFonts w:ascii="Symbol" w:hAnsi="Symbol" w:hint="default"/>
        <w:b w:val="0"/>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3">
    <w:nsid w:val="4A8472C9"/>
    <w:multiLevelType w:val="hybridMultilevel"/>
    <w:tmpl w:val="9052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CA6374"/>
    <w:multiLevelType w:val="multilevel"/>
    <w:tmpl w:val="5838BAAE"/>
    <w:styleLink w:val="HoustonKempNumberingList"/>
    <w:lvl w:ilvl="0">
      <w:start w:val="1"/>
      <w:numFmt w:val="decimal"/>
      <w:pStyle w:val="Numberinglist"/>
      <w:lvlText w:val="%1."/>
      <w:lvlJc w:val="left"/>
      <w:pPr>
        <w:ind w:left="340" w:hanging="340"/>
      </w:pPr>
      <w:rPr>
        <w:rFonts w:hint="default"/>
        <w:color w:val="1F497D" w:themeColor="text2"/>
        <w:sz w:val="22"/>
      </w:rPr>
    </w:lvl>
    <w:lvl w:ilvl="1">
      <w:start w:val="1"/>
      <w:numFmt w:val="lowerRoman"/>
      <w:lvlText w:val="%2."/>
      <w:lvlJc w:val="left"/>
      <w:pPr>
        <w:ind w:left="680" w:hanging="340"/>
      </w:pPr>
      <w:rPr>
        <w:rFonts w:hint="default"/>
        <w:color w:val="C2D69B" w:themeColor="accent3" w:themeTint="9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FC44C76"/>
    <w:multiLevelType w:val="hybridMultilevel"/>
    <w:tmpl w:val="CF70A07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5D45DF"/>
    <w:multiLevelType w:val="hybridMultilevel"/>
    <w:tmpl w:val="B2F62E4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46318D"/>
    <w:multiLevelType w:val="hybridMultilevel"/>
    <w:tmpl w:val="752A67F0"/>
    <w:lvl w:ilvl="0" w:tplc="2806CD38">
      <w:start w:val="1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864EB6"/>
    <w:multiLevelType w:val="hybridMultilevel"/>
    <w:tmpl w:val="BB78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2D211C"/>
    <w:multiLevelType w:val="multilevel"/>
    <w:tmpl w:val="9AB6D666"/>
    <w:styleLink w:val="Style1"/>
    <w:lvl w:ilvl="0">
      <w:start w:val="1"/>
      <w:numFmt w:val="bullet"/>
      <w:pStyle w:val="Bulletlist"/>
      <w:lvlText w:val=""/>
      <w:lvlJc w:val="left"/>
      <w:pPr>
        <w:ind w:left="340" w:hanging="340"/>
      </w:pPr>
      <w:rPr>
        <w:rFonts w:ascii="Symbol" w:hAnsi="Symbol" w:hint="default"/>
        <w:b w:val="0"/>
        <w:i w:val="0"/>
        <w:color w:val="C0504D" w:themeColor="accent2"/>
        <w:sz w:val="20"/>
      </w:rPr>
    </w:lvl>
    <w:lvl w:ilvl="1">
      <w:start w:val="1"/>
      <w:numFmt w:val="bullet"/>
      <w:lvlText w:val="&gt;"/>
      <w:lvlJc w:val="left"/>
      <w:pPr>
        <w:ind w:left="680" w:hanging="340"/>
      </w:pPr>
      <w:rPr>
        <w:rFonts w:ascii="Century Gothic" w:hAnsi="Century Gothic" w:hint="default"/>
        <w:color w:val="C2D69B" w:themeColor="accent3" w:themeTint="99"/>
        <w:sz w:val="20"/>
      </w:rPr>
    </w:lvl>
    <w:lvl w:ilvl="2">
      <w:start w:val="1"/>
      <w:numFmt w:val="bullet"/>
      <w:lvlText w:val=""/>
      <w:lvlJc w:val="left"/>
      <w:pPr>
        <w:ind w:left="1020" w:hanging="340"/>
      </w:pPr>
      <w:rPr>
        <w:rFonts w:ascii="Wingdings" w:hAnsi="Wingdings" w:hint="default"/>
        <w:color w:val="C2D69B" w:themeColor="accent3" w:themeTint="99"/>
        <w:sz w:val="20"/>
      </w:rPr>
    </w:lvl>
    <w:lvl w:ilvl="3">
      <w:start w:val="1"/>
      <w:numFmt w:val="bullet"/>
      <w:lvlText w:val=""/>
      <w:lvlJc w:val="left"/>
      <w:pPr>
        <w:ind w:left="1360" w:hanging="340"/>
      </w:pPr>
      <w:rPr>
        <w:rFonts w:ascii="Symbol" w:hAnsi="Symbol" w:hint="default"/>
        <w:color w:val="C2D69B" w:themeColor="accent3" w:themeTint="99"/>
      </w:rPr>
    </w:lvl>
    <w:lvl w:ilvl="4">
      <w:start w:val="1"/>
      <w:numFmt w:val="bullet"/>
      <w:lvlText w:val="–"/>
      <w:lvlJc w:val="left"/>
      <w:pPr>
        <w:ind w:left="1700" w:hanging="340"/>
      </w:pPr>
      <w:rPr>
        <w:rFonts w:ascii="Century Gothic" w:hAnsi="Century Gothic" w:hint="default"/>
        <w:color w:val="C2D69B" w:themeColor="accent3" w:themeTint="99"/>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0">
    <w:nsid w:val="57CD093A"/>
    <w:multiLevelType w:val="hybridMultilevel"/>
    <w:tmpl w:val="70586F1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nsid w:val="5A4F6141"/>
    <w:multiLevelType w:val="hybridMultilevel"/>
    <w:tmpl w:val="E612F44E"/>
    <w:lvl w:ilvl="0" w:tplc="03DC72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4208D5"/>
    <w:multiLevelType w:val="hybridMultilevel"/>
    <w:tmpl w:val="1892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C50E29"/>
    <w:multiLevelType w:val="hybridMultilevel"/>
    <w:tmpl w:val="D2A49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2B14D2"/>
    <w:multiLevelType w:val="hybridMultilevel"/>
    <w:tmpl w:val="BBECD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9E799C"/>
    <w:multiLevelType w:val="hybridMultilevel"/>
    <w:tmpl w:val="82D4A700"/>
    <w:lvl w:ilvl="0" w:tplc="174C18A2">
      <w:start w:val="3"/>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8BD78E6"/>
    <w:multiLevelType w:val="hybridMultilevel"/>
    <w:tmpl w:val="672C6A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396172"/>
    <w:multiLevelType w:val="singleLevel"/>
    <w:tmpl w:val="57FE359E"/>
    <w:lvl w:ilvl="0">
      <w:start w:val="1"/>
      <w:numFmt w:val="bullet"/>
      <w:pStyle w:val="BulletFormat"/>
      <w:lvlText w:val=""/>
      <w:lvlJc w:val="left"/>
      <w:pPr>
        <w:tabs>
          <w:tab w:val="num" w:pos="360"/>
        </w:tabs>
        <w:ind w:left="360" w:hanging="360"/>
      </w:pPr>
      <w:rPr>
        <w:rFonts w:ascii="Symbol" w:hAnsi="Symbol" w:hint="default"/>
      </w:rPr>
    </w:lvl>
  </w:abstractNum>
  <w:abstractNum w:abstractNumId="28">
    <w:nsid w:val="71046E01"/>
    <w:multiLevelType w:val="hybridMultilevel"/>
    <w:tmpl w:val="D256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B33BE5"/>
    <w:multiLevelType w:val="hybridMultilevel"/>
    <w:tmpl w:val="24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41783D"/>
    <w:multiLevelType w:val="hybridMultilevel"/>
    <w:tmpl w:val="05247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E74D2F"/>
    <w:multiLevelType w:val="hybridMultilevel"/>
    <w:tmpl w:val="48E28106"/>
    <w:lvl w:ilvl="0" w:tplc="820804BC">
      <w:start w:val="4"/>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5B21DF"/>
    <w:multiLevelType w:val="hybridMultilevel"/>
    <w:tmpl w:val="E398F550"/>
    <w:lvl w:ilvl="0" w:tplc="5F8AA54C">
      <w:start w:val="3"/>
      <w:numFmt w:val="bullet"/>
      <w:lvlText w:val="-"/>
      <w:lvlJc w:val="left"/>
      <w:pPr>
        <w:ind w:left="1133" w:hanging="360"/>
      </w:pPr>
      <w:rPr>
        <w:rFonts w:ascii="Calibri" w:eastAsia="Times New Roman" w:hAnsi="Calibri" w:cs="Calibri"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33">
    <w:nsid w:val="79C25375"/>
    <w:multiLevelType w:val="hybridMultilevel"/>
    <w:tmpl w:val="27AC3C16"/>
    <w:lvl w:ilvl="0" w:tplc="8E76BA1A">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BE13A90"/>
    <w:multiLevelType w:val="hybridMultilevel"/>
    <w:tmpl w:val="B1CA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5"/>
  </w:num>
  <w:num w:numId="4">
    <w:abstractNumId w:val="26"/>
  </w:num>
  <w:num w:numId="5">
    <w:abstractNumId w:val="7"/>
  </w:num>
  <w:num w:numId="6">
    <w:abstractNumId w:val="15"/>
  </w:num>
  <w:num w:numId="7">
    <w:abstractNumId w:val="23"/>
  </w:num>
  <w:num w:numId="8">
    <w:abstractNumId w:val="24"/>
  </w:num>
  <w:num w:numId="9">
    <w:abstractNumId w:val="34"/>
  </w:num>
  <w:num w:numId="10">
    <w:abstractNumId w:val="20"/>
  </w:num>
  <w:num w:numId="11">
    <w:abstractNumId w:val="1"/>
  </w:num>
  <w:num w:numId="12">
    <w:abstractNumId w:val="28"/>
  </w:num>
  <w:num w:numId="13">
    <w:abstractNumId w:val="30"/>
  </w:num>
  <w:num w:numId="14">
    <w:abstractNumId w:val="13"/>
  </w:num>
  <w:num w:numId="15">
    <w:abstractNumId w:val="32"/>
  </w:num>
  <w:num w:numId="16">
    <w:abstractNumId w:val="11"/>
  </w:num>
  <w:num w:numId="17">
    <w:abstractNumId w:val="8"/>
  </w:num>
  <w:num w:numId="18">
    <w:abstractNumId w:val="33"/>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18"/>
  </w:num>
  <w:num w:numId="21">
    <w:abstractNumId w:val="17"/>
  </w:num>
  <w:num w:numId="22">
    <w:abstractNumId w:val="22"/>
  </w:num>
  <w:num w:numId="23">
    <w:abstractNumId w:val="6"/>
  </w:num>
  <w:num w:numId="24">
    <w:abstractNumId w:val="10"/>
  </w:num>
  <w:num w:numId="25">
    <w:abstractNumId w:val="9"/>
  </w:num>
  <w:num w:numId="26">
    <w:abstractNumId w:val="29"/>
  </w:num>
  <w:num w:numId="27">
    <w:abstractNumId w:val="25"/>
  </w:num>
  <w:num w:numId="28">
    <w:abstractNumId w:val="3"/>
  </w:num>
  <w:num w:numId="29">
    <w:abstractNumId w:val="27"/>
  </w:num>
  <w:num w:numId="30">
    <w:abstractNumId w:val="14"/>
  </w:num>
  <w:num w:numId="31">
    <w:abstractNumId w:val="19"/>
  </w:num>
  <w:num w:numId="32">
    <w:abstractNumId w:val="2"/>
  </w:num>
  <w:num w:numId="33">
    <w:abstractNumId w:val="16"/>
  </w:num>
  <w:num w:numId="34">
    <w:abstractNumId w:val="21"/>
  </w:num>
  <w:num w:numId="3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3f4bbbf-ce24-4192-b899-bf27fceb7e5d"/>
  </w:docVars>
  <w:rsids>
    <w:rsidRoot w:val="00547530"/>
    <w:rsid w:val="00000859"/>
    <w:rsid w:val="00001E4B"/>
    <w:rsid w:val="00002785"/>
    <w:rsid w:val="00003A7D"/>
    <w:rsid w:val="00004B7F"/>
    <w:rsid w:val="00006FA9"/>
    <w:rsid w:val="0001183F"/>
    <w:rsid w:val="00023E80"/>
    <w:rsid w:val="000254BF"/>
    <w:rsid w:val="00026561"/>
    <w:rsid w:val="00031239"/>
    <w:rsid w:val="000334B5"/>
    <w:rsid w:val="00036402"/>
    <w:rsid w:val="00042872"/>
    <w:rsid w:val="000432C0"/>
    <w:rsid w:val="000443D3"/>
    <w:rsid w:val="00050390"/>
    <w:rsid w:val="00055F46"/>
    <w:rsid w:val="00057EEA"/>
    <w:rsid w:val="000659EE"/>
    <w:rsid w:val="00065EE0"/>
    <w:rsid w:val="00067160"/>
    <w:rsid w:val="000739C5"/>
    <w:rsid w:val="00073B7D"/>
    <w:rsid w:val="0007468F"/>
    <w:rsid w:val="00080124"/>
    <w:rsid w:val="00080EB1"/>
    <w:rsid w:val="00082C27"/>
    <w:rsid w:val="00086DDD"/>
    <w:rsid w:val="000912DA"/>
    <w:rsid w:val="00092D26"/>
    <w:rsid w:val="00096E0C"/>
    <w:rsid w:val="000A00F2"/>
    <w:rsid w:val="000A35EF"/>
    <w:rsid w:val="000A37D5"/>
    <w:rsid w:val="000A409F"/>
    <w:rsid w:val="000A4332"/>
    <w:rsid w:val="000A603A"/>
    <w:rsid w:val="000A67FD"/>
    <w:rsid w:val="000A6CB5"/>
    <w:rsid w:val="000A7F23"/>
    <w:rsid w:val="000B0F7D"/>
    <w:rsid w:val="000C0EED"/>
    <w:rsid w:val="000C49F2"/>
    <w:rsid w:val="000E31C0"/>
    <w:rsid w:val="000E3BDF"/>
    <w:rsid w:val="000E6BF7"/>
    <w:rsid w:val="000F33F4"/>
    <w:rsid w:val="000F783E"/>
    <w:rsid w:val="0010121F"/>
    <w:rsid w:val="001015A0"/>
    <w:rsid w:val="00102577"/>
    <w:rsid w:val="00102A87"/>
    <w:rsid w:val="00104545"/>
    <w:rsid w:val="00104AC5"/>
    <w:rsid w:val="00116AC1"/>
    <w:rsid w:val="0012083F"/>
    <w:rsid w:val="00125778"/>
    <w:rsid w:val="00131424"/>
    <w:rsid w:val="001404E9"/>
    <w:rsid w:val="00140C23"/>
    <w:rsid w:val="00170A34"/>
    <w:rsid w:val="00173200"/>
    <w:rsid w:val="001770DA"/>
    <w:rsid w:val="0018230B"/>
    <w:rsid w:val="0018239A"/>
    <w:rsid w:val="0018699E"/>
    <w:rsid w:val="00195AF7"/>
    <w:rsid w:val="00197C3E"/>
    <w:rsid w:val="001B2B62"/>
    <w:rsid w:val="001B3177"/>
    <w:rsid w:val="001C15AD"/>
    <w:rsid w:val="001C302B"/>
    <w:rsid w:val="001C477E"/>
    <w:rsid w:val="001D2689"/>
    <w:rsid w:val="001D54CE"/>
    <w:rsid w:val="001E1060"/>
    <w:rsid w:val="001E5C31"/>
    <w:rsid w:val="001F1440"/>
    <w:rsid w:val="001F4132"/>
    <w:rsid w:val="002042F0"/>
    <w:rsid w:val="00204B23"/>
    <w:rsid w:val="0021064C"/>
    <w:rsid w:val="00211BEA"/>
    <w:rsid w:val="002128EF"/>
    <w:rsid w:val="00212BC0"/>
    <w:rsid w:val="00214A8A"/>
    <w:rsid w:val="00216429"/>
    <w:rsid w:val="00216802"/>
    <w:rsid w:val="00216F55"/>
    <w:rsid w:val="002310E0"/>
    <w:rsid w:val="00236263"/>
    <w:rsid w:val="00246C09"/>
    <w:rsid w:val="00246FE7"/>
    <w:rsid w:val="00251E1A"/>
    <w:rsid w:val="00256939"/>
    <w:rsid w:val="00270861"/>
    <w:rsid w:val="00271A39"/>
    <w:rsid w:val="00274A7B"/>
    <w:rsid w:val="00275613"/>
    <w:rsid w:val="00277347"/>
    <w:rsid w:val="00282A9C"/>
    <w:rsid w:val="00285BCA"/>
    <w:rsid w:val="002876B7"/>
    <w:rsid w:val="002950CA"/>
    <w:rsid w:val="00295BE1"/>
    <w:rsid w:val="00296377"/>
    <w:rsid w:val="002A4020"/>
    <w:rsid w:val="002A5F28"/>
    <w:rsid w:val="002A6A4D"/>
    <w:rsid w:val="002B04BA"/>
    <w:rsid w:val="002B10A4"/>
    <w:rsid w:val="002B178F"/>
    <w:rsid w:val="002B46C1"/>
    <w:rsid w:val="002C0756"/>
    <w:rsid w:val="002C0EE6"/>
    <w:rsid w:val="002C682D"/>
    <w:rsid w:val="002E180C"/>
    <w:rsid w:val="002F1BA8"/>
    <w:rsid w:val="00300681"/>
    <w:rsid w:val="00305D5C"/>
    <w:rsid w:val="0030605A"/>
    <w:rsid w:val="0030636B"/>
    <w:rsid w:val="003207CC"/>
    <w:rsid w:val="00322904"/>
    <w:rsid w:val="00330305"/>
    <w:rsid w:val="003323CE"/>
    <w:rsid w:val="00341549"/>
    <w:rsid w:val="003418CA"/>
    <w:rsid w:val="0034223B"/>
    <w:rsid w:val="003444BD"/>
    <w:rsid w:val="00344B4D"/>
    <w:rsid w:val="00347E50"/>
    <w:rsid w:val="00354B9A"/>
    <w:rsid w:val="003608CC"/>
    <w:rsid w:val="00362C69"/>
    <w:rsid w:val="003658CC"/>
    <w:rsid w:val="003677F1"/>
    <w:rsid w:val="00380B5D"/>
    <w:rsid w:val="00382551"/>
    <w:rsid w:val="00390D5D"/>
    <w:rsid w:val="003A405C"/>
    <w:rsid w:val="003A7235"/>
    <w:rsid w:val="003B04BA"/>
    <w:rsid w:val="003C1CFC"/>
    <w:rsid w:val="003C703C"/>
    <w:rsid w:val="003D127D"/>
    <w:rsid w:val="003D31DB"/>
    <w:rsid w:val="003D4A8C"/>
    <w:rsid w:val="003D4B43"/>
    <w:rsid w:val="003D528D"/>
    <w:rsid w:val="003E1DD6"/>
    <w:rsid w:val="003E6FD7"/>
    <w:rsid w:val="003F084E"/>
    <w:rsid w:val="003F3BC0"/>
    <w:rsid w:val="003F61AB"/>
    <w:rsid w:val="003F6B97"/>
    <w:rsid w:val="0040060C"/>
    <w:rsid w:val="00404905"/>
    <w:rsid w:val="00410BF7"/>
    <w:rsid w:val="004165D5"/>
    <w:rsid w:val="004207AD"/>
    <w:rsid w:val="00423A5D"/>
    <w:rsid w:val="00423DD2"/>
    <w:rsid w:val="00425465"/>
    <w:rsid w:val="00425608"/>
    <w:rsid w:val="004270AD"/>
    <w:rsid w:val="00430591"/>
    <w:rsid w:val="00442C2F"/>
    <w:rsid w:val="0044621B"/>
    <w:rsid w:val="00452551"/>
    <w:rsid w:val="00461B48"/>
    <w:rsid w:val="00461C4B"/>
    <w:rsid w:val="004627D1"/>
    <w:rsid w:val="00463819"/>
    <w:rsid w:val="00467EFB"/>
    <w:rsid w:val="004717DF"/>
    <w:rsid w:val="00471E40"/>
    <w:rsid w:val="0047577D"/>
    <w:rsid w:val="004761DD"/>
    <w:rsid w:val="004765DB"/>
    <w:rsid w:val="004776A0"/>
    <w:rsid w:val="004833F7"/>
    <w:rsid w:val="00490D4A"/>
    <w:rsid w:val="00491AF8"/>
    <w:rsid w:val="0049540D"/>
    <w:rsid w:val="004A0904"/>
    <w:rsid w:val="004A1166"/>
    <w:rsid w:val="004A11FB"/>
    <w:rsid w:val="004A652D"/>
    <w:rsid w:val="004B0B0D"/>
    <w:rsid w:val="004B2E72"/>
    <w:rsid w:val="004B3858"/>
    <w:rsid w:val="004B3DEF"/>
    <w:rsid w:val="004C270B"/>
    <w:rsid w:val="004C6D8B"/>
    <w:rsid w:val="004C73A9"/>
    <w:rsid w:val="004E0CC5"/>
    <w:rsid w:val="004E272A"/>
    <w:rsid w:val="004E361E"/>
    <w:rsid w:val="004E6E18"/>
    <w:rsid w:val="004F310F"/>
    <w:rsid w:val="004F3C12"/>
    <w:rsid w:val="004F4813"/>
    <w:rsid w:val="004F71CD"/>
    <w:rsid w:val="004F71D5"/>
    <w:rsid w:val="004F758B"/>
    <w:rsid w:val="00504486"/>
    <w:rsid w:val="00514603"/>
    <w:rsid w:val="00517FD6"/>
    <w:rsid w:val="005212EF"/>
    <w:rsid w:val="0052410F"/>
    <w:rsid w:val="00527E0E"/>
    <w:rsid w:val="0053369D"/>
    <w:rsid w:val="00547530"/>
    <w:rsid w:val="0054795D"/>
    <w:rsid w:val="00550A88"/>
    <w:rsid w:val="00567290"/>
    <w:rsid w:val="005678E8"/>
    <w:rsid w:val="00567FA0"/>
    <w:rsid w:val="005700BE"/>
    <w:rsid w:val="005720FD"/>
    <w:rsid w:val="005737B5"/>
    <w:rsid w:val="00575E46"/>
    <w:rsid w:val="00592FFA"/>
    <w:rsid w:val="00593C30"/>
    <w:rsid w:val="00596C79"/>
    <w:rsid w:val="005A6C70"/>
    <w:rsid w:val="005A7749"/>
    <w:rsid w:val="005B424C"/>
    <w:rsid w:val="005B62CA"/>
    <w:rsid w:val="005C02C6"/>
    <w:rsid w:val="005C1A92"/>
    <w:rsid w:val="005D679E"/>
    <w:rsid w:val="005E04B2"/>
    <w:rsid w:val="005F25FF"/>
    <w:rsid w:val="005F4C55"/>
    <w:rsid w:val="005F6993"/>
    <w:rsid w:val="00601F23"/>
    <w:rsid w:val="006032AD"/>
    <w:rsid w:val="00607BB3"/>
    <w:rsid w:val="006131EE"/>
    <w:rsid w:val="0062233E"/>
    <w:rsid w:val="0062300F"/>
    <w:rsid w:val="006250D5"/>
    <w:rsid w:val="00637154"/>
    <w:rsid w:val="006434A4"/>
    <w:rsid w:val="00643B52"/>
    <w:rsid w:val="00644820"/>
    <w:rsid w:val="00645424"/>
    <w:rsid w:val="00650F7D"/>
    <w:rsid w:val="00652324"/>
    <w:rsid w:val="006543B3"/>
    <w:rsid w:val="00654B5C"/>
    <w:rsid w:val="006613F3"/>
    <w:rsid w:val="0066381D"/>
    <w:rsid w:val="00664D68"/>
    <w:rsid w:val="006663AC"/>
    <w:rsid w:val="00672B65"/>
    <w:rsid w:val="006733CB"/>
    <w:rsid w:val="0067400C"/>
    <w:rsid w:val="0067560B"/>
    <w:rsid w:val="00685FCE"/>
    <w:rsid w:val="0068633A"/>
    <w:rsid w:val="0069133B"/>
    <w:rsid w:val="006951E8"/>
    <w:rsid w:val="00697EBD"/>
    <w:rsid w:val="006A2AB4"/>
    <w:rsid w:val="006A3DF9"/>
    <w:rsid w:val="006B27DB"/>
    <w:rsid w:val="006C0C8C"/>
    <w:rsid w:val="006C1A9E"/>
    <w:rsid w:val="006C2EB9"/>
    <w:rsid w:val="006D160B"/>
    <w:rsid w:val="006D248D"/>
    <w:rsid w:val="006D436A"/>
    <w:rsid w:val="006D49E8"/>
    <w:rsid w:val="006D6330"/>
    <w:rsid w:val="006D7E3E"/>
    <w:rsid w:val="006E069F"/>
    <w:rsid w:val="006E075D"/>
    <w:rsid w:val="006E475A"/>
    <w:rsid w:val="006F7A02"/>
    <w:rsid w:val="00706EA9"/>
    <w:rsid w:val="007119B9"/>
    <w:rsid w:val="00714799"/>
    <w:rsid w:val="00721C52"/>
    <w:rsid w:val="00733BF5"/>
    <w:rsid w:val="00746C21"/>
    <w:rsid w:val="0075262F"/>
    <w:rsid w:val="00755E46"/>
    <w:rsid w:val="007565EA"/>
    <w:rsid w:val="007621DC"/>
    <w:rsid w:val="0076356E"/>
    <w:rsid w:val="00771CD4"/>
    <w:rsid w:val="00772ECA"/>
    <w:rsid w:val="007835F1"/>
    <w:rsid w:val="00784134"/>
    <w:rsid w:val="007964E1"/>
    <w:rsid w:val="007A2A9E"/>
    <w:rsid w:val="007A46D4"/>
    <w:rsid w:val="007B2868"/>
    <w:rsid w:val="007B4291"/>
    <w:rsid w:val="007C10D7"/>
    <w:rsid w:val="007C4A32"/>
    <w:rsid w:val="007D398D"/>
    <w:rsid w:val="007D66FD"/>
    <w:rsid w:val="007E15E2"/>
    <w:rsid w:val="007E2A58"/>
    <w:rsid w:val="007F22F8"/>
    <w:rsid w:val="007F2A98"/>
    <w:rsid w:val="007F33EE"/>
    <w:rsid w:val="007F39FB"/>
    <w:rsid w:val="007F44B9"/>
    <w:rsid w:val="007F5C2E"/>
    <w:rsid w:val="007F7319"/>
    <w:rsid w:val="00805536"/>
    <w:rsid w:val="00806D85"/>
    <w:rsid w:val="00813347"/>
    <w:rsid w:val="00813FFD"/>
    <w:rsid w:val="008148BA"/>
    <w:rsid w:val="00821B6D"/>
    <w:rsid w:val="0082745C"/>
    <w:rsid w:val="00831089"/>
    <w:rsid w:val="00832CA2"/>
    <w:rsid w:val="00833155"/>
    <w:rsid w:val="00834CCA"/>
    <w:rsid w:val="00840DE7"/>
    <w:rsid w:val="00843ED5"/>
    <w:rsid w:val="00845270"/>
    <w:rsid w:val="00847BE8"/>
    <w:rsid w:val="00852A5B"/>
    <w:rsid w:val="008625DE"/>
    <w:rsid w:val="00863C9B"/>
    <w:rsid w:val="00866037"/>
    <w:rsid w:val="00867504"/>
    <w:rsid w:val="008728F6"/>
    <w:rsid w:val="00873A67"/>
    <w:rsid w:val="008762FC"/>
    <w:rsid w:val="00876B41"/>
    <w:rsid w:val="00877BAA"/>
    <w:rsid w:val="00887A4A"/>
    <w:rsid w:val="008906C0"/>
    <w:rsid w:val="00890CD5"/>
    <w:rsid w:val="008946A9"/>
    <w:rsid w:val="00897D81"/>
    <w:rsid w:val="008A3071"/>
    <w:rsid w:val="008A3844"/>
    <w:rsid w:val="008B161B"/>
    <w:rsid w:val="008C1902"/>
    <w:rsid w:val="008C7A4B"/>
    <w:rsid w:val="008E0BE2"/>
    <w:rsid w:val="008E494C"/>
    <w:rsid w:val="008E4B2D"/>
    <w:rsid w:val="008E63E7"/>
    <w:rsid w:val="008F55CB"/>
    <w:rsid w:val="00904E96"/>
    <w:rsid w:val="009079F0"/>
    <w:rsid w:val="009109B5"/>
    <w:rsid w:val="0091409F"/>
    <w:rsid w:val="00917310"/>
    <w:rsid w:val="00941D30"/>
    <w:rsid w:val="00943F5D"/>
    <w:rsid w:val="00944157"/>
    <w:rsid w:val="00947669"/>
    <w:rsid w:val="009476EC"/>
    <w:rsid w:val="009501C6"/>
    <w:rsid w:val="009518F4"/>
    <w:rsid w:val="009532CC"/>
    <w:rsid w:val="00954FD8"/>
    <w:rsid w:val="00956585"/>
    <w:rsid w:val="00962B28"/>
    <w:rsid w:val="00977F99"/>
    <w:rsid w:val="009819F6"/>
    <w:rsid w:val="00982999"/>
    <w:rsid w:val="00984159"/>
    <w:rsid w:val="0099556E"/>
    <w:rsid w:val="009972BD"/>
    <w:rsid w:val="009A03FF"/>
    <w:rsid w:val="009A4BD8"/>
    <w:rsid w:val="009A56C6"/>
    <w:rsid w:val="009A5D02"/>
    <w:rsid w:val="009A7B29"/>
    <w:rsid w:val="009B7FB9"/>
    <w:rsid w:val="009C19A1"/>
    <w:rsid w:val="009C775A"/>
    <w:rsid w:val="009E070B"/>
    <w:rsid w:val="009E1275"/>
    <w:rsid w:val="009F04AA"/>
    <w:rsid w:val="009F1C1D"/>
    <w:rsid w:val="00A042A4"/>
    <w:rsid w:val="00A11DC8"/>
    <w:rsid w:val="00A147B6"/>
    <w:rsid w:val="00A177F9"/>
    <w:rsid w:val="00A222CA"/>
    <w:rsid w:val="00A22E14"/>
    <w:rsid w:val="00A25D2B"/>
    <w:rsid w:val="00A26317"/>
    <w:rsid w:val="00A337AD"/>
    <w:rsid w:val="00A40257"/>
    <w:rsid w:val="00A433AE"/>
    <w:rsid w:val="00A46813"/>
    <w:rsid w:val="00A46D59"/>
    <w:rsid w:val="00A53800"/>
    <w:rsid w:val="00A61F4F"/>
    <w:rsid w:val="00A64037"/>
    <w:rsid w:val="00A67805"/>
    <w:rsid w:val="00A7536B"/>
    <w:rsid w:val="00A81A34"/>
    <w:rsid w:val="00A8626C"/>
    <w:rsid w:val="00A87D49"/>
    <w:rsid w:val="00AB4B54"/>
    <w:rsid w:val="00AB57FC"/>
    <w:rsid w:val="00AB6E86"/>
    <w:rsid w:val="00AC0033"/>
    <w:rsid w:val="00AE050E"/>
    <w:rsid w:val="00AE4C2E"/>
    <w:rsid w:val="00AE64FA"/>
    <w:rsid w:val="00AF24F3"/>
    <w:rsid w:val="00AF27FF"/>
    <w:rsid w:val="00AF4D7C"/>
    <w:rsid w:val="00AF4DFE"/>
    <w:rsid w:val="00B07B87"/>
    <w:rsid w:val="00B111CF"/>
    <w:rsid w:val="00B12B0E"/>
    <w:rsid w:val="00B21146"/>
    <w:rsid w:val="00B30E04"/>
    <w:rsid w:val="00B32057"/>
    <w:rsid w:val="00B403EF"/>
    <w:rsid w:val="00B40EDB"/>
    <w:rsid w:val="00B417F2"/>
    <w:rsid w:val="00B466CC"/>
    <w:rsid w:val="00B47FC8"/>
    <w:rsid w:val="00B5098C"/>
    <w:rsid w:val="00B50E69"/>
    <w:rsid w:val="00B5207E"/>
    <w:rsid w:val="00B648D4"/>
    <w:rsid w:val="00B64A75"/>
    <w:rsid w:val="00B64C0F"/>
    <w:rsid w:val="00B718D9"/>
    <w:rsid w:val="00B7366B"/>
    <w:rsid w:val="00B73A6B"/>
    <w:rsid w:val="00B752A8"/>
    <w:rsid w:val="00B80238"/>
    <w:rsid w:val="00B905C0"/>
    <w:rsid w:val="00B90E29"/>
    <w:rsid w:val="00B92B65"/>
    <w:rsid w:val="00B96C06"/>
    <w:rsid w:val="00B9700D"/>
    <w:rsid w:val="00B97CC5"/>
    <w:rsid w:val="00B97D80"/>
    <w:rsid w:val="00BA51F1"/>
    <w:rsid w:val="00BA6F34"/>
    <w:rsid w:val="00BB195B"/>
    <w:rsid w:val="00BB21EB"/>
    <w:rsid w:val="00BB389E"/>
    <w:rsid w:val="00BB3C6E"/>
    <w:rsid w:val="00BB450D"/>
    <w:rsid w:val="00BC0745"/>
    <w:rsid w:val="00BC40A2"/>
    <w:rsid w:val="00BD2029"/>
    <w:rsid w:val="00BD35E9"/>
    <w:rsid w:val="00BD4260"/>
    <w:rsid w:val="00BD64BC"/>
    <w:rsid w:val="00BE18F7"/>
    <w:rsid w:val="00BE4068"/>
    <w:rsid w:val="00BF0849"/>
    <w:rsid w:val="00BF4CC7"/>
    <w:rsid w:val="00BF4DCE"/>
    <w:rsid w:val="00BF7FA9"/>
    <w:rsid w:val="00C02769"/>
    <w:rsid w:val="00C06742"/>
    <w:rsid w:val="00C1054F"/>
    <w:rsid w:val="00C13118"/>
    <w:rsid w:val="00C14241"/>
    <w:rsid w:val="00C21401"/>
    <w:rsid w:val="00C25D20"/>
    <w:rsid w:val="00C31C09"/>
    <w:rsid w:val="00C34885"/>
    <w:rsid w:val="00C357EF"/>
    <w:rsid w:val="00C361A3"/>
    <w:rsid w:val="00C371FA"/>
    <w:rsid w:val="00C37506"/>
    <w:rsid w:val="00C4003C"/>
    <w:rsid w:val="00C45156"/>
    <w:rsid w:val="00C47C78"/>
    <w:rsid w:val="00C53BB5"/>
    <w:rsid w:val="00C545B4"/>
    <w:rsid w:val="00C708C3"/>
    <w:rsid w:val="00C7283A"/>
    <w:rsid w:val="00C744D3"/>
    <w:rsid w:val="00C76122"/>
    <w:rsid w:val="00C76E45"/>
    <w:rsid w:val="00C776D4"/>
    <w:rsid w:val="00C80886"/>
    <w:rsid w:val="00C818FB"/>
    <w:rsid w:val="00C87ACE"/>
    <w:rsid w:val="00C92E59"/>
    <w:rsid w:val="00C93912"/>
    <w:rsid w:val="00C96614"/>
    <w:rsid w:val="00CA0B5B"/>
    <w:rsid w:val="00CA28E1"/>
    <w:rsid w:val="00CA2C3D"/>
    <w:rsid w:val="00CB034C"/>
    <w:rsid w:val="00CB1017"/>
    <w:rsid w:val="00CC08E0"/>
    <w:rsid w:val="00CC3EC0"/>
    <w:rsid w:val="00CC430C"/>
    <w:rsid w:val="00CD0C93"/>
    <w:rsid w:val="00CD4E6A"/>
    <w:rsid w:val="00CE47B6"/>
    <w:rsid w:val="00CF0A65"/>
    <w:rsid w:val="00CF1886"/>
    <w:rsid w:val="00CF1AF6"/>
    <w:rsid w:val="00CF7411"/>
    <w:rsid w:val="00D03238"/>
    <w:rsid w:val="00D07C19"/>
    <w:rsid w:val="00D11F9C"/>
    <w:rsid w:val="00D16E49"/>
    <w:rsid w:val="00D170ED"/>
    <w:rsid w:val="00D171CB"/>
    <w:rsid w:val="00D207A0"/>
    <w:rsid w:val="00D22461"/>
    <w:rsid w:val="00D22937"/>
    <w:rsid w:val="00D253B8"/>
    <w:rsid w:val="00D3548E"/>
    <w:rsid w:val="00D3795D"/>
    <w:rsid w:val="00D37985"/>
    <w:rsid w:val="00D5744C"/>
    <w:rsid w:val="00D633C7"/>
    <w:rsid w:val="00D670CA"/>
    <w:rsid w:val="00D7043B"/>
    <w:rsid w:val="00D72BA2"/>
    <w:rsid w:val="00D75D5E"/>
    <w:rsid w:val="00D839FD"/>
    <w:rsid w:val="00D85007"/>
    <w:rsid w:val="00D91C6E"/>
    <w:rsid w:val="00DA5AF6"/>
    <w:rsid w:val="00DB50FE"/>
    <w:rsid w:val="00DB7463"/>
    <w:rsid w:val="00DD4BFE"/>
    <w:rsid w:val="00DE0CF1"/>
    <w:rsid w:val="00DE42A4"/>
    <w:rsid w:val="00DF70AF"/>
    <w:rsid w:val="00E04C43"/>
    <w:rsid w:val="00E05704"/>
    <w:rsid w:val="00E07294"/>
    <w:rsid w:val="00E11140"/>
    <w:rsid w:val="00E11C9D"/>
    <w:rsid w:val="00E12EFB"/>
    <w:rsid w:val="00E12FD5"/>
    <w:rsid w:val="00E1655D"/>
    <w:rsid w:val="00E17030"/>
    <w:rsid w:val="00E242B2"/>
    <w:rsid w:val="00E26E34"/>
    <w:rsid w:val="00E3219F"/>
    <w:rsid w:val="00E34AF5"/>
    <w:rsid w:val="00E35B04"/>
    <w:rsid w:val="00E36436"/>
    <w:rsid w:val="00E42B8A"/>
    <w:rsid w:val="00E430FB"/>
    <w:rsid w:val="00E4430C"/>
    <w:rsid w:val="00E46B53"/>
    <w:rsid w:val="00E5658A"/>
    <w:rsid w:val="00E57C60"/>
    <w:rsid w:val="00E63586"/>
    <w:rsid w:val="00E650A7"/>
    <w:rsid w:val="00E6785C"/>
    <w:rsid w:val="00E72319"/>
    <w:rsid w:val="00E72D94"/>
    <w:rsid w:val="00E74106"/>
    <w:rsid w:val="00E765A5"/>
    <w:rsid w:val="00E817CF"/>
    <w:rsid w:val="00E850D1"/>
    <w:rsid w:val="00E859AE"/>
    <w:rsid w:val="00E90532"/>
    <w:rsid w:val="00E914FC"/>
    <w:rsid w:val="00E9462D"/>
    <w:rsid w:val="00EA13C8"/>
    <w:rsid w:val="00EA7F04"/>
    <w:rsid w:val="00EB3D1F"/>
    <w:rsid w:val="00EB4272"/>
    <w:rsid w:val="00EC6E2E"/>
    <w:rsid w:val="00ED2766"/>
    <w:rsid w:val="00EE4FE4"/>
    <w:rsid w:val="00EE668F"/>
    <w:rsid w:val="00EF073F"/>
    <w:rsid w:val="00EF5C5B"/>
    <w:rsid w:val="00EF6705"/>
    <w:rsid w:val="00F04557"/>
    <w:rsid w:val="00F12D7A"/>
    <w:rsid w:val="00F146F2"/>
    <w:rsid w:val="00F1511D"/>
    <w:rsid w:val="00F16C83"/>
    <w:rsid w:val="00F17417"/>
    <w:rsid w:val="00F17589"/>
    <w:rsid w:val="00F26A4E"/>
    <w:rsid w:val="00F274AE"/>
    <w:rsid w:val="00F32501"/>
    <w:rsid w:val="00F36C86"/>
    <w:rsid w:val="00F442DA"/>
    <w:rsid w:val="00F46ECD"/>
    <w:rsid w:val="00F47DA6"/>
    <w:rsid w:val="00F55BD3"/>
    <w:rsid w:val="00F55F54"/>
    <w:rsid w:val="00F601F9"/>
    <w:rsid w:val="00F60344"/>
    <w:rsid w:val="00F6292F"/>
    <w:rsid w:val="00F63DA6"/>
    <w:rsid w:val="00F66E27"/>
    <w:rsid w:val="00F679C6"/>
    <w:rsid w:val="00F80A65"/>
    <w:rsid w:val="00F82A3F"/>
    <w:rsid w:val="00F86889"/>
    <w:rsid w:val="00F86EEF"/>
    <w:rsid w:val="00F930C8"/>
    <w:rsid w:val="00FA6FEE"/>
    <w:rsid w:val="00FB47BB"/>
    <w:rsid w:val="00FB674D"/>
    <w:rsid w:val="00FC089C"/>
    <w:rsid w:val="00FC70B2"/>
    <w:rsid w:val="00FD2712"/>
    <w:rsid w:val="00FD478A"/>
    <w:rsid w:val="00FF07D1"/>
    <w:rsid w:val="00FF2F84"/>
    <w:rsid w:val="00FF442C"/>
    <w:rsid w:val="00FF4857"/>
    <w:rsid w:val="00FF5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20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F6"/>
    <w:pPr>
      <w:jc w:val="both"/>
    </w:pPr>
    <w:rPr>
      <w:rFonts w:eastAsia="Times New Roman"/>
      <w:sz w:val="22"/>
      <w:szCs w:val="24"/>
      <w:lang w:eastAsia="en-US"/>
    </w:rPr>
  </w:style>
  <w:style w:type="paragraph" w:styleId="Heading1">
    <w:name w:val="heading 1"/>
    <w:basedOn w:val="Normal"/>
    <w:next w:val="Normal"/>
    <w:link w:val="Heading1Char"/>
    <w:uiPriority w:val="99"/>
    <w:qFormat/>
    <w:locked/>
    <w:rsid w:val="00A433AE"/>
    <w:pPr>
      <w:tabs>
        <w:tab w:val="center" w:pos="4153"/>
      </w:tabs>
      <w:ind w:right="-2"/>
      <w:jc w:val="left"/>
      <w:outlineLvl w:val="0"/>
    </w:pPr>
    <w:rPr>
      <w:rFonts w:asciiTheme="minorHAnsi" w:hAnsiTheme="minorHAnsi" w:cs="Arial"/>
      <w:b/>
      <w:color w:val="F37420"/>
      <w:sz w:val="56"/>
      <w:szCs w:val="56"/>
      <w:lang w:val="en-US"/>
    </w:rPr>
  </w:style>
  <w:style w:type="paragraph" w:styleId="Heading2">
    <w:name w:val="heading 2"/>
    <w:basedOn w:val="Heading1"/>
    <w:next w:val="Normal"/>
    <w:link w:val="Heading2Char"/>
    <w:unhideWhenUsed/>
    <w:qFormat/>
    <w:locked/>
    <w:rsid w:val="00A433AE"/>
    <w:pPr>
      <w:jc w:val="right"/>
      <w:outlineLvl w:val="1"/>
    </w:pPr>
    <w:rPr>
      <w:b w:val="0"/>
      <w:sz w:val="48"/>
      <w:szCs w:val="48"/>
    </w:rPr>
  </w:style>
  <w:style w:type="paragraph" w:styleId="Heading3">
    <w:name w:val="heading 3"/>
    <w:basedOn w:val="Normal"/>
    <w:next w:val="Normal"/>
    <w:link w:val="Heading3Char"/>
    <w:uiPriority w:val="99"/>
    <w:qFormat/>
    <w:locked/>
    <w:rsid w:val="00300681"/>
    <w:pPr>
      <w:keepNext/>
      <w:spacing w:before="240" w:after="60"/>
      <w:jc w:val="left"/>
      <w:outlineLvl w:val="2"/>
    </w:pPr>
    <w:rPr>
      <w:rFonts w:asciiTheme="minorHAnsi" w:eastAsia="Calibri" w:hAnsiTheme="minorHAnsi"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33AE"/>
    <w:rPr>
      <w:rFonts w:asciiTheme="minorHAnsi" w:eastAsia="Times New Roman" w:hAnsiTheme="minorHAnsi" w:cs="Arial"/>
      <w:b/>
      <w:color w:val="F37420"/>
      <w:sz w:val="56"/>
      <w:szCs w:val="56"/>
      <w:lang w:val="en-US" w:eastAsia="en-US"/>
    </w:rPr>
  </w:style>
  <w:style w:type="character" w:customStyle="1" w:styleId="Heading3Char">
    <w:name w:val="Heading 3 Char"/>
    <w:link w:val="Heading3"/>
    <w:uiPriority w:val="99"/>
    <w:locked/>
    <w:rsid w:val="00300681"/>
    <w:rPr>
      <w:rFonts w:asciiTheme="minorHAnsi" w:hAnsiTheme="minorHAnsi" w:cs="Arial"/>
      <w:b/>
      <w:bCs/>
      <w:sz w:val="32"/>
      <w:szCs w:val="32"/>
      <w:lang w:val="en-US" w:eastAsia="en-US"/>
    </w:rPr>
  </w:style>
  <w:style w:type="paragraph" w:styleId="Header">
    <w:name w:val="header"/>
    <w:basedOn w:val="Normal"/>
    <w:link w:val="HeaderChar"/>
    <w:uiPriority w:val="99"/>
    <w:rsid w:val="000C0EED"/>
    <w:pPr>
      <w:tabs>
        <w:tab w:val="center" w:pos="4513"/>
        <w:tab w:val="right" w:pos="9026"/>
      </w:tabs>
      <w:jc w:val="left"/>
    </w:pPr>
    <w:rPr>
      <w:rFonts w:asciiTheme="minorHAnsi" w:eastAsia="Calibri" w:hAnsiTheme="minorHAnsi"/>
      <w:szCs w:val="22"/>
      <w:lang w:val="en-US"/>
    </w:rPr>
  </w:style>
  <w:style w:type="character" w:customStyle="1" w:styleId="HeaderChar">
    <w:name w:val="Header Char"/>
    <w:link w:val="Header"/>
    <w:uiPriority w:val="99"/>
    <w:locked/>
    <w:rsid w:val="000C0EED"/>
    <w:rPr>
      <w:rFonts w:cs="Times New Roman"/>
    </w:rPr>
  </w:style>
  <w:style w:type="paragraph" w:styleId="Footer">
    <w:name w:val="footer"/>
    <w:basedOn w:val="Normal"/>
    <w:link w:val="FooterChar"/>
    <w:uiPriority w:val="99"/>
    <w:rsid w:val="000C0EED"/>
    <w:pPr>
      <w:tabs>
        <w:tab w:val="center" w:pos="4513"/>
        <w:tab w:val="right" w:pos="9026"/>
      </w:tabs>
      <w:jc w:val="left"/>
    </w:pPr>
    <w:rPr>
      <w:rFonts w:asciiTheme="minorHAnsi" w:eastAsia="Calibri" w:hAnsiTheme="minorHAnsi"/>
      <w:szCs w:val="22"/>
      <w:lang w:val="en-US"/>
    </w:rPr>
  </w:style>
  <w:style w:type="character" w:customStyle="1" w:styleId="FooterChar">
    <w:name w:val="Footer Char"/>
    <w:link w:val="Footer"/>
    <w:uiPriority w:val="99"/>
    <w:locked/>
    <w:rsid w:val="000C0EED"/>
    <w:rPr>
      <w:rFonts w:cs="Times New Roman"/>
    </w:rPr>
  </w:style>
  <w:style w:type="paragraph" w:customStyle="1" w:styleId="NoSpacing1">
    <w:name w:val="No Spacing1"/>
    <w:link w:val="NoSpacing1Char"/>
    <w:uiPriority w:val="99"/>
    <w:rsid w:val="000C0EED"/>
    <w:rPr>
      <w:szCs w:val="22"/>
      <w:lang w:eastAsia="en-US"/>
    </w:rPr>
  </w:style>
  <w:style w:type="table" w:styleId="TableGrid">
    <w:name w:val="Table Grid"/>
    <w:basedOn w:val="TableNormal"/>
    <w:uiPriority w:val="99"/>
    <w:rsid w:val="000C0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leEmphasis1">
    <w:name w:val="Subtle Emphasis1"/>
    <w:uiPriority w:val="99"/>
    <w:rsid w:val="00B97CC5"/>
    <w:rPr>
      <w:i/>
      <w:color w:val="808080"/>
    </w:rPr>
  </w:style>
  <w:style w:type="character" w:styleId="Strong">
    <w:name w:val="Strong"/>
    <w:uiPriority w:val="99"/>
    <w:qFormat/>
    <w:rsid w:val="00B97CC5"/>
    <w:rPr>
      <w:rFonts w:cs="Times New Roman"/>
      <w:b/>
    </w:rPr>
  </w:style>
  <w:style w:type="paragraph" w:styleId="BalloonText">
    <w:name w:val="Balloon Text"/>
    <w:basedOn w:val="Normal"/>
    <w:link w:val="BalloonTextChar"/>
    <w:uiPriority w:val="99"/>
    <w:semiHidden/>
    <w:rsid w:val="003D127D"/>
    <w:pPr>
      <w:jc w:val="left"/>
    </w:pPr>
    <w:rPr>
      <w:rFonts w:ascii="Tahoma" w:eastAsia="Calibri" w:hAnsi="Tahoma"/>
      <w:sz w:val="16"/>
      <w:szCs w:val="16"/>
      <w:lang w:val="en-US"/>
    </w:rPr>
  </w:style>
  <w:style w:type="character" w:customStyle="1" w:styleId="BalloonTextChar">
    <w:name w:val="Balloon Text Char"/>
    <w:link w:val="BalloonText"/>
    <w:uiPriority w:val="99"/>
    <w:semiHidden/>
    <w:locked/>
    <w:rsid w:val="003D127D"/>
    <w:rPr>
      <w:rFonts w:ascii="Tahoma" w:hAnsi="Tahoma" w:cs="Times New Roman"/>
      <w:sz w:val="16"/>
      <w:lang w:eastAsia="en-US"/>
    </w:rPr>
  </w:style>
  <w:style w:type="character" w:styleId="Hyperlink">
    <w:name w:val="Hyperlink"/>
    <w:uiPriority w:val="99"/>
    <w:rsid w:val="001770DA"/>
    <w:rPr>
      <w:rFonts w:cs="Times New Roman"/>
      <w:color w:val="0000FF"/>
      <w:u w:val="single"/>
    </w:rPr>
  </w:style>
  <w:style w:type="character" w:styleId="PageNumber">
    <w:name w:val="page number"/>
    <w:uiPriority w:val="99"/>
    <w:rsid w:val="00DB50FE"/>
    <w:rPr>
      <w:rFonts w:cs="Times New Roman"/>
    </w:rPr>
  </w:style>
  <w:style w:type="character" w:styleId="CommentReference">
    <w:name w:val="annotation reference"/>
    <w:uiPriority w:val="99"/>
    <w:semiHidden/>
    <w:rsid w:val="009532CC"/>
    <w:rPr>
      <w:rFonts w:cs="Times New Roman"/>
      <w:sz w:val="16"/>
      <w:szCs w:val="16"/>
    </w:rPr>
  </w:style>
  <w:style w:type="paragraph" w:styleId="CommentText">
    <w:name w:val="annotation text"/>
    <w:basedOn w:val="Normal"/>
    <w:link w:val="CommentTextChar"/>
    <w:uiPriority w:val="99"/>
    <w:semiHidden/>
    <w:rsid w:val="009532CC"/>
    <w:pPr>
      <w:spacing w:after="120"/>
      <w:jc w:val="left"/>
    </w:pPr>
    <w:rPr>
      <w:rFonts w:asciiTheme="minorHAnsi" w:eastAsia="Calibri" w:hAnsiTheme="minorHAnsi"/>
      <w:szCs w:val="20"/>
      <w:lang w:val="en-US"/>
    </w:rPr>
  </w:style>
  <w:style w:type="character" w:customStyle="1" w:styleId="CommentTextChar">
    <w:name w:val="Comment Text Char"/>
    <w:link w:val="CommentText"/>
    <w:uiPriority w:val="99"/>
    <w:semiHidden/>
    <w:locked/>
    <w:rsid w:val="00C776D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532CC"/>
    <w:rPr>
      <w:b/>
      <w:bCs/>
    </w:rPr>
  </w:style>
  <w:style w:type="character" w:customStyle="1" w:styleId="CommentSubjectChar">
    <w:name w:val="Comment Subject Char"/>
    <w:link w:val="CommentSubject"/>
    <w:uiPriority w:val="99"/>
    <w:semiHidden/>
    <w:locked/>
    <w:rsid w:val="00C776D4"/>
    <w:rPr>
      <w:rFonts w:cs="Times New Roman"/>
      <w:b/>
      <w:bCs/>
      <w:sz w:val="20"/>
      <w:szCs w:val="20"/>
      <w:lang w:eastAsia="en-US"/>
    </w:rPr>
  </w:style>
  <w:style w:type="paragraph" w:customStyle="1" w:styleId="CharCharChar">
    <w:name w:val="Char Char Char"/>
    <w:basedOn w:val="Normal"/>
    <w:rsid w:val="00050390"/>
    <w:pPr>
      <w:jc w:val="left"/>
    </w:pPr>
    <w:rPr>
      <w:rFonts w:asciiTheme="minorHAnsi" w:hAnsiTheme="minorHAnsi" w:cs="Arial"/>
      <w:szCs w:val="22"/>
      <w:lang w:val="en-US"/>
    </w:rPr>
  </w:style>
  <w:style w:type="paragraph" w:styleId="ListParagraph">
    <w:name w:val="List Paragraph"/>
    <w:basedOn w:val="Normal"/>
    <w:uiPriority w:val="34"/>
    <w:qFormat/>
    <w:rsid w:val="002A4020"/>
    <w:pPr>
      <w:spacing w:after="120"/>
      <w:ind w:left="720"/>
      <w:jc w:val="left"/>
    </w:pPr>
    <w:rPr>
      <w:rFonts w:asciiTheme="minorHAnsi" w:eastAsia="Calibri" w:hAnsiTheme="minorHAnsi"/>
      <w:szCs w:val="22"/>
      <w:lang w:val="en-US"/>
    </w:rPr>
  </w:style>
  <w:style w:type="paragraph" w:customStyle="1" w:styleId="Default">
    <w:name w:val="Default"/>
    <w:rsid w:val="002A4020"/>
    <w:pPr>
      <w:autoSpaceDE w:val="0"/>
      <w:autoSpaceDN w:val="0"/>
      <w:adjustRightInd w:val="0"/>
    </w:pPr>
    <w:rPr>
      <w:rFonts w:cs="Arial"/>
      <w:color w:val="000000"/>
      <w:sz w:val="24"/>
      <w:szCs w:val="24"/>
    </w:rPr>
  </w:style>
  <w:style w:type="character" w:styleId="Emphasis">
    <w:name w:val="Emphasis"/>
    <w:uiPriority w:val="20"/>
    <w:qFormat/>
    <w:locked/>
    <w:rsid w:val="003D528D"/>
    <w:rPr>
      <w:i/>
      <w:iCs/>
    </w:rPr>
  </w:style>
  <w:style w:type="character" w:styleId="PlaceholderText">
    <w:name w:val="Placeholder Text"/>
    <w:basedOn w:val="DefaultParagraphFont"/>
    <w:uiPriority w:val="99"/>
    <w:semiHidden/>
    <w:rsid w:val="00D3548E"/>
    <w:rPr>
      <w:color w:val="808080"/>
    </w:rPr>
  </w:style>
  <w:style w:type="character" w:customStyle="1" w:styleId="Heading2Char">
    <w:name w:val="Heading 2 Char"/>
    <w:basedOn w:val="DefaultParagraphFont"/>
    <w:link w:val="Heading2"/>
    <w:rsid w:val="00A433AE"/>
    <w:rPr>
      <w:rFonts w:asciiTheme="minorHAnsi" w:eastAsia="Times New Roman" w:hAnsiTheme="minorHAnsi" w:cs="Arial"/>
      <w:color w:val="F37420"/>
      <w:sz w:val="48"/>
      <w:szCs w:val="48"/>
      <w:lang w:val="en-US" w:eastAsia="en-US"/>
    </w:rPr>
  </w:style>
  <w:style w:type="paragraph" w:styleId="Subtitle">
    <w:name w:val="Subtitle"/>
    <w:basedOn w:val="Normal"/>
    <w:next w:val="Normal"/>
    <w:link w:val="SubtitleChar"/>
    <w:qFormat/>
    <w:locked/>
    <w:rsid w:val="00A433AE"/>
    <w:pPr>
      <w:tabs>
        <w:tab w:val="center" w:pos="4153"/>
        <w:tab w:val="right" w:pos="10440"/>
      </w:tabs>
      <w:ind w:right="-1800"/>
      <w:jc w:val="left"/>
    </w:pPr>
    <w:rPr>
      <w:rFonts w:asciiTheme="minorHAnsi" w:hAnsiTheme="minorHAnsi" w:cs="Arial"/>
      <w:color w:val="262626" w:themeColor="text1" w:themeTint="D9"/>
      <w:sz w:val="48"/>
      <w:szCs w:val="48"/>
      <w:lang w:val="en-US"/>
    </w:rPr>
  </w:style>
  <w:style w:type="character" w:customStyle="1" w:styleId="SubtitleChar">
    <w:name w:val="Subtitle Char"/>
    <w:basedOn w:val="DefaultParagraphFont"/>
    <w:link w:val="Subtitle"/>
    <w:rsid w:val="00A433AE"/>
    <w:rPr>
      <w:rFonts w:asciiTheme="minorHAnsi" w:eastAsia="Times New Roman" w:hAnsiTheme="minorHAnsi" w:cs="Arial"/>
      <w:color w:val="262626" w:themeColor="text1" w:themeTint="D9"/>
      <w:sz w:val="48"/>
      <w:szCs w:val="48"/>
      <w:lang w:val="en-US" w:eastAsia="en-US"/>
    </w:rPr>
  </w:style>
  <w:style w:type="paragraph" w:customStyle="1" w:styleId="Tableheading">
    <w:name w:val="Table heading"/>
    <w:basedOn w:val="NoSpacing1"/>
    <w:link w:val="TableheadingChar"/>
    <w:qFormat/>
    <w:rsid w:val="00300681"/>
    <w:pPr>
      <w:framePr w:hSpace="180" w:wrap="around" w:vAnchor="page" w:hAnchor="margin" w:y="5854"/>
    </w:pPr>
    <w:rPr>
      <w:rFonts w:asciiTheme="minorHAnsi" w:hAnsiTheme="minorHAnsi" w:cs="Arial"/>
      <w:b/>
      <w:color w:val="FFFFFF"/>
      <w:sz w:val="24"/>
      <w:szCs w:val="24"/>
    </w:rPr>
  </w:style>
  <w:style w:type="character" w:customStyle="1" w:styleId="NoSpacing1Char">
    <w:name w:val="No Spacing1 Char"/>
    <w:basedOn w:val="DefaultParagraphFont"/>
    <w:link w:val="NoSpacing1"/>
    <w:uiPriority w:val="99"/>
    <w:rsid w:val="00300681"/>
    <w:rPr>
      <w:szCs w:val="22"/>
      <w:lang w:eastAsia="en-US"/>
    </w:rPr>
  </w:style>
  <w:style w:type="character" w:customStyle="1" w:styleId="TableheadingChar">
    <w:name w:val="Table heading Char"/>
    <w:basedOn w:val="NoSpacing1Char"/>
    <w:link w:val="Tableheading"/>
    <w:rsid w:val="00300681"/>
    <w:rPr>
      <w:rFonts w:asciiTheme="minorHAnsi" w:hAnsiTheme="minorHAnsi" w:cs="Arial"/>
      <w:b/>
      <w:color w:val="FFFFFF"/>
      <w:sz w:val="24"/>
      <w:szCs w:val="24"/>
      <w:lang w:eastAsia="en-US"/>
    </w:rPr>
  </w:style>
  <w:style w:type="paragraph" w:customStyle="1" w:styleId="Footertext">
    <w:name w:val="Footer text"/>
    <w:basedOn w:val="Footer"/>
    <w:link w:val="FootertextChar"/>
    <w:qFormat/>
    <w:rsid w:val="00887A4A"/>
    <w:pPr>
      <w:tabs>
        <w:tab w:val="clear" w:pos="9026"/>
        <w:tab w:val="right" w:pos="9639"/>
      </w:tabs>
    </w:pPr>
  </w:style>
  <w:style w:type="character" w:customStyle="1" w:styleId="FootertextChar">
    <w:name w:val="Footer text Char"/>
    <w:basedOn w:val="FooterChar"/>
    <w:link w:val="Footertext"/>
    <w:rsid w:val="00887A4A"/>
    <w:rPr>
      <w:rFonts w:asciiTheme="minorHAnsi" w:hAnsiTheme="minorHAnsi" w:cs="Times New Roman"/>
      <w:sz w:val="22"/>
      <w:szCs w:val="22"/>
      <w:lang w:val="en-US" w:eastAsia="en-US"/>
    </w:rPr>
  </w:style>
  <w:style w:type="paragraph" w:customStyle="1" w:styleId="footerstyle">
    <w:name w:val="footer style"/>
    <w:basedOn w:val="Normal"/>
    <w:link w:val="footerstyleChar"/>
    <w:rsid w:val="00CF1AF6"/>
    <w:pPr>
      <w:tabs>
        <w:tab w:val="left" w:pos="3119"/>
        <w:tab w:val="left" w:pos="6237"/>
      </w:tabs>
      <w:jc w:val="left"/>
    </w:pPr>
    <w:rPr>
      <w:sz w:val="16"/>
      <w:szCs w:val="16"/>
    </w:rPr>
  </w:style>
  <w:style w:type="character" w:customStyle="1" w:styleId="footerstyleChar">
    <w:name w:val="footer style Char"/>
    <w:link w:val="footerstyle"/>
    <w:rsid w:val="00CF1AF6"/>
    <w:rPr>
      <w:rFonts w:eastAsia="Times New Roman"/>
      <w:sz w:val="16"/>
      <w:szCs w:val="16"/>
      <w:lang w:eastAsia="en-US"/>
    </w:rPr>
  </w:style>
  <w:style w:type="paragraph" w:customStyle="1" w:styleId="BulletFormat">
    <w:name w:val="Bullet Format"/>
    <w:basedOn w:val="Normal"/>
    <w:rsid w:val="00550A88"/>
    <w:pPr>
      <w:numPr>
        <w:numId w:val="29"/>
      </w:numPr>
      <w:tabs>
        <w:tab w:val="left" w:pos="1134"/>
      </w:tabs>
      <w:spacing w:after="113" w:line="260" w:lineRule="atLeast"/>
    </w:pPr>
    <w:rPr>
      <w:szCs w:val="20"/>
      <w:lang w:val="en-US"/>
    </w:rPr>
  </w:style>
  <w:style w:type="paragraph" w:customStyle="1" w:styleId="Numberinglist">
    <w:name w:val="Numbering list"/>
    <w:basedOn w:val="Normal"/>
    <w:link w:val="NumberinglistChar"/>
    <w:uiPriority w:val="4"/>
    <w:qFormat/>
    <w:rsid w:val="002C0756"/>
    <w:pPr>
      <w:numPr>
        <w:numId w:val="30"/>
      </w:numPr>
      <w:spacing w:after="120"/>
      <w:jc w:val="left"/>
    </w:pPr>
    <w:rPr>
      <w:rFonts w:asciiTheme="minorHAnsi" w:eastAsia="Calibri" w:hAnsiTheme="minorHAnsi"/>
      <w:sz w:val="20"/>
      <w:szCs w:val="22"/>
    </w:rPr>
  </w:style>
  <w:style w:type="character" w:customStyle="1" w:styleId="NumberinglistChar">
    <w:name w:val="Numbering list Char"/>
    <w:basedOn w:val="DefaultParagraphFont"/>
    <w:link w:val="Numberinglist"/>
    <w:uiPriority w:val="4"/>
    <w:rsid w:val="002C0756"/>
    <w:rPr>
      <w:rFonts w:asciiTheme="minorHAnsi" w:hAnsiTheme="minorHAnsi"/>
      <w:szCs w:val="22"/>
      <w:lang w:eastAsia="en-US"/>
    </w:rPr>
  </w:style>
  <w:style w:type="numbering" w:customStyle="1" w:styleId="HoustonKempNumberingList">
    <w:name w:val="Houston Kemp Numbering List"/>
    <w:uiPriority w:val="99"/>
    <w:rsid w:val="002C0756"/>
    <w:pPr>
      <w:numPr>
        <w:numId w:val="30"/>
      </w:numPr>
    </w:pPr>
  </w:style>
  <w:style w:type="numbering" w:customStyle="1" w:styleId="Style1">
    <w:name w:val="Style1"/>
    <w:uiPriority w:val="99"/>
    <w:rsid w:val="003D4A8C"/>
    <w:pPr>
      <w:numPr>
        <w:numId w:val="31"/>
      </w:numPr>
    </w:pPr>
  </w:style>
  <w:style w:type="paragraph" w:customStyle="1" w:styleId="Bulletlist">
    <w:name w:val="Bullet list"/>
    <w:link w:val="BulletlistChar"/>
    <w:qFormat/>
    <w:rsid w:val="003D4A8C"/>
    <w:pPr>
      <w:numPr>
        <w:numId w:val="31"/>
      </w:numPr>
      <w:spacing w:after="120"/>
    </w:pPr>
    <w:rPr>
      <w:rFonts w:asciiTheme="minorHAnsi" w:hAnsiTheme="minorHAnsi"/>
      <w:szCs w:val="22"/>
      <w:lang w:eastAsia="en-US"/>
    </w:rPr>
  </w:style>
  <w:style w:type="character" w:customStyle="1" w:styleId="BulletlistChar">
    <w:name w:val="Bullet list Char"/>
    <w:basedOn w:val="DefaultParagraphFont"/>
    <w:link w:val="Bulletlist"/>
    <w:rsid w:val="003D4A8C"/>
    <w:rPr>
      <w:rFonts w:asciiTheme="minorHAnsi" w:hAnsiTheme="minorHAnsi"/>
      <w:szCs w:val="22"/>
      <w:lang w:eastAsia="en-US"/>
    </w:rPr>
  </w:style>
  <w:style w:type="paragraph" w:styleId="FootnoteText">
    <w:name w:val="footnote text"/>
    <w:aliases w:val="fn,(NECG) Footnote Text,ALTS FOOTNOTE,Footnote Text Char Char Char,Footnote Text Char1 Char Char,Footnote Text Char Char Char Char Char,Footnote Text Char Char1 Char Char,Footnote Text Char Char1,f,Footnote Text1,Footnote Text2, Char Char"/>
    <w:basedOn w:val="Normal"/>
    <w:link w:val="FootnoteTextChar"/>
    <w:uiPriority w:val="99"/>
    <w:unhideWhenUsed/>
    <w:qFormat/>
    <w:rsid w:val="00104545"/>
    <w:pPr>
      <w:spacing w:after="80"/>
      <w:ind w:left="113" w:hanging="113"/>
      <w:jc w:val="left"/>
    </w:pPr>
    <w:rPr>
      <w:rFonts w:eastAsia="Calibri"/>
      <w:color w:val="9BBB59" w:themeColor="accent3"/>
      <w:sz w:val="16"/>
      <w:szCs w:val="20"/>
    </w:rPr>
  </w:style>
  <w:style w:type="character" w:customStyle="1" w:styleId="FootnoteTextChar">
    <w:name w:val="Footnote Text Char"/>
    <w:aliases w:val="fn Char,(NECG) Footnote Text Char,ALTS FOOTNOTE Char,Footnote Text Char Char Char Char,Footnote Text Char1 Char Char Char,Footnote Text Char Char Char Char Char Char,Footnote Text Char Char1 Char Char Char,f Char,Footnote Text1 Char"/>
    <w:basedOn w:val="DefaultParagraphFont"/>
    <w:link w:val="FootnoteText"/>
    <w:uiPriority w:val="99"/>
    <w:rsid w:val="00104545"/>
    <w:rPr>
      <w:color w:val="9BBB59" w:themeColor="accent3"/>
      <w:sz w:val="16"/>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045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F6"/>
    <w:pPr>
      <w:jc w:val="both"/>
    </w:pPr>
    <w:rPr>
      <w:rFonts w:eastAsia="Times New Roman"/>
      <w:sz w:val="22"/>
      <w:szCs w:val="24"/>
      <w:lang w:eastAsia="en-US"/>
    </w:rPr>
  </w:style>
  <w:style w:type="paragraph" w:styleId="Heading1">
    <w:name w:val="heading 1"/>
    <w:basedOn w:val="Normal"/>
    <w:next w:val="Normal"/>
    <w:link w:val="Heading1Char"/>
    <w:uiPriority w:val="99"/>
    <w:qFormat/>
    <w:locked/>
    <w:rsid w:val="00A433AE"/>
    <w:pPr>
      <w:tabs>
        <w:tab w:val="center" w:pos="4153"/>
      </w:tabs>
      <w:ind w:right="-2"/>
      <w:jc w:val="left"/>
      <w:outlineLvl w:val="0"/>
    </w:pPr>
    <w:rPr>
      <w:rFonts w:asciiTheme="minorHAnsi" w:hAnsiTheme="minorHAnsi" w:cs="Arial"/>
      <w:b/>
      <w:color w:val="F37420"/>
      <w:sz w:val="56"/>
      <w:szCs w:val="56"/>
      <w:lang w:val="en-US"/>
    </w:rPr>
  </w:style>
  <w:style w:type="paragraph" w:styleId="Heading2">
    <w:name w:val="heading 2"/>
    <w:basedOn w:val="Heading1"/>
    <w:next w:val="Normal"/>
    <w:link w:val="Heading2Char"/>
    <w:unhideWhenUsed/>
    <w:qFormat/>
    <w:locked/>
    <w:rsid w:val="00A433AE"/>
    <w:pPr>
      <w:jc w:val="right"/>
      <w:outlineLvl w:val="1"/>
    </w:pPr>
    <w:rPr>
      <w:b w:val="0"/>
      <w:sz w:val="48"/>
      <w:szCs w:val="48"/>
    </w:rPr>
  </w:style>
  <w:style w:type="paragraph" w:styleId="Heading3">
    <w:name w:val="heading 3"/>
    <w:basedOn w:val="Normal"/>
    <w:next w:val="Normal"/>
    <w:link w:val="Heading3Char"/>
    <w:uiPriority w:val="99"/>
    <w:qFormat/>
    <w:locked/>
    <w:rsid w:val="00300681"/>
    <w:pPr>
      <w:keepNext/>
      <w:spacing w:before="240" w:after="60"/>
      <w:jc w:val="left"/>
      <w:outlineLvl w:val="2"/>
    </w:pPr>
    <w:rPr>
      <w:rFonts w:asciiTheme="minorHAnsi" w:eastAsia="Calibri" w:hAnsiTheme="minorHAnsi"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33AE"/>
    <w:rPr>
      <w:rFonts w:asciiTheme="minorHAnsi" w:eastAsia="Times New Roman" w:hAnsiTheme="minorHAnsi" w:cs="Arial"/>
      <w:b/>
      <w:color w:val="F37420"/>
      <w:sz w:val="56"/>
      <w:szCs w:val="56"/>
      <w:lang w:val="en-US" w:eastAsia="en-US"/>
    </w:rPr>
  </w:style>
  <w:style w:type="character" w:customStyle="1" w:styleId="Heading3Char">
    <w:name w:val="Heading 3 Char"/>
    <w:link w:val="Heading3"/>
    <w:uiPriority w:val="99"/>
    <w:locked/>
    <w:rsid w:val="00300681"/>
    <w:rPr>
      <w:rFonts w:asciiTheme="minorHAnsi" w:hAnsiTheme="minorHAnsi" w:cs="Arial"/>
      <w:b/>
      <w:bCs/>
      <w:sz w:val="32"/>
      <w:szCs w:val="32"/>
      <w:lang w:val="en-US" w:eastAsia="en-US"/>
    </w:rPr>
  </w:style>
  <w:style w:type="paragraph" w:styleId="Header">
    <w:name w:val="header"/>
    <w:basedOn w:val="Normal"/>
    <w:link w:val="HeaderChar"/>
    <w:uiPriority w:val="99"/>
    <w:rsid w:val="000C0EED"/>
    <w:pPr>
      <w:tabs>
        <w:tab w:val="center" w:pos="4513"/>
        <w:tab w:val="right" w:pos="9026"/>
      </w:tabs>
      <w:jc w:val="left"/>
    </w:pPr>
    <w:rPr>
      <w:rFonts w:asciiTheme="minorHAnsi" w:eastAsia="Calibri" w:hAnsiTheme="minorHAnsi"/>
      <w:szCs w:val="22"/>
      <w:lang w:val="en-US"/>
    </w:rPr>
  </w:style>
  <w:style w:type="character" w:customStyle="1" w:styleId="HeaderChar">
    <w:name w:val="Header Char"/>
    <w:link w:val="Header"/>
    <w:uiPriority w:val="99"/>
    <w:locked/>
    <w:rsid w:val="000C0EED"/>
    <w:rPr>
      <w:rFonts w:cs="Times New Roman"/>
    </w:rPr>
  </w:style>
  <w:style w:type="paragraph" w:styleId="Footer">
    <w:name w:val="footer"/>
    <w:basedOn w:val="Normal"/>
    <w:link w:val="FooterChar"/>
    <w:uiPriority w:val="99"/>
    <w:rsid w:val="000C0EED"/>
    <w:pPr>
      <w:tabs>
        <w:tab w:val="center" w:pos="4513"/>
        <w:tab w:val="right" w:pos="9026"/>
      </w:tabs>
      <w:jc w:val="left"/>
    </w:pPr>
    <w:rPr>
      <w:rFonts w:asciiTheme="minorHAnsi" w:eastAsia="Calibri" w:hAnsiTheme="minorHAnsi"/>
      <w:szCs w:val="22"/>
      <w:lang w:val="en-US"/>
    </w:rPr>
  </w:style>
  <w:style w:type="character" w:customStyle="1" w:styleId="FooterChar">
    <w:name w:val="Footer Char"/>
    <w:link w:val="Footer"/>
    <w:uiPriority w:val="99"/>
    <w:locked/>
    <w:rsid w:val="000C0EED"/>
    <w:rPr>
      <w:rFonts w:cs="Times New Roman"/>
    </w:rPr>
  </w:style>
  <w:style w:type="paragraph" w:customStyle="1" w:styleId="NoSpacing1">
    <w:name w:val="No Spacing1"/>
    <w:link w:val="NoSpacing1Char"/>
    <w:uiPriority w:val="99"/>
    <w:rsid w:val="000C0EED"/>
    <w:rPr>
      <w:szCs w:val="22"/>
      <w:lang w:eastAsia="en-US"/>
    </w:rPr>
  </w:style>
  <w:style w:type="table" w:styleId="TableGrid">
    <w:name w:val="Table Grid"/>
    <w:basedOn w:val="TableNormal"/>
    <w:uiPriority w:val="99"/>
    <w:rsid w:val="000C0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leEmphasis1">
    <w:name w:val="Subtle Emphasis1"/>
    <w:uiPriority w:val="99"/>
    <w:rsid w:val="00B97CC5"/>
    <w:rPr>
      <w:i/>
      <w:color w:val="808080"/>
    </w:rPr>
  </w:style>
  <w:style w:type="character" w:styleId="Strong">
    <w:name w:val="Strong"/>
    <w:uiPriority w:val="99"/>
    <w:qFormat/>
    <w:rsid w:val="00B97CC5"/>
    <w:rPr>
      <w:rFonts w:cs="Times New Roman"/>
      <w:b/>
    </w:rPr>
  </w:style>
  <w:style w:type="paragraph" w:styleId="BalloonText">
    <w:name w:val="Balloon Text"/>
    <w:basedOn w:val="Normal"/>
    <w:link w:val="BalloonTextChar"/>
    <w:uiPriority w:val="99"/>
    <w:semiHidden/>
    <w:rsid w:val="003D127D"/>
    <w:pPr>
      <w:jc w:val="left"/>
    </w:pPr>
    <w:rPr>
      <w:rFonts w:ascii="Tahoma" w:eastAsia="Calibri" w:hAnsi="Tahoma"/>
      <w:sz w:val="16"/>
      <w:szCs w:val="16"/>
      <w:lang w:val="en-US"/>
    </w:rPr>
  </w:style>
  <w:style w:type="character" w:customStyle="1" w:styleId="BalloonTextChar">
    <w:name w:val="Balloon Text Char"/>
    <w:link w:val="BalloonText"/>
    <w:uiPriority w:val="99"/>
    <w:semiHidden/>
    <w:locked/>
    <w:rsid w:val="003D127D"/>
    <w:rPr>
      <w:rFonts w:ascii="Tahoma" w:hAnsi="Tahoma" w:cs="Times New Roman"/>
      <w:sz w:val="16"/>
      <w:lang w:eastAsia="en-US"/>
    </w:rPr>
  </w:style>
  <w:style w:type="character" w:styleId="Hyperlink">
    <w:name w:val="Hyperlink"/>
    <w:uiPriority w:val="99"/>
    <w:rsid w:val="001770DA"/>
    <w:rPr>
      <w:rFonts w:cs="Times New Roman"/>
      <w:color w:val="0000FF"/>
      <w:u w:val="single"/>
    </w:rPr>
  </w:style>
  <w:style w:type="character" w:styleId="PageNumber">
    <w:name w:val="page number"/>
    <w:uiPriority w:val="99"/>
    <w:rsid w:val="00DB50FE"/>
    <w:rPr>
      <w:rFonts w:cs="Times New Roman"/>
    </w:rPr>
  </w:style>
  <w:style w:type="character" w:styleId="CommentReference">
    <w:name w:val="annotation reference"/>
    <w:uiPriority w:val="99"/>
    <w:semiHidden/>
    <w:rsid w:val="009532CC"/>
    <w:rPr>
      <w:rFonts w:cs="Times New Roman"/>
      <w:sz w:val="16"/>
      <w:szCs w:val="16"/>
    </w:rPr>
  </w:style>
  <w:style w:type="paragraph" w:styleId="CommentText">
    <w:name w:val="annotation text"/>
    <w:basedOn w:val="Normal"/>
    <w:link w:val="CommentTextChar"/>
    <w:uiPriority w:val="99"/>
    <w:semiHidden/>
    <w:rsid w:val="009532CC"/>
    <w:pPr>
      <w:spacing w:after="120"/>
      <w:jc w:val="left"/>
    </w:pPr>
    <w:rPr>
      <w:rFonts w:asciiTheme="minorHAnsi" w:eastAsia="Calibri" w:hAnsiTheme="minorHAnsi"/>
      <w:szCs w:val="20"/>
      <w:lang w:val="en-US"/>
    </w:rPr>
  </w:style>
  <w:style w:type="character" w:customStyle="1" w:styleId="CommentTextChar">
    <w:name w:val="Comment Text Char"/>
    <w:link w:val="CommentText"/>
    <w:uiPriority w:val="99"/>
    <w:semiHidden/>
    <w:locked/>
    <w:rsid w:val="00C776D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532CC"/>
    <w:rPr>
      <w:b/>
      <w:bCs/>
    </w:rPr>
  </w:style>
  <w:style w:type="character" w:customStyle="1" w:styleId="CommentSubjectChar">
    <w:name w:val="Comment Subject Char"/>
    <w:link w:val="CommentSubject"/>
    <w:uiPriority w:val="99"/>
    <w:semiHidden/>
    <w:locked/>
    <w:rsid w:val="00C776D4"/>
    <w:rPr>
      <w:rFonts w:cs="Times New Roman"/>
      <w:b/>
      <w:bCs/>
      <w:sz w:val="20"/>
      <w:szCs w:val="20"/>
      <w:lang w:eastAsia="en-US"/>
    </w:rPr>
  </w:style>
  <w:style w:type="paragraph" w:customStyle="1" w:styleId="CharCharChar">
    <w:name w:val="Char Char Char"/>
    <w:basedOn w:val="Normal"/>
    <w:rsid w:val="00050390"/>
    <w:pPr>
      <w:jc w:val="left"/>
    </w:pPr>
    <w:rPr>
      <w:rFonts w:asciiTheme="minorHAnsi" w:hAnsiTheme="minorHAnsi" w:cs="Arial"/>
      <w:szCs w:val="22"/>
      <w:lang w:val="en-US"/>
    </w:rPr>
  </w:style>
  <w:style w:type="paragraph" w:styleId="ListParagraph">
    <w:name w:val="List Paragraph"/>
    <w:basedOn w:val="Normal"/>
    <w:uiPriority w:val="34"/>
    <w:qFormat/>
    <w:rsid w:val="002A4020"/>
    <w:pPr>
      <w:spacing w:after="120"/>
      <w:ind w:left="720"/>
      <w:jc w:val="left"/>
    </w:pPr>
    <w:rPr>
      <w:rFonts w:asciiTheme="minorHAnsi" w:eastAsia="Calibri" w:hAnsiTheme="minorHAnsi"/>
      <w:szCs w:val="22"/>
      <w:lang w:val="en-US"/>
    </w:rPr>
  </w:style>
  <w:style w:type="paragraph" w:customStyle="1" w:styleId="Default">
    <w:name w:val="Default"/>
    <w:rsid w:val="002A4020"/>
    <w:pPr>
      <w:autoSpaceDE w:val="0"/>
      <w:autoSpaceDN w:val="0"/>
      <w:adjustRightInd w:val="0"/>
    </w:pPr>
    <w:rPr>
      <w:rFonts w:cs="Arial"/>
      <w:color w:val="000000"/>
      <w:sz w:val="24"/>
      <w:szCs w:val="24"/>
    </w:rPr>
  </w:style>
  <w:style w:type="character" w:styleId="Emphasis">
    <w:name w:val="Emphasis"/>
    <w:uiPriority w:val="20"/>
    <w:qFormat/>
    <w:locked/>
    <w:rsid w:val="003D528D"/>
    <w:rPr>
      <w:i/>
      <w:iCs/>
    </w:rPr>
  </w:style>
  <w:style w:type="character" w:styleId="PlaceholderText">
    <w:name w:val="Placeholder Text"/>
    <w:basedOn w:val="DefaultParagraphFont"/>
    <w:uiPriority w:val="99"/>
    <w:semiHidden/>
    <w:rsid w:val="00D3548E"/>
    <w:rPr>
      <w:color w:val="808080"/>
    </w:rPr>
  </w:style>
  <w:style w:type="character" w:customStyle="1" w:styleId="Heading2Char">
    <w:name w:val="Heading 2 Char"/>
    <w:basedOn w:val="DefaultParagraphFont"/>
    <w:link w:val="Heading2"/>
    <w:rsid w:val="00A433AE"/>
    <w:rPr>
      <w:rFonts w:asciiTheme="minorHAnsi" w:eastAsia="Times New Roman" w:hAnsiTheme="minorHAnsi" w:cs="Arial"/>
      <w:color w:val="F37420"/>
      <w:sz w:val="48"/>
      <w:szCs w:val="48"/>
      <w:lang w:val="en-US" w:eastAsia="en-US"/>
    </w:rPr>
  </w:style>
  <w:style w:type="paragraph" w:styleId="Subtitle">
    <w:name w:val="Subtitle"/>
    <w:basedOn w:val="Normal"/>
    <w:next w:val="Normal"/>
    <w:link w:val="SubtitleChar"/>
    <w:qFormat/>
    <w:locked/>
    <w:rsid w:val="00A433AE"/>
    <w:pPr>
      <w:tabs>
        <w:tab w:val="center" w:pos="4153"/>
        <w:tab w:val="right" w:pos="10440"/>
      </w:tabs>
      <w:ind w:right="-1800"/>
      <w:jc w:val="left"/>
    </w:pPr>
    <w:rPr>
      <w:rFonts w:asciiTheme="minorHAnsi" w:hAnsiTheme="minorHAnsi" w:cs="Arial"/>
      <w:color w:val="262626" w:themeColor="text1" w:themeTint="D9"/>
      <w:sz w:val="48"/>
      <w:szCs w:val="48"/>
      <w:lang w:val="en-US"/>
    </w:rPr>
  </w:style>
  <w:style w:type="character" w:customStyle="1" w:styleId="SubtitleChar">
    <w:name w:val="Subtitle Char"/>
    <w:basedOn w:val="DefaultParagraphFont"/>
    <w:link w:val="Subtitle"/>
    <w:rsid w:val="00A433AE"/>
    <w:rPr>
      <w:rFonts w:asciiTheme="minorHAnsi" w:eastAsia="Times New Roman" w:hAnsiTheme="minorHAnsi" w:cs="Arial"/>
      <w:color w:val="262626" w:themeColor="text1" w:themeTint="D9"/>
      <w:sz w:val="48"/>
      <w:szCs w:val="48"/>
      <w:lang w:val="en-US" w:eastAsia="en-US"/>
    </w:rPr>
  </w:style>
  <w:style w:type="paragraph" w:customStyle="1" w:styleId="Tableheading">
    <w:name w:val="Table heading"/>
    <w:basedOn w:val="NoSpacing1"/>
    <w:link w:val="TableheadingChar"/>
    <w:qFormat/>
    <w:rsid w:val="00300681"/>
    <w:pPr>
      <w:framePr w:hSpace="180" w:wrap="around" w:vAnchor="page" w:hAnchor="margin" w:y="5854"/>
    </w:pPr>
    <w:rPr>
      <w:rFonts w:asciiTheme="minorHAnsi" w:hAnsiTheme="minorHAnsi" w:cs="Arial"/>
      <w:b/>
      <w:color w:val="FFFFFF"/>
      <w:sz w:val="24"/>
      <w:szCs w:val="24"/>
    </w:rPr>
  </w:style>
  <w:style w:type="character" w:customStyle="1" w:styleId="NoSpacing1Char">
    <w:name w:val="No Spacing1 Char"/>
    <w:basedOn w:val="DefaultParagraphFont"/>
    <w:link w:val="NoSpacing1"/>
    <w:uiPriority w:val="99"/>
    <w:rsid w:val="00300681"/>
    <w:rPr>
      <w:szCs w:val="22"/>
      <w:lang w:eastAsia="en-US"/>
    </w:rPr>
  </w:style>
  <w:style w:type="character" w:customStyle="1" w:styleId="TableheadingChar">
    <w:name w:val="Table heading Char"/>
    <w:basedOn w:val="NoSpacing1Char"/>
    <w:link w:val="Tableheading"/>
    <w:rsid w:val="00300681"/>
    <w:rPr>
      <w:rFonts w:asciiTheme="minorHAnsi" w:hAnsiTheme="minorHAnsi" w:cs="Arial"/>
      <w:b/>
      <w:color w:val="FFFFFF"/>
      <w:sz w:val="24"/>
      <w:szCs w:val="24"/>
      <w:lang w:eastAsia="en-US"/>
    </w:rPr>
  </w:style>
  <w:style w:type="paragraph" w:customStyle="1" w:styleId="Footertext">
    <w:name w:val="Footer text"/>
    <w:basedOn w:val="Footer"/>
    <w:link w:val="FootertextChar"/>
    <w:qFormat/>
    <w:rsid w:val="00887A4A"/>
    <w:pPr>
      <w:tabs>
        <w:tab w:val="clear" w:pos="9026"/>
        <w:tab w:val="right" w:pos="9639"/>
      </w:tabs>
    </w:pPr>
  </w:style>
  <w:style w:type="character" w:customStyle="1" w:styleId="FootertextChar">
    <w:name w:val="Footer text Char"/>
    <w:basedOn w:val="FooterChar"/>
    <w:link w:val="Footertext"/>
    <w:rsid w:val="00887A4A"/>
    <w:rPr>
      <w:rFonts w:asciiTheme="minorHAnsi" w:hAnsiTheme="minorHAnsi" w:cs="Times New Roman"/>
      <w:sz w:val="22"/>
      <w:szCs w:val="22"/>
      <w:lang w:val="en-US" w:eastAsia="en-US"/>
    </w:rPr>
  </w:style>
  <w:style w:type="paragraph" w:customStyle="1" w:styleId="footerstyle">
    <w:name w:val="footer style"/>
    <w:basedOn w:val="Normal"/>
    <w:link w:val="footerstyleChar"/>
    <w:rsid w:val="00CF1AF6"/>
    <w:pPr>
      <w:tabs>
        <w:tab w:val="left" w:pos="3119"/>
        <w:tab w:val="left" w:pos="6237"/>
      </w:tabs>
      <w:jc w:val="left"/>
    </w:pPr>
    <w:rPr>
      <w:sz w:val="16"/>
      <w:szCs w:val="16"/>
    </w:rPr>
  </w:style>
  <w:style w:type="character" w:customStyle="1" w:styleId="footerstyleChar">
    <w:name w:val="footer style Char"/>
    <w:link w:val="footerstyle"/>
    <w:rsid w:val="00CF1AF6"/>
    <w:rPr>
      <w:rFonts w:eastAsia="Times New Roman"/>
      <w:sz w:val="16"/>
      <w:szCs w:val="16"/>
      <w:lang w:eastAsia="en-US"/>
    </w:rPr>
  </w:style>
  <w:style w:type="paragraph" w:customStyle="1" w:styleId="BulletFormat">
    <w:name w:val="Bullet Format"/>
    <w:basedOn w:val="Normal"/>
    <w:rsid w:val="00550A88"/>
    <w:pPr>
      <w:numPr>
        <w:numId w:val="29"/>
      </w:numPr>
      <w:tabs>
        <w:tab w:val="left" w:pos="1134"/>
      </w:tabs>
      <w:spacing w:after="113" w:line="260" w:lineRule="atLeast"/>
    </w:pPr>
    <w:rPr>
      <w:szCs w:val="20"/>
      <w:lang w:val="en-US"/>
    </w:rPr>
  </w:style>
  <w:style w:type="paragraph" w:customStyle="1" w:styleId="Numberinglist">
    <w:name w:val="Numbering list"/>
    <w:basedOn w:val="Normal"/>
    <w:link w:val="NumberinglistChar"/>
    <w:uiPriority w:val="4"/>
    <w:qFormat/>
    <w:rsid w:val="002C0756"/>
    <w:pPr>
      <w:numPr>
        <w:numId w:val="30"/>
      </w:numPr>
      <w:spacing w:after="120"/>
      <w:jc w:val="left"/>
    </w:pPr>
    <w:rPr>
      <w:rFonts w:asciiTheme="minorHAnsi" w:eastAsia="Calibri" w:hAnsiTheme="minorHAnsi"/>
      <w:sz w:val="20"/>
      <w:szCs w:val="22"/>
    </w:rPr>
  </w:style>
  <w:style w:type="character" w:customStyle="1" w:styleId="NumberinglistChar">
    <w:name w:val="Numbering list Char"/>
    <w:basedOn w:val="DefaultParagraphFont"/>
    <w:link w:val="Numberinglist"/>
    <w:uiPriority w:val="4"/>
    <w:rsid w:val="002C0756"/>
    <w:rPr>
      <w:rFonts w:asciiTheme="minorHAnsi" w:hAnsiTheme="minorHAnsi"/>
      <w:szCs w:val="22"/>
      <w:lang w:eastAsia="en-US"/>
    </w:rPr>
  </w:style>
  <w:style w:type="numbering" w:customStyle="1" w:styleId="HoustonKempNumberingList">
    <w:name w:val="Houston Kemp Numbering List"/>
    <w:uiPriority w:val="99"/>
    <w:rsid w:val="002C0756"/>
    <w:pPr>
      <w:numPr>
        <w:numId w:val="30"/>
      </w:numPr>
    </w:pPr>
  </w:style>
  <w:style w:type="numbering" w:customStyle="1" w:styleId="Style1">
    <w:name w:val="Style1"/>
    <w:uiPriority w:val="99"/>
    <w:rsid w:val="003D4A8C"/>
    <w:pPr>
      <w:numPr>
        <w:numId w:val="31"/>
      </w:numPr>
    </w:pPr>
  </w:style>
  <w:style w:type="paragraph" w:customStyle="1" w:styleId="Bulletlist">
    <w:name w:val="Bullet list"/>
    <w:link w:val="BulletlistChar"/>
    <w:qFormat/>
    <w:rsid w:val="003D4A8C"/>
    <w:pPr>
      <w:numPr>
        <w:numId w:val="31"/>
      </w:numPr>
      <w:spacing w:after="120"/>
    </w:pPr>
    <w:rPr>
      <w:rFonts w:asciiTheme="minorHAnsi" w:hAnsiTheme="minorHAnsi"/>
      <w:szCs w:val="22"/>
      <w:lang w:eastAsia="en-US"/>
    </w:rPr>
  </w:style>
  <w:style w:type="character" w:customStyle="1" w:styleId="BulletlistChar">
    <w:name w:val="Bullet list Char"/>
    <w:basedOn w:val="DefaultParagraphFont"/>
    <w:link w:val="Bulletlist"/>
    <w:rsid w:val="003D4A8C"/>
    <w:rPr>
      <w:rFonts w:asciiTheme="minorHAnsi" w:hAnsiTheme="minorHAnsi"/>
      <w:szCs w:val="22"/>
      <w:lang w:eastAsia="en-US"/>
    </w:rPr>
  </w:style>
  <w:style w:type="paragraph" w:styleId="FootnoteText">
    <w:name w:val="footnote text"/>
    <w:aliases w:val="fn,(NECG) Footnote Text,ALTS FOOTNOTE,Footnote Text Char Char Char,Footnote Text Char1 Char Char,Footnote Text Char Char Char Char Char,Footnote Text Char Char1 Char Char,Footnote Text Char Char1,f,Footnote Text1,Footnote Text2, Char Char"/>
    <w:basedOn w:val="Normal"/>
    <w:link w:val="FootnoteTextChar"/>
    <w:uiPriority w:val="99"/>
    <w:unhideWhenUsed/>
    <w:qFormat/>
    <w:rsid w:val="00104545"/>
    <w:pPr>
      <w:spacing w:after="80"/>
      <w:ind w:left="113" w:hanging="113"/>
      <w:jc w:val="left"/>
    </w:pPr>
    <w:rPr>
      <w:rFonts w:eastAsia="Calibri"/>
      <w:color w:val="9BBB59" w:themeColor="accent3"/>
      <w:sz w:val="16"/>
      <w:szCs w:val="20"/>
    </w:rPr>
  </w:style>
  <w:style w:type="character" w:customStyle="1" w:styleId="FootnoteTextChar">
    <w:name w:val="Footnote Text Char"/>
    <w:aliases w:val="fn Char,(NECG) Footnote Text Char,ALTS FOOTNOTE Char,Footnote Text Char Char Char Char,Footnote Text Char1 Char Char Char,Footnote Text Char Char Char Char Char Char,Footnote Text Char Char1 Char Char Char,f Char,Footnote Text1 Char"/>
    <w:basedOn w:val="DefaultParagraphFont"/>
    <w:link w:val="FootnoteText"/>
    <w:uiPriority w:val="99"/>
    <w:rsid w:val="00104545"/>
    <w:rPr>
      <w:color w:val="9BBB59" w:themeColor="accent3"/>
      <w:sz w:val="16"/>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04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823">
      <w:bodyDiv w:val="1"/>
      <w:marLeft w:val="0"/>
      <w:marRight w:val="0"/>
      <w:marTop w:val="0"/>
      <w:marBottom w:val="0"/>
      <w:divBdr>
        <w:top w:val="none" w:sz="0" w:space="0" w:color="auto"/>
        <w:left w:val="none" w:sz="0" w:space="0" w:color="auto"/>
        <w:bottom w:val="none" w:sz="0" w:space="0" w:color="auto"/>
        <w:right w:val="none" w:sz="0" w:space="0" w:color="auto"/>
      </w:divBdr>
      <w:divsChild>
        <w:div w:id="1598754938">
          <w:marLeft w:val="1166"/>
          <w:marRight w:val="0"/>
          <w:marTop w:val="77"/>
          <w:marBottom w:val="0"/>
          <w:divBdr>
            <w:top w:val="none" w:sz="0" w:space="0" w:color="auto"/>
            <w:left w:val="none" w:sz="0" w:space="0" w:color="auto"/>
            <w:bottom w:val="none" w:sz="0" w:space="0" w:color="auto"/>
            <w:right w:val="none" w:sz="0" w:space="0" w:color="auto"/>
          </w:divBdr>
        </w:div>
      </w:divsChild>
    </w:div>
    <w:div w:id="456417239">
      <w:bodyDiv w:val="1"/>
      <w:marLeft w:val="0"/>
      <w:marRight w:val="0"/>
      <w:marTop w:val="0"/>
      <w:marBottom w:val="0"/>
      <w:divBdr>
        <w:top w:val="none" w:sz="0" w:space="0" w:color="auto"/>
        <w:left w:val="none" w:sz="0" w:space="0" w:color="auto"/>
        <w:bottom w:val="none" w:sz="0" w:space="0" w:color="auto"/>
        <w:right w:val="none" w:sz="0" w:space="0" w:color="auto"/>
      </w:divBdr>
      <w:divsChild>
        <w:div w:id="783690049">
          <w:marLeft w:val="1296"/>
          <w:marRight w:val="0"/>
          <w:marTop w:val="67"/>
          <w:marBottom w:val="0"/>
          <w:divBdr>
            <w:top w:val="none" w:sz="0" w:space="0" w:color="auto"/>
            <w:left w:val="none" w:sz="0" w:space="0" w:color="auto"/>
            <w:bottom w:val="none" w:sz="0" w:space="0" w:color="auto"/>
            <w:right w:val="none" w:sz="0" w:space="0" w:color="auto"/>
          </w:divBdr>
        </w:div>
        <w:div w:id="1354963597">
          <w:marLeft w:val="1296"/>
          <w:marRight w:val="0"/>
          <w:marTop w:val="67"/>
          <w:marBottom w:val="0"/>
          <w:divBdr>
            <w:top w:val="none" w:sz="0" w:space="0" w:color="auto"/>
            <w:left w:val="none" w:sz="0" w:space="0" w:color="auto"/>
            <w:bottom w:val="none" w:sz="0" w:space="0" w:color="auto"/>
            <w:right w:val="none" w:sz="0" w:space="0" w:color="auto"/>
          </w:divBdr>
        </w:div>
        <w:div w:id="1937397579">
          <w:marLeft w:val="1296"/>
          <w:marRight w:val="0"/>
          <w:marTop w:val="67"/>
          <w:marBottom w:val="0"/>
          <w:divBdr>
            <w:top w:val="none" w:sz="0" w:space="0" w:color="auto"/>
            <w:left w:val="none" w:sz="0" w:space="0" w:color="auto"/>
            <w:bottom w:val="none" w:sz="0" w:space="0" w:color="auto"/>
            <w:right w:val="none" w:sz="0" w:space="0" w:color="auto"/>
          </w:divBdr>
        </w:div>
      </w:divsChild>
    </w:div>
    <w:div w:id="974482156">
      <w:bodyDiv w:val="1"/>
      <w:marLeft w:val="0"/>
      <w:marRight w:val="0"/>
      <w:marTop w:val="0"/>
      <w:marBottom w:val="0"/>
      <w:divBdr>
        <w:top w:val="none" w:sz="0" w:space="0" w:color="auto"/>
        <w:left w:val="none" w:sz="0" w:space="0" w:color="auto"/>
        <w:bottom w:val="none" w:sz="0" w:space="0" w:color="auto"/>
        <w:right w:val="none" w:sz="0" w:space="0" w:color="auto"/>
      </w:divBdr>
      <w:divsChild>
        <w:div w:id="135531246">
          <w:marLeft w:val="1296"/>
          <w:marRight w:val="0"/>
          <w:marTop w:val="58"/>
          <w:marBottom w:val="0"/>
          <w:divBdr>
            <w:top w:val="none" w:sz="0" w:space="0" w:color="auto"/>
            <w:left w:val="none" w:sz="0" w:space="0" w:color="auto"/>
            <w:bottom w:val="none" w:sz="0" w:space="0" w:color="auto"/>
            <w:right w:val="none" w:sz="0" w:space="0" w:color="auto"/>
          </w:divBdr>
        </w:div>
        <w:div w:id="290212043">
          <w:marLeft w:val="1296"/>
          <w:marRight w:val="0"/>
          <w:marTop w:val="58"/>
          <w:marBottom w:val="0"/>
          <w:divBdr>
            <w:top w:val="none" w:sz="0" w:space="0" w:color="auto"/>
            <w:left w:val="none" w:sz="0" w:space="0" w:color="auto"/>
            <w:bottom w:val="none" w:sz="0" w:space="0" w:color="auto"/>
            <w:right w:val="none" w:sz="0" w:space="0" w:color="auto"/>
          </w:divBdr>
        </w:div>
        <w:div w:id="802621403">
          <w:marLeft w:val="1296"/>
          <w:marRight w:val="0"/>
          <w:marTop w:val="58"/>
          <w:marBottom w:val="0"/>
          <w:divBdr>
            <w:top w:val="none" w:sz="0" w:space="0" w:color="auto"/>
            <w:left w:val="none" w:sz="0" w:space="0" w:color="auto"/>
            <w:bottom w:val="none" w:sz="0" w:space="0" w:color="auto"/>
            <w:right w:val="none" w:sz="0" w:space="0" w:color="auto"/>
          </w:divBdr>
        </w:div>
        <w:div w:id="1234660991">
          <w:marLeft w:val="1296"/>
          <w:marRight w:val="0"/>
          <w:marTop w:val="58"/>
          <w:marBottom w:val="0"/>
          <w:divBdr>
            <w:top w:val="none" w:sz="0" w:space="0" w:color="auto"/>
            <w:left w:val="none" w:sz="0" w:space="0" w:color="auto"/>
            <w:bottom w:val="none" w:sz="0" w:space="0" w:color="auto"/>
            <w:right w:val="none" w:sz="0" w:space="0" w:color="auto"/>
          </w:divBdr>
        </w:div>
      </w:divsChild>
    </w:div>
    <w:div w:id="979379698">
      <w:bodyDiv w:val="1"/>
      <w:marLeft w:val="0"/>
      <w:marRight w:val="0"/>
      <w:marTop w:val="0"/>
      <w:marBottom w:val="0"/>
      <w:divBdr>
        <w:top w:val="none" w:sz="0" w:space="0" w:color="auto"/>
        <w:left w:val="none" w:sz="0" w:space="0" w:color="auto"/>
        <w:bottom w:val="none" w:sz="0" w:space="0" w:color="auto"/>
        <w:right w:val="none" w:sz="0" w:space="0" w:color="auto"/>
      </w:divBdr>
    </w:div>
    <w:div w:id="1424298068">
      <w:marLeft w:val="0"/>
      <w:marRight w:val="0"/>
      <w:marTop w:val="0"/>
      <w:marBottom w:val="0"/>
      <w:divBdr>
        <w:top w:val="none" w:sz="0" w:space="0" w:color="auto"/>
        <w:left w:val="none" w:sz="0" w:space="0" w:color="auto"/>
        <w:bottom w:val="none" w:sz="0" w:space="0" w:color="auto"/>
        <w:right w:val="none" w:sz="0" w:space="0" w:color="auto"/>
      </w:divBdr>
    </w:div>
    <w:div w:id="1424298069">
      <w:marLeft w:val="0"/>
      <w:marRight w:val="0"/>
      <w:marTop w:val="0"/>
      <w:marBottom w:val="0"/>
      <w:divBdr>
        <w:top w:val="none" w:sz="0" w:space="0" w:color="auto"/>
        <w:left w:val="none" w:sz="0" w:space="0" w:color="auto"/>
        <w:bottom w:val="none" w:sz="0" w:space="0" w:color="auto"/>
        <w:right w:val="none" w:sz="0" w:space="0" w:color="auto"/>
      </w:divBdr>
    </w:div>
    <w:div w:id="1590000268">
      <w:bodyDiv w:val="1"/>
      <w:marLeft w:val="0"/>
      <w:marRight w:val="0"/>
      <w:marTop w:val="0"/>
      <w:marBottom w:val="0"/>
      <w:divBdr>
        <w:top w:val="none" w:sz="0" w:space="0" w:color="auto"/>
        <w:left w:val="none" w:sz="0" w:space="0" w:color="auto"/>
        <w:bottom w:val="none" w:sz="0" w:space="0" w:color="auto"/>
        <w:right w:val="none" w:sz="0" w:space="0" w:color="auto"/>
      </w:divBdr>
    </w:div>
    <w:div w:id="2111658096">
      <w:bodyDiv w:val="1"/>
      <w:marLeft w:val="0"/>
      <w:marRight w:val="0"/>
      <w:marTop w:val="0"/>
      <w:marBottom w:val="0"/>
      <w:divBdr>
        <w:top w:val="none" w:sz="0" w:space="0" w:color="auto"/>
        <w:left w:val="none" w:sz="0" w:space="0" w:color="auto"/>
        <w:bottom w:val="none" w:sz="0" w:space="0" w:color="auto"/>
        <w:right w:val="none" w:sz="0" w:space="0" w:color="auto"/>
      </w:divBdr>
      <w:divsChild>
        <w:div w:id="297883270">
          <w:marLeft w:val="1296"/>
          <w:marRight w:val="0"/>
          <w:marTop w:val="58"/>
          <w:marBottom w:val="0"/>
          <w:divBdr>
            <w:top w:val="none" w:sz="0" w:space="0" w:color="auto"/>
            <w:left w:val="none" w:sz="0" w:space="0" w:color="auto"/>
            <w:bottom w:val="none" w:sz="0" w:space="0" w:color="auto"/>
            <w:right w:val="none" w:sz="0" w:space="0" w:color="auto"/>
          </w:divBdr>
        </w:div>
        <w:div w:id="949774266">
          <w:marLeft w:val="1296"/>
          <w:marRight w:val="0"/>
          <w:marTop w:val="58"/>
          <w:marBottom w:val="0"/>
          <w:divBdr>
            <w:top w:val="none" w:sz="0" w:space="0" w:color="auto"/>
            <w:left w:val="none" w:sz="0" w:space="0" w:color="auto"/>
            <w:bottom w:val="none" w:sz="0" w:space="0" w:color="auto"/>
            <w:right w:val="none" w:sz="0" w:space="0" w:color="auto"/>
          </w:divBdr>
        </w:div>
        <w:div w:id="1349255700">
          <w:marLeft w:val="1296"/>
          <w:marRight w:val="0"/>
          <w:marTop w:val="58"/>
          <w:marBottom w:val="0"/>
          <w:divBdr>
            <w:top w:val="none" w:sz="0" w:space="0" w:color="auto"/>
            <w:left w:val="none" w:sz="0" w:space="0" w:color="auto"/>
            <w:bottom w:val="none" w:sz="0" w:space="0" w:color="auto"/>
            <w:right w:val="none" w:sz="0" w:space="0" w:color="auto"/>
          </w:divBdr>
        </w:div>
        <w:div w:id="1565792267">
          <w:marLeft w:val="1296"/>
          <w:marRight w:val="0"/>
          <w:marTop w:val="58"/>
          <w:marBottom w:val="0"/>
          <w:divBdr>
            <w:top w:val="none" w:sz="0" w:space="0" w:color="auto"/>
            <w:left w:val="none" w:sz="0" w:space="0" w:color="auto"/>
            <w:bottom w:val="none" w:sz="0" w:space="0" w:color="auto"/>
            <w:right w:val="none" w:sz="0" w:space="0" w:color="auto"/>
          </w:divBdr>
        </w:div>
      </w:divsChild>
    </w:div>
    <w:div w:id="2113166494">
      <w:bodyDiv w:val="1"/>
      <w:marLeft w:val="0"/>
      <w:marRight w:val="0"/>
      <w:marTop w:val="0"/>
      <w:marBottom w:val="0"/>
      <w:divBdr>
        <w:top w:val="none" w:sz="0" w:space="0" w:color="auto"/>
        <w:left w:val="none" w:sz="0" w:space="0" w:color="auto"/>
        <w:bottom w:val="none" w:sz="0" w:space="0" w:color="auto"/>
        <w:right w:val="none" w:sz="0" w:space="0" w:color="auto"/>
      </w:divBdr>
      <w:divsChild>
        <w:div w:id="1161432115">
          <w:marLeft w:val="0"/>
          <w:marRight w:val="0"/>
          <w:marTop w:val="0"/>
          <w:marBottom w:val="0"/>
          <w:divBdr>
            <w:top w:val="none" w:sz="0" w:space="0" w:color="auto"/>
            <w:left w:val="none" w:sz="0" w:space="0" w:color="auto"/>
            <w:bottom w:val="none" w:sz="0" w:space="0" w:color="auto"/>
            <w:right w:val="none" w:sz="0" w:space="0" w:color="auto"/>
          </w:divBdr>
          <w:divsChild>
            <w:div w:id="1533223613">
              <w:marLeft w:val="0"/>
              <w:marRight w:val="0"/>
              <w:marTop w:val="0"/>
              <w:marBottom w:val="0"/>
              <w:divBdr>
                <w:top w:val="none" w:sz="0" w:space="0" w:color="auto"/>
                <w:left w:val="none" w:sz="0" w:space="0" w:color="auto"/>
                <w:bottom w:val="none" w:sz="0" w:space="0" w:color="auto"/>
                <w:right w:val="none" w:sz="0" w:space="0" w:color="auto"/>
              </w:divBdr>
              <w:divsChild>
                <w:div w:id="701057028">
                  <w:marLeft w:val="0"/>
                  <w:marRight w:val="0"/>
                  <w:marTop w:val="0"/>
                  <w:marBottom w:val="0"/>
                  <w:divBdr>
                    <w:top w:val="none" w:sz="0" w:space="0" w:color="auto"/>
                    <w:left w:val="none" w:sz="0" w:space="0" w:color="auto"/>
                    <w:bottom w:val="none" w:sz="0" w:space="0" w:color="auto"/>
                    <w:right w:val="none" w:sz="0" w:space="0" w:color="auto"/>
                  </w:divBdr>
                  <w:divsChild>
                    <w:div w:id="1746026024">
                      <w:marLeft w:val="0"/>
                      <w:marRight w:val="0"/>
                      <w:marTop w:val="0"/>
                      <w:marBottom w:val="0"/>
                      <w:divBdr>
                        <w:top w:val="none" w:sz="0" w:space="0" w:color="auto"/>
                        <w:left w:val="none" w:sz="0" w:space="0" w:color="auto"/>
                        <w:bottom w:val="none" w:sz="0" w:space="0" w:color="auto"/>
                        <w:right w:val="none" w:sz="0" w:space="0" w:color="auto"/>
                      </w:divBdr>
                      <w:divsChild>
                        <w:div w:id="2473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Finished%20Artwork\Busbar%20Templates\WE_n12725862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25D5-53F5-4EEB-ACA9-C878EA26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WE_n12725862_Letterhead_template</Template>
  <TotalTime>17</TotalTime>
  <Pages>5</Pages>
  <Words>2310</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Creative Briefing Document</vt:lpstr>
    </vt:vector>
  </TitlesOfParts>
  <Company>Maxxia</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Power - submission on TransGrid draft framework and approach</dc:title>
  <dc:creator>Adam Portmann</dc:creator>
  <cp:keywords>Template</cp:keywords>
  <cp:lastModifiedBy>Le Cornu, Matthew</cp:lastModifiedBy>
  <cp:revision>8</cp:revision>
  <cp:lastPrinted>2016-04-28T01:43:00Z</cp:lastPrinted>
  <dcterms:created xsi:type="dcterms:W3CDTF">2016-04-27T07:29:00Z</dcterms:created>
  <dcterms:modified xsi:type="dcterms:W3CDTF">2016-05-05T04:31:00Z</dcterms:modified>
</cp:coreProperties>
</file>