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3BC" w:rsidRPr="00191FF4" w:rsidRDefault="00D059AD" w:rsidP="00F56851">
      <w:pPr>
        <w:pStyle w:val="AERTitle2"/>
        <w:rPr>
          <w:b/>
          <w:szCs w:val="32"/>
        </w:rPr>
      </w:pPr>
      <w:bookmarkStart w:id="0" w:name="_GoBack"/>
      <w:r>
        <w:rPr>
          <w:b/>
          <w:noProof/>
          <w:szCs w:val="32"/>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92" type="#_x0000_t75" alt="AER-final-orange" style="position:absolute;left:0;text-align:left;margin-left:-90.7pt;margin-top:-73.35pt;width:597.45pt;height:846pt;z-index:-251658752;visibility:visible">
            <v:imagedata r:id="rId8" o:title="AER-final-orange"/>
          </v:shape>
        </w:pict>
      </w:r>
      <w:bookmarkEnd w:id="0"/>
    </w:p>
    <w:p w:rsidR="008B0C16" w:rsidRDefault="008B0C16" w:rsidP="00A052AB">
      <w:pPr>
        <w:pStyle w:val="AERTitle1"/>
      </w:pPr>
      <w:bookmarkStart w:id="1" w:name="OLE_LINK1"/>
      <w:bookmarkStart w:id="2" w:name="OLE_LINK2"/>
    </w:p>
    <w:p w:rsidR="008B0C16" w:rsidRDefault="008B0C16" w:rsidP="00A052AB">
      <w:pPr>
        <w:pStyle w:val="AERTitle1"/>
      </w:pPr>
    </w:p>
    <w:p w:rsidR="008B0C16" w:rsidRDefault="008B0C16" w:rsidP="00A052AB">
      <w:pPr>
        <w:pStyle w:val="AERTitle1"/>
      </w:pPr>
    </w:p>
    <w:p w:rsidR="00CA2A01" w:rsidRDefault="00CA2A01" w:rsidP="00A052AB">
      <w:pPr>
        <w:pStyle w:val="AERTitle1"/>
      </w:pPr>
    </w:p>
    <w:p w:rsidR="008B0C16" w:rsidRPr="00E0671E" w:rsidRDefault="00A44C20" w:rsidP="0018678D">
      <w:pPr>
        <w:pStyle w:val="AERTitle1"/>
      </w:pPr>
      <w:bookmarkStart w:id="3" w:name="OLE_LINK5"/>
      <w:bookmarkStart w:id="4" w:name="OLE_LINK12"/>
      <w:bookmarkStart w:id="5" w:name="OLE_LINK3"/>
      <w:bookmarkStart w:id="6" w:name="OLE_LINK4"/>
      <w:r w:rsidRPr="00E0671E">
        <w:t>Quarterly Compliance Report</w:t>
      </w:r>
      <w:r w:rsidR="008A20B0" w:rsidRPr="00E0671E">
        <w:t>:</w:t>
      </w:r>
    </w:p>
    <w:p w:rsidR="008A20B0" w:rsidRPr="00236801" w:rsidRDefault="008A20B0" w:rsidP="0018678D">
      <w:pPr>
        <w:pStyle w:val="AERTitle2"/>
        <w:spacing w:before="240"/>
        <w:rPr>
          <w:highlight w:val="yellow"/>
        </w:rPr>
      </w:pPr>
      <w:r w:rsidRPr="00E0671E">
        <w:t>National Electricity and Gas Laws</w:t>
      </w:r>
      <w:bookmarkEnd w:id="3"/>
      <w:bookmarkEnd w:id="4"/>
    </w:p>
    <w:bookmarkEnd w:id="5"/>
    <w:bookmarkEnd w:id="6"/>
    <w:p w:rsidR="008A20B0" w:rsidRPr="00236801" w:rsidRDefault="008A20B0" w:rsidP="00A052AB">
      <w:pPr>
        <w:pStyle w:val="AERTitle1"/>
        <w:rPr>
          <w:highlight w:val="yellow"/>
        </w:rPr>
      </w:pPr>
    </w:p>
    <w:p w:rsidR="000733BC" w:rsidRPr="00E0671E" w:rsidRDefault="001C5042" w:rsidP="007F510E">
      <w:pPr>
        <w:pStyle w:val="AERTitle2"/>
        <w:spacing w:before="600"/>
      </w:pPr>
      <w:r>
        <w:t xml:space="preserve">July </w:t>
      </w:r>
      <w:r w:rsidR="007725E6" w:rsidRPr="00E0671E">
        <w:t xml:space="preserve">– </w:t>
      </w:r>
      <w:r>
        <w:t xml:space="preserve">September </w:t>
      </w:r>
      <w:r w:rsidR="002003A5" w:rsidRPr="00E0671E">
        <w:t>201</w:t>
      </w:r>
      <w:r w:rsidR="005D62E3">
        <w:t>4</w:t>
      </w:r>
    </w:p>
    <w:p w:rsidR="008B0C16" w:rsidRPr="00E0671E" w:rsidRDefault="008B0C16" w:rsidP="00A052AB">
      <w:pPr>
        <w:pStyle w:val="AERTitle1"/>
      </w:pPr>
    </w:p>
    <w:p w:rsidR="00C56995" w:rsidRPr="00E0671E" w:rsidRDefault="00C56995" w:rsidP="00A052AB">
      <w:pPr>
        <w:pStyle w:val="AERTitle1"/>
      </w:pPr>
    </w:p>
    <w:p w:rsidR="00C56995" w:rsidRPr="00E0671E" w:rsidRDefault="00C56995" w:rsidP="00A052AB">
      <w:pPr>
        <w:pStyle w:val="AERTitle1"/>
      </w:pPr>
    </w:p>
    <w:bookmarkEnd w:id="1"/>
    <w:bookmarkEnd w:id="2"/>
    <w:p w:rsidR="00636F32" w:rsidRDefault="00636F32" w:rsidP="00636F32">
      <w:pPr>
        <w:pStyle w:val="AERTitle2"/>
        <w:spacing w:before="1080" w:after="0"/>
      </w:pPr>
    </w:p>
    <w:p w:rsidR="000733BC" w:rsidRPr="00636F32" w:rsidRDefault="00A44C20" w:rsidP="007F510E">
      <w:pPr>
        <w:pStyle w:val="AERTitle2"/>
        <w:spacing w:before="1800"/>
        <w:rPr>
          <w:sz w:val="28"/>
          <w:szCs w:val="28"/>
        </w:rPr>
      </w:pPr>
      <w:r w:rsidRPr="00636F32">
        <w:rPr>
          <w:sz w:val="28"/>
          <w:szCs w:val="28"/>
        </w:rPr>
        <w:t xml:space="preserve">Published </w:t>
      </w:r>
      <w:r w:rsidR="00DA66C5">
        <w:rPr>
          <w:sz w:val="28"/>
          <w:szCs w:val="28"/>
        </w:rPr>
        <w:t>November</w:t>
      </w:r>
      <w:r w:rsidR="00DA66C5" w:rsidRPr="00636F32">
        <w:rPr>
          <w:sz w:val="28"/>
          <w:szCs w:val="28"/>
        </w:rPr>
        <w:t xml:space="preserve"> </w:t>
      </w:r>
      <w:r w:rsidR="0004398F">
        <w:rPr>
          <w:sz w:val="28"/>
          <w:szCs w:val="28"/>
        </w:rPr>
        <w:t>2014</w:t>
      </w:r>
    </w:p>
    <w:p w:rsidR="000733BC" w:rsidRPr="00F6235D" w:rsidRDefault="000733BC" w:rsidP="004D044A">
      <w:pPr>
        <w:pStyle w:val="AERbodytext"/>
      </w:pPr>
      <w:r w:rsidRPr="00F6235D">
        <w:lastRenderedPageBreak/>
        <w:t xml:space="preserve"> </w:t>
      </w:r>
    </w:p>
    <w:p w:rsidR="00DC724B" w:rsidRDefault="00DC724B" w:rsidP="004D044A">
      <w:pPr>
        <w:pStyle w:val="TOC1"/>
        <w:sectPr w:rsidR="00DC724B" w:rsidSect="000D2D9C">
          <w:headerReference w:type="even" r:id="rId9"/>
          <w:headerReference w:type="default" r:id="rId10"/>
          <w:footerReference w:type="even" r:id="rId11"/>
          <w:footerReference w:type="default" r:id="rId12"/>
          <w:headerReference w:type="first" r:id="rId13"/>
          <w:footerReference w:type="first" r:id="rId14"/>
          <w:pgSz w:w="11906" w:h="16838" w:code="9"/>
          <w:pgMar w:top="1440" w:right="1797" w:bottom="1440" w:left="1797" w:header="709" w:footer="709" w:gutter="0"/>
          <w:pgNumType w:fmt="lowerRoman" w:start="1"/>
          <w:cols w:space="708"/>
          <w:docGrid w:linePitch="360"/>
        </w:sectPr>
      </w:pPr>
    </w:p>
    <w:p w:rsidR="00AA1DED" w:rsidRPr="00E0671E" w:rsidRDefault="00AA1DED" w:rsidP="00963CA2">
      <w:pPr>
        <w:pStyle w:val="AERbodytext"/>
        <w:rPr>
          <w:b/>
        </w:rPr>
      </w:pPr>
      <w:r w:rsidRPr="00E0671E">
        <w:rPr>
          <w:b/>
        </w:rPr>
        <w:lastRenderedPageBreak/>
        <w:t xml:space="preserve">© Commonwealth of Australia </w:t>
      </w:r>
      <w:r w:rsidR="00553BB3" w:rsidRPr="00E0671E">
        <w:rPr>
          <w:b/>
        </w:rPr>
        <w:t>201</w:t>
      </w:r>
      <w:r w:rsidR="00553BB3">
        <w:rPr>
          <w:b/>
        </w:rPr>
        <w:t>4</w:t>
      </w:r>
    </w:p>
    <w:p w:rsidR="00BF4AD1" w:rsidRPr="00A0676A" w:rsidRDefault="00BF4AD1" w:rsidP="00BF4AD1">
      <w:pPr>
        <w:pStyle w:val="AERbodytext"/>
      </w:pPr>
      <w:r w:rsidRPr="00A0676A">
        <w:t>This work is copyright. In addition to any use permitted under the Copyright Act 1968, all material contained within this work is provided under a Creative Commons Attribution 3.0 Australia licence, with the exception of:</w:t>
      </w:r>
    </w:p>
    <w:p w:rsidR="00BF4AD1" w:rsidRPr="00A0676A" w:rsidRDefault="00BF4AD1" w:rsidP="00BF4AD1">
      <w:pPr>
        <w:pStyle w:val="AERbulletlistsecondstyle"/>
      </w:pPr>
      <w:r w:rsidRPr="00A0676A">
        <w:t>the Commonwealth Coat of Arms</w:t>
      </w:r>
    </w:p>
    <w:p w:rsidR="00BF4AD1" w:rsidRPr="00A0676A" w:rsidRDefault="00BF4AD1" w:rsidP="00BF4AD1">
      <w:pPr>
        <w:pStyle w:val="AERbulletlistsecondstyle"/>
      </w:pPr>
      <w:r w:rsidRPr="00A0676A">
        <w:t>the ACCC and AER logos</w:t>
      </w:r>
    </w:p>
    <w:p w:rsidR="00BF4AD1" w:rsidRPr="00A0676A" w:rsidRDefault="00BF4AD1" w:rsidP="00BF4AD1">
      <w:pPr>
        <w:pStyle w:val="AERbulletlistsecondstyle"/>
      </w:pPr>
      <w:r w:rsidRPr="00A0676A">
        <w:t>any illustration, diagram, photograph or graphic over which the Australian Competition and Consumer Commission does not hold copyright, but which may be part of or contained within this publication.</w:t>
      </w:r>
    </w:p>
    <w:p w:rsidR="00BF4AD1" w:rsidRPr="00A0676A" w:rsidRDefault="00BF4AD1" w:rsidP="00BF4AD1">
      <w:pPr>
        <w:pStyle w:val="AERbodytext"/>
      </w:pPr>
      <w:r w:rsidRPr="00A0676A">
        <w:t>The details of the relevant licence conditions are available on the Creative Commons website, as is the full legal code for the CC BY 3.0 AU licence.</w:t>
      </w:r>
    </w:p>
    <w:p w:rsidR="00BF4AD1" w:rsidRPr="00A0676A" w:rsidRDefault="00BF4AD1" w:rsidP="00BF4AD1">
      <w:pPr>
        <w:pStyle w:val="AERbodytext"/>
      </w:pPr>
      <w:r w:rsidRPr="00A0676A">
        <w:t xml:space="preserve">Requests and inquiries concerning reproduction and rights should be addressed to the Director, Corporate Communications, ACCC, GPO Box 3131, Canberra ACT 2601, or </w:t>
      </w:r>
      <w:hyperlink r:id="rId15" w:history="1">
        <w:r w:rsidRPr="00A0676A">
          <w:rPr>
            <w:rStyle w:val="Hyperlink"/>
          </w:rPr>
          <w:t>publishing.unit@accc.gov.au</w:t>
        </w:r>
      </w:hyperlink>
      <w:r w:rsidRPr="00A0676A">
        <w:t>.</w:t>
      </w:r>
    </w:p>
    <w:p w:rsidR="00BF4AD1" w:rsidRDefault="00BF4AD1" w:rsidP="00BF4AD1">
      <w:pPr>
        <w:pStyle w:val="AERbodytext"/>
      </w:pPr>
      <w:r w:rsidRPr="00A0676A">
        <w:t>Inquiries about this document should be addressed to:</w:t>
      </w:r>
    </w:p>
    <w:p w:rsidR="00AA1DED" w:rsidRPr="00E0671E" w:rsidRDefault="00AA1DED" w:rsidP="00BF4AD1">
      <w:pPr>
        <w:pStyle w:val="AERbodytext"/>
        <w:spacing w:after="0"/>
        <w:ind w:left="720"/>
      </w:pPr>
      <w:r w:rsidRPr="00E0671E">
        <w:t>Australian Energy Regulator</w:t>
      </w:r>
    </w:p>
    <w:p w:rsidR="00AA1DED" w:rsidRPr="00E0671E" w:rsidRDefault="00AA1DED" w:rsidP="00BF4AD1">
      <w:pPr>
        <w:pStyle w:val="AERbodytext"/>
        <w:spacing w:after="0"/>
        <w:ind w:left="720"/>
      </w:pPr>
      <w:r w:rsidRPr="00E0671E">
        <w:t>GPO Box 520</w:t>
      </w:r>
    </w:p>
    <w:p w:rsidR="00AA1DED" w:rsidRPr="00E0671E" w:rsidRDefault="00AA1DED" w:rsidP="00BF4AD1">
      <w:pPr>
        <w:pStyle w:val="AERbodytext"/>
        <w:spacing w:after="0"/>
        <w:ind w:left="720"/>
      </w:pPr>
      <w:proofErr w:type="gramStart"/>
      <w:r w:rsidRPr="00E0671E">
        <w:t xml:space="preserve">Melbourne  </w:t>
      </w:r>
      <w:r w:rsidR="00773FFE" w:rsidRPr="00E0671E">
        <w:t>V</w:t>
      </w:r>
      <w:r w:rsidR="00773FFE">
        <w:t>IC</w:t>
      </w:r>
      <w:proofErr w:type="gramEnd"/>
      <w:r w:rsidR="00773FFE" w:rsidRPr="00E0671E">
        <w:t xml:space="preserve">  </w:t>
      </w:r>
      <w:r w:rsidRPr="00E0671E">
        <w:t>3001</w:t>
      </w:r>
    </w:p>
    <w:p w:rsidR="00AA1DED" w:rsidRPr="00E0671E" w:rsidRDefault="00AA1DED" w:rsidP="00BF4AD1">
      <w:pPr>
        <w:pStyle w:val="AERbodytext"/>
        <w:spacing w:after="0"/>
        <w:ind w:left="720"/>
      </w:pPr>
      <w:r w:rsidRPr="00E0671E">
        <w:t>Tel: (03) 9290 1444</w:t>
      </w:r>
    </w:p>
    <w:p w:rsidR="00AA1DED" w:rsidRPr="00E0671E" w:rsidRDefault="00AA1DED" w:rsidP="00BF4AD1">
      <w:pPr>
        <w:pStyle w:val="AERbodytext"/>
        <w:spacing w:after="0"/>
        <w:ind w:left="720"/>
      </w:pPr>
      <w:r w:rsidRPr="00E0671E">
        <w:t>Fax: (03) 9290 1457</w:t>
      </w:r>
    </w:p>
    <w:p w:rsidR="00AA1DED" w:rsidRPr="00E0671E" w:rsidRDefault="00AA1DED" w:rsidP="00BF4AD1">
      <w:pPr>
        <w:pStyle w:val="AERbodytext"/>
        <w:ind w:left="720"/>
      </w:pPr>
      <w:r w:rsidRPr="00E0671E">
        <w:t xml:space="preserve">Email: </w:t>
      </w:r>
      <w:hyperlink r:id="rId16" w:history="1">
        <w:r w:rsidRPr="00E0671E">
          <w:rPr>
            <w:rStyle w:val="Hyperlink"/>
          </w:rPr>
          <w:t>AERInquiry@aer.gov.au</w:t>
        </w:r>
      </w:hyperlink>
    </w:p>
    <w:p w:rsidR="00AA1DED" w:rsidRPr="00E0671E" w:rsidRDefault="00AA1DED" w:rsidP="00AA1DED">
      <w:pPr>
        <w:pStyle w:val="AERbodytext"/>
        <w:rPr>
          <w:lang w:eastAsia="en-AU"/>
        </w:rPr>
      </w:pPr>
    </w:p>
    <w:p w:rsidR="00097C53" w:rsidRDefault="009710F3" w:rsidP="0020321C">
      <w:pPr>
        <w:pStyle w:val="AERbodytext"/>
        <w:jc w:val="left"/>
        <w:sectPr w:rsidR="00097C53" w:rsidSect="00B62ACF">
          <w:footerReference w:type="default" r:id="rId17"/>
          <w:pgSz w:w="11906" w:h="16838" w:code="9"/>
          <w:pgMar w:top="1440" w:right="1440" w:bottom="1440" w:left="1440" w:header="709" w:footer="709" w:gutter="0"/>
          <w:pgNumType w:fmt="lowerRoman" w:start="1"/>
          <w:cols w:space="708"/>
          <w:docGrid w:linePitch="360"/>
        </w:sectPr>
      </w:pPr>
      <w:r w:rsidRPr="00E0671E">
        <w:t xml:space="preserve">AER reference:  </w:t>
      </w:r>
      <w:r w:rsidR="005218D5" w:rsidRPr="005218D5">
        <w:t>55832</w:t>
      </w:r>
      <w:r w:rsidR="007725E6" w:rsidRPr="00E0671E">
        <w:t>-</w:t>
      </w:r>
      <w:r w:rsidR="00051CAD">
        <w:t>D14/151126</w:t>
      </w:r>
    </w:p>
    <w:p w:rsidR="00AC0EF2" w:rsidRDefault="000733BC" w:rsidP="00D62787">
      <w:pPr>
        <w:pStyle w:val="UnnumberedHeading"/>
        <w:pageBreakBefore w:val="0"/>
      </w:pPr>
      <w:bookmarkStart w:id="7" w:name="_Toc317520245"/>
      <w:bookmarkStart w:id="8" w:name="_Toc348356878"/>
      <w:bookmarkStart w:id="9" w:name="_Toc348436394"/>
      <w:bookmarkStart w:id="10" w:name="_Toc349127069"/>
      <w:bookmarkStart w:id="11" w:name="_Toc349571708"/>
      <w:bookmarkStart w:id="12" w:name="_Toc352776003"/>
      <w:bookmarkStart w:id="13" w:name="_Toc353291604"/>
      <w:bookmarkStart w:id="14" w:name="_Toc353448647"/>
      <w:bookmarkStart w:id="15" w:name="_Toc354138172"/>
      <w:bookmarkStart w:id="16" w:name="_Toc354149233"/>
      <w:bookmarkStart w:id="17" w:name="_Toc362268658"/>
      <w:bookmarkStart w:id="18" w:name="_Toc369252562"/>
      <w:bookmarkStart w:id="19" w:name="_Toc378763077"/>
      <w:bookmarkStart w:id="20" w:name="_Toc378763110"/>
      <w:bookmarkStart w:id="21" w:name="_Toc378930716"/>
      <w:bookmarkStart w:id="22" w:name="_Toc386034737"/>
      <w:bookmarkStart w:id="23" w:name="_Toc386117296"/>
      <w:bookmarkStart w:id="24" w:name="_Toc400973142"/>
      <w:bookmarkStart w:id="25" w:name="_Toc403477252"/>
      <w:r w:rsidRPr="00B011D7">
        <w:lastRenderedPageBreak/>
        <w:t>Contents</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bookmarkStart w:id="26" w:name="_Toc337553424"/>
    <w:p w:rsidR="00603098" w:rsidRDefault="00987FD1">
      <w:pPr>
        <w:pStyle w:val="TOC1"/>
        <w:rPr>
          <w:rFonts w:asciiTheme="minorHAnsi" w:eastAsiaTheme="minorEastAsia" w:hAnsiTheme="minorHAnsi" w:cstheme="minorBidi"/>
          <w:b w:val="0"/>
          <w:noProof/>
          <w:lang w:eastAsia="en-AU"/>
        </w:rPr>
      </w:pPr>
      <w:r>
        <w:fldChar w:fldCharType="begin"/>
      </w:r>
      <w:r>
        <w:instrText xml:space="preserve"> TOC \h \z \t "AER heading 2,2,AER unnumbered heading,1,AER confidentialo appendix heading 1,1,Unnumbered Heading,1,QCR unnumbered unbold heading,2,QCR Heading 1,1" </w:instrText>
      </w:r>
      <w:r>
        <w:fldChar w:fldCharType="separate"/>
      </w:r>
      <w:hyperlink w:anchor="_Toc403477252" w:history="1">
        <w:r w:rsidR="00603098" w:rsidRPr="007F0B95">
          <w:rPr>
            <w:rStyle w:val="Hyperlink"/>
            <w:noProof/>
          </w:rPr>
          <w:t>Contents</w:t>
        </w:r>
        <w:r w:rsidR="00603098">
          <w:rPr>
            <w:noProof/>
            <w:webHidden/>
          </w:rPr>
          <w:tab/>
        </w:r>
        <w:r w:rsidR="00603098">
          <w:rPr>
            <w:noProof/>
            <w:webHidden/>
          </w:rPr>
          <w:fldChar w:fldCharType="begin"/>
        </w:r>
        <w:r w:rsidR="00603098">
          <w:rPr>
            <w:noProof/>
            <w:webHidden/>
          </w:rPr>
          <w:instrText xml:space="preserve"> PAGEREF _Toc403477252 \h </w:instrText>
        </w:r>
        <w:r w:rsidR="00603098">
          <w:rPr>
            <w:noProof/>
            <w:webHidden/>
          </w:rPr>
        </w:r>
        <w:r w:rsidR="00603098">
          <w:rPr>
            <w:noProof/>
            <w:webHidden/>
          </w:rPr>
          <w:fldChar w:fldCharType="separate"/>
        </w:r>
        <w:r w:rsidR="00BA0A46">
          <w:rPr>
            <w:noProof/>
            <w:webHidden/>
          </w:rPr>
          <w:t>1</w:t>
        </w:r>
        <w:r w:rsidR="00603098">
          <w:rPr>
            <w:noProof/>
            <w:webHidden/>
          </w:rPr>
          <w:fldChar w:fldCharType="end"/>
        </w:r>
      </w:hyperlink>
    </w:p>
    <w:p w:rsidR="00603098" w:rsidRDefault="00D059AD">
      <w:pPr>
        <w:pStyle w:val="TOC1"/>
        <w:rPr>
          <w:rFonts w:asciiTheme="minorHAnsi" w:eastAsiaTheme="minorEastAsia" w:hAnsiTheme="minorHAnsi" w:cstheme="minorBidi"/>
          <w:b w:val="0"/>
          <w:noProof/>
          <w:lang w:eastAsia="en-AU"/>
        </w:rPr>
      </w:pPr>
      <w:hyperlink w:anchor="_Toc403477253" w:history="1">
        <w:r w:rsidR="00603098" w:rsidRPr="007F0B95">
          <w:rPr>
            <w:rStyle w:val="Hyperlink"/>
            <w:noProof/>
          </w:rPr>
          <w:t>Executive summary</w:t>
        </w:r>
        <w:r w:rsidR="00603098">
          <w:rPr>
            <w:noProof/>
            <w:webHidden/>
          </w:rPr>
          <w:tab/>
        </w:r>
        <w:r w:rsidR="00603098">
          <w:rPr>
            <w:noProof/>
            <w:webHidden/>
          </w:rPr>
          <w:fldChar w:fldCharType="begin"/>
        </w:r>
        <w:r w:rsidR="00603098">
          <w:rPr>
            <w:noProof/>
            <w:webHidden/>
          </w:rPr>
          <w:instrText xml:space="preserve"> PAGEREF _Toc403477253 \h </w:instrText>
        </w:r>
        <w:r w:rsidR="00603098">
          <w:rPr>
            <w:noProof/>
            <w:webHidden/>
          </w:rPr>
        </w:r>
        <w:r w:rsidR="00603098">
          <w:rPr>
            <w:noProof/>
            <w:webHidden/>
          </w:rPr>
          <w:fldChar w:fldCharType="separate"/>
        </w:r>
        <w:r w:rsidR="00BA0A46">
          <w:rPr>
            <w:noProof/>
            <w:webHidden/>
          </w:rPr>
          <w:t>2</w:t>
        </w:r>
        <w:r w:rsidR="00603098">
          <w:rPr>
            <w:noProof/>
            <w:webHidden/>
          </w:rPr>
          <w:fldChar w:fldCharType="end"/>
        </w:r>
      </w:hyperlink>
    </w:p>
    <w:p w:rsidR="00603098" w:rsidRDefault="00D059AD">
      <w:pPr>
        <w:pStyle w:val="TOC1"/>
        <w:rPr>
          <w:rFonts w:asciiTheme="minorHAnsi" w:eastAsiaTheme="minorEastAsia" w:hAnsiTheme="minorHAnsi" w:cstheme="minorBidi"/>
          <w:b w:val="0"/>
          <w:noProof/>
          <w:lang w:eastAsia="en-AU"/>
        </w:rPr>
      </w:pPr>
      <w:hyperlink w:anchor="_Toc403477254" w:history="1">
        <w:r w:rsidR="00603098" w:rsidRPr="007F0B95">
          <w:rPr>
            <w:rStyle w:val="Hyperlink"/>
            <w:noProof/>
          </w:rPr>
          <w:t>Background</w:t>
        </w:r>
        <w:r w:rsidR="00603098">
          <w:rPr>
            <w:noProof/>
            <w:webHidden/>
          </w:rPr>
          <w:tab/>
        </w:r>
        <w:r w:rsidR="00603098">
          <w:rPr>
            <w:noProof/>
            <w:webHidden/>
          </w:rPr>
          <w:fldChar w:fldCharType="begin"/>
        </w:r>
        <w:r w:rsidR="00603098">
          <w:rPr>
            <w:noProof/>
            <w:webHidden/>
          </w:rPr>
          <w:instrText xml:space="preserve"> PAGEREF _Toc403477254 \h </w:instrText>
        </w:r>
        <w:r w:rsidR="00603098">
          <w:rPr>
            <w:noProof/>
            <w:webHidden/>
          </w:rPr>
        </w:r>
        <w:r w:rsidR="00603098">
          <w:rPr>
            <w:noProof/>
            <w:webHidden/>
          </w:rPr>
          <w:fldChar w:fldCharType="separate"/>
        </w:r>
        <w:r w:rsidR="00BA0A46">
          <w:rPr>
            <w:noProof/>
            <w:webHidden/>
          </w:rPr>
          <w:t>3</w:t>
        </w:r>
        <w:r w:rsidR="00603098">
          <w:rPr>
            <w:noProof/>
            <w:webHidden/>
          </w:rPr>
          <w:fldChar w:fldCharType="end"/>
        </w:r>
      </w:hyperlink>
    </w:p>
    <w:p w:rsidR="00603098" w:rsidRDefault="00D059AD">
      <w:pPr>
        <w:pStyle w:val="TOC1"/>
        <w:rPr>
          <w:rFonts w:asciiTheme="minorHAnsi" w:eastAsiaTheme="minorEastAsia" w:hAnsiTheme="minorHAnsi" w:cstheme="minorBidi"/>
          <w:b w:val="0"/>
          <w:noProof/>
          <w:lang w:eastAsia="en-AU"/>
        </w:rPr>
      </w:pPr>
      <w:hyperlink w:anchor="_Toc403477255" w:history="1">
        <w:r w:rsidR="00603098" w:rsidRPr="007F0B95">
          <w:rPr>
            <w:rStyle w:val="Hyperlink"/>
            <w:noProof/>
          </w:rPr>
          <w:t>1</w:t>
        </w:r>
        <w:r w:rsidR="00603098">
          <w:rPr>
            <w:rFonts w:asciiTheme="minorHAnsi" w:eastAsiaTheme="minorEastAsia" w:hAnsiTheme="minorHAnsi" w:cstheme="minorBidi"/>
            <w:b w:val="0"/>
            <w:noProof/>
            <w:lang w:eastAsia="en-AU"/>
          </w:rPr>
          <w:tab/>
        </w:r>
        <w:r w:rsidR="00603098" w:rsidRPr="007F0B95">
          <w:rPr>
            <w:rStyle w:val="Hyperlink"/>
            <w:noProof/>
          </w:rPr>
          <w:t>Gas</w:t>
        </w:r>
        <w:r w:rsidR="00603098">
          <w:rPr>
            <w:noProof/>
            <w:webHidden/>
          </w:rPr>
          <w:tab/>
        </w:r>
        <w:r w:rsidR="00603098">
          <w:rPr>
            <w:noProof/>
            <w:webHidden/>
          </w:rPr>
          <w:fldChar w:fldCharType="begin"/>
        </w:r>
        <w:r w:rsidR="00603098">
          <w:rPr>
            <w:noProof/>
            <w:webHidden/>
          </w:rPr>
          <w:instrText xml:space="preserve"> PAGEREF _Toc403477255 \h </w:instrText>
        </w:r>
        <w:r w:rsidR="00603098">
          <w:rPr>
            <w:noProof/>
            <w:webHidden/>
          </w:rPr>
        </w:r>
        <w:r w:rsidR="00603098">
          <w:rPr>
            <w:noProof/>
            <w:webHidden/>
          </w:rPr>
          <w:fldChar w:fldCharType="separate"/>
        </w:r>
        <w:r w:rsidR="00BA0A46">
          <w:rPr>
            <w:noProof/>
            <w:webHidden/>
          </w:rPr>
          <w:t>4</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56" w:history="1">
        <w:r w:rsidR="00603098" w:rsidRPr="007F0B95">
          <w:rPr>
            <w:rStyle w:val="Hyperlink"/>
            <w:noProof/>
          </w:rPr>
          <w:t>Gas Supply Hub</w:t>
        </w:r>
        <w:r w:rsidR="00603098">
          <w:rPr>
            <w:noProof/>
            <w:webHidden/>
          </w:rPr>
          <w:tab/>
        </w:r>
        <w:r w:rsidR="00603098">
          <w:rPr>
            <w:noProof/>
            <w:webHidden/>
          </w:rPr>
          <w:fldChar w:fldCharType="begin"/>
        </w:r>
        <w:r w:rsidR="00603098">
          <w:rPr>
            <w:noProof/>
            <w:webHidden/>
          </w:rPr>
          <w:instrText xml:space="preserve"> PAGEREF _Toc403477256 \h </w:instrText>
        </w:r>
        <w:r w:rsidR="00603098">
          <w:rPr>
            <w:noProof/>
            <w:webHidden/>
          </w:rPr>
        </w:r>
        <w:r w:rsidR="00603098">
          <w:rPr>
            <w:noProof/>
            <w:webHidden/>
          </w:rPr>
          <w:fldChar w:fldCharType="separate"/>
        </w:r>
        <w:r w:rsidR="00BA0A46">
          <w:rPr>
            <w:noProof/>
            <w:webHidden/>
          </w:rPr>
          <w:t>4</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57" w:history="1">
        <w:r w:rsidR="00603098" w:rsidRPr="007F0B95">
          <w:rPr>
            <w:rStyle w:val="Hyperlink"/>
            <w:noProof/>
          </w:rPr>
          <w:t>Short Term Trading Market</w:t>
        </w:r>
        <w:r w:rsidR="00603098">
          <w:rPr>
            <w:noProof/>
            <w:webHidden/>
          </w:rPr>
          <w:tab/>
        </w:r>
        <w:r w:rsidR="00603098">
          <w:rPr>
            <w:noProof/>
            <w:webHidden/>
          </w:rPr>
          <w:fldChar w:fldCharType="begin"/>
        </w:r>
        <w:r w:rsidR="00603098">
          <w:rPr>
            <w:noProof/>
            <w:webHidden/>
          </w:rPr>
          <w:instrText xml:space="preserve"> PAGEREF _Toc403477257 \h </w:instrText>
        </w:r>
        <w:r w:rsidR="00603098">
          <w:rPr>
            <w:noProof/>
            <w:webHidden/>
          </w:rPr>
        </w:r>
        <w:r w:rsidR="00603098">
          <w:rPr>
            <w:noProof/>
            <w:webHidden/>
          </w:rPr>
          <w:fldChar w:fldCharType="separate"/>
        </w:r>
        <w:r w:rsidR="00BA0A46">
          <w:rPr>
            <w:noProof/>
            <w:webHidden/>
          </w:rPr>
          <w:t>7</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58" w:history="1">
        <w:r w:rsidR="00603098" w:rsidRPr="007F0B95">
          <w:rPr>
            <w:rStyle w:val="Hyperlink"/>
            <w:noProof/>
          </w:rPr>
          <w:t>1.1</w:t>
        </w:r>
        <w:r w:rsidR="00603098">
          <w:rPr>
            <w:rFonts w:asciiTheme="minorHAnsi" w:eastAsiaTheme="minorEastAsia" w:hAnsiTheme="minorHAnsi" w:cstheme="minorBidi"/>
            <w:noProof/>
            <w:lang w:eastAsia="en-AU"/>
          </w:rPr>
          <w:tab/>
        </w:r>
        <w:r w:rsidR="00603098" w:rsidRPr="007F0B95">
          <w:rPr>
            <w:rStyle w:val="Hyperlink"/>
            <w:noProof/>
          </w:rPr>
          <w:t>Capacity and allocation data quality</w:t>
        </w:r>
        <w:r w:rsidR="00603098">
          <w:rPr>
            <w:noProof/>
            <w:webHidden/>
          </w:rPr>
          <w:tab/>
        </w:r>
        <w:r w:rsidR="00603098">
          <w:rPr>
            <w:noProof/>
            <w:webHidden/>
          </w:rPr>
          <w:fldChar w:fldCharType="begin"/>
        </w:r>
        <w:r w:rsidR="00603098">
          <w:rPr>
            <w:noProof/>
            <w:webHidden/>
          </w:rPr>
          <w:instrText xml:space="preserve"> PAGEREF _Toc403477258 \h </w:instrText>
        </w:r>
        <w:r w:rsidR="00603098">
          <w:rPr>
            <w:noProof/>
            <w:webHidden/>
          </w:rPr>
        </w:r>
        <w:r w:rsidR="00603098">
          <w:rPr>
            <w:noProof/>
            <w:webHidden/>
          </w:rPr>
          <w:fldChar w:fldCharType="separate"/>
        </w:r>
        <w:r w:rsidR="00BA0A46">
          <w:rPr>
            <w:noProof/>
            <w:webHidden/>
          </w:rPr>
          <w:t>7</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59" w:history="1">
        <w:r w:rsidR="00603098" w:rsidRPr="007F0B95">
          <w:rPr>
            <w:rStyle w:val="Hyperlink"/>
            <w:noProof/>
          </w:rPr>
          <w:t>1.2</w:t>
        </w:r>
        <w:r w:rsidR="00603098">
          <w:rPr>
            <w:rFonts w:asciiTheme="minorHAnsi" w:eastAsiaTheme="minorEastAsia" w:hAnsiTheme="minorHAnsi" w:cstheme="minorBidi"/>
            <w:noProof/>
            <w:lang w:eastAsia="en-AU"/>
          </w:rPr>
          <w:tab/>
        </w:r>
        <w:r w:rsidR="00603098" w:rsidRPr="007F0B95">
          <w:rPr>
            <w:rStyle w:val="Hyperlink"/>
            <w:noProof/>
          </w:rPr>
          <w:t>AEMO – Administered pricing 1 to 3 June</w:t>
        </w:r>
        <w:r w:rsidR="00603098">
          <w:rPr>
            <w:noProof/>
            <w:webHidden/>
          </w:rPr>
          <w:tab/>
        </w:r>
        <w:r w:rsidR="00603098">
          <w:rPr>
            <w:noProof/>
            <w:webHidden/>
          </w:rPr>
          <w:fldChar w:fldCharType="begin"/>
        </w:r>
        <w:r w:rsidR="00603098">
          <w:rPr>
            <w:noProof/>
            <w:webHidden/>
          </w:rPr>
          <w:instrText xml:space="preserve"> PAGEREF _Toc403477259 \h </w:instrText>
        </w:r>
        <w:r w:rsidR="00603098">
          <w:rPr>
            <w:noProof/>
            <w:webHidden/>
          </w:rPr>
        </w:r>
        <w:r w:rsidR="00603098">
          <w:rPr>
            <w:noProof/>
            <w:webHidden/>
          </w:rPr>
          <w:fldChar w:fldCharType="separate"/>
        </w:r>
        <w:r w:rsidR="00BA0A46">
          <w:rPr>
            <w:noProof/>
            <w:webHidden/>
          </w:rPr>
          <w:t>7</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60" w:history="1">
        <w:r w:rsidR="00603098" w:rsidRPr="007F0B95">
          <w:rPr>
            <w:rStyle w:val="Hyperlink"/>
            <w:noProof/>
          </w:rPr>
          <w:t>1.3</w:t>
        </w:r>
        <w:r w:rsidR="00603098">
          <w:rPr>
            <w:rFonts w:asciiTheme="minorHAnsi" w:eastAsiaTheme="minorEastAsia" w:hAnsiTheme="minorHAnsi" w:cstheme="minorBidi"/>
            <w:noProof/>
            <w:lang w:eastAsia="en-AU"/>
          </w:rPr>
          <w:tab/>
        </w:r>
        <w:r w:rsidR="00603098" w:rsidRPr="007F0B95">
          <w:rPr>
            <w:rStyle w:val="Hyperlink"/>
            <w:noProof/>
          </w:rPr>
          <w:t>AEMO – Disclosure of confidential information</w:t>
        </w:r>
        <w:r w:rsidR="00603098">
          <w:rPr>
            <w:noProof/>
            <w:webHidden/>
          </w:rPr>
          <w:tab/>
        </w:r>
        <w:r w:rsidR="00603098">
          <w:rPr>
            <w:noProof/>
            <w:webHidden/>
          </w:rPr>
          <w:fldChar w:fldCharType="begin"/>
        </w:r>
        <w:r w:rsidR="00603098">
          <w:rPr>
            <w:noProof/>
            <w:webHidden/>
          </w:rPr>
          <w:instrText xml:space="preserve"> PAGEREF _Toc403477260 \h </w:instrText>
        </w:r>
        <w:r w:rsidR="00603098">
          <w:rPr>
            <w:noProof/>
            <w:webHidden/>
          </w:rPr>
        </w:r>
        <w:r w:rsidR="00603098">
          <w:rPr>
            <w:noProof/>
            <w:webHidden/>
          </w:rPr>
          <w:fldChar w:fldCharType="separate"/>
        </w:r>
        <w:r w:rsidR="00BA0A46">
          <w:rPr>
            <w:noProof/>
            <w:webHidden/>
          </w:rPr>
          <w:t>8</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61" w:history="1">
        <w:r w:rsidR="00603098" w:rsidRPr="007F0B95">
          <w:rPr>
            <w:rStyle w:val="Hyperlink"/>
            <w:noProof/>
          </w:rPr>
          <w:t>1.4</w:t>
        </w:r>
        <w:r w:rsidR="00603098">
          <w:rPr>
            <w:rFonts w:asciiTheme="minorHAnsi" w:eastAsiaTheme="minorEastAsia" w:hAnsiTheme="minorHAnsi" w:cstheme="minorBidi"/>
            <w:noProof/>
            <w:lang w:eastAsia="en-AU"/>
          </w:rPr>
          <w:tab/>
        </w:r>
        <w:r w:rsidR="00603098" w:rsidRPr="007F0B95">
          <w:rPr>
            <w:rStyle w:val="Hyperlink"/>
            <w:noProof/>
          </w:rPr>
          <w:t>Counteracting MOS in the Adelaide hub</w:t>
        </w:r>
        <w:r w:rsidR="00603098">
          <w:rPr>
            <w:noProof/>
            <w:webHidden/>
          </w:rPr>
          <w:tab/>
        </w:r>
        <w:r w:rsidR="00603098">
          <w:rPr>
            <w:noProof/>
            <w:webHidden/>
          </w:rPr>
          <w:fldChar w:fldCharType="begin"/>
        </w:r>
        <w:r w:rsidR="00603098">
          <w:rPr>
            <w:noProof/>
            <w:webHidden/>
          </w:rPr>
          <w:instrText xml:space="preserve"> PAGEREF _Toc403477261 \h </w:instrText>
        </w:r>
        <w:r w:rsidR="00603098">
          <w:rPr>
            <w:noProof/>
            <w:webHidden/>
          </w:rPr>
        </w:r>
        <w:r w:rsidR="00603098">
          <w:rPr>
            <w:noProof/>
            <w:webHidden/>
          </w:rPr>
          <w:fldChar w:fldCharType="separate"/>
        </w:r>
        <w:r w:rsidR="00BA0A46">
          <w:rPr>
            <w:noProof/>
            <w:webHidden/>
          </w:rPr>
          <w:t>8</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62" w:history="1">
        <w:r w:rsidR="00603098" w:rsidRPr="007F0B95">
          <w:rPr>
            <w:rStyle w:val="Hyperlink"/>
            <w:noProof/>
          </w:rPr>
          <w:t>1.5</w:t>
        </w:r>
        <w:r w:rsidR="00603098">
          <w:rPr>
            <w:rFonts w:asciiTheme="minorHAnsi" w:eastAsiaTheme="minorEastAsia" w:hAnsiTheme="minorHAnsi" w:cstheme="minorBidi"/>
            <w:noProof/>
            <w:lang w:eastAsia="en-AU"/>
          </w:rPr>
          <w:tab/>
        </w:r>
        <w:r w:rsidR="00603098" w:rsidRPr="007F0B95">
          <w:rPr>
            <w:rStyle w:val="Hyperlink"/>
            <w:noProof/>
          </w:rPr>
          <w:t>AGL pipeline deviations in the Sydney and Adelaide hubs</w:t>
        </w:r>
        <w:r w:rsidR="00603098">
          <w:rPr>
            <w:noProof/>
            <w:webHidden/>
          </w:rPr>
          <w:tab/>
        </w:r>
        <w:r w:rsidR="00603098">
          <w:rPr>
            <w:noProof/>
            <w:webHidden/>
          </w:rPr>
          <w:fldChar w:fldCharType="begin"/>
        </w:r>
        <w:r w:rsidR="00603098">
          <w:rPr>
            <w:noProof/>
            <w:webHidden/>
          </w:rPr>
          <w:instrText xml:space="preserve"> PAGEREF _Toc403477262 \h </w:instrText>
        </w:r>
        <w:r w:rsidR="00603098">
          <w:rPr>
            <w:noProof/>
            <w:webHidden/>
          </w:rPr>
        </w:r>
        <w:r w:rsidR="00603098">
          <w:rPr>
            <w:noProof/>
            <w:webHidden/>
          </w:rPr>
          <w:fldChar w:fldCharType="separate"/>
        </w:r>
        <w:r w:rsidR="00BA0A46">
          <w:rPr>
            <w:noProof/>
            <w:webHidden/>
          </w:rPr>
          <w:t>9</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63" w:history="1">
        <w:r w:rsidR="00603098" w:rsidRPr="007F0B95">
          <w:rPr>
            <w:rStyle w:val="Hyperlink"/>
            <w:noProof/>
          </w:rPr>
          <w:t>1.6</w:t>
        </w:r>
        <w:r w:rsidR="00603098">
          <w:rPr>
            <w:rFonts w:asciiTheme="minorHAnsi" w:eastAsiaTheme="minorEastAsia" w:hAnsiTheme="minorHAnsi" w:cstheme="minorBidi"/>
            <w:noProof/>
            <w:lang w:eastAsia="en-AU"/>
          </w:rPr>
          <w:tab/>
        </w:r>
        <w:r w:rsidR="00603098" w:rsidRPr="007F0B95">
          <w:rPr>
            <w:rStyle w:val="Hyperlink"/>
            <w:noProof/>
          </w:rPr>
          <w:t>Best estimate, good faith D-3, D-2 &amp; D-1 ex ante STTM offers</w:t>
        </w:r>
        <w:r w:rsidR="00603098">
          <w:rPr>
            <w:noProof/>
            <w:webHidden/>
          </w:rPr>
          <w:tab/>
        </w:r>
        <w:r w:rsidR="00603098">
          <w:rPr>
            <w:noProof/>
            <w:webHidden/>
          </w:rPr>
          <w:fldChar w:fldCharType="begin"/>
        </w:r>
        <w:r w:rsidR="00603098">
          <w:rPr>
            <w:noProof/>
            <w:webHidden/>
          </w:rPr>
          <w:instrText xml:space="preserve"> PAGEREF _Toc403477263 \h </w:instrText>
        </w:r>
        <w:r w:rsidR="00603098">
          <w:rPr>
            <w:noProof/>
            <w:webHidden/>
          </w:rPr>
        </w:r>
        <w:r w:rsidR="00603098">
          <w:rPr>
            <w:noProof/>
            <w:webHidden/>
          </w:rPr>
          <w:fldChar w:fldCharType="separate"/>
        </w:r>
        <w:r w:rsidR="00BA0A46">
          <w:rPr>
            <w:noProof/>
            <w:webHidden/>
          </w:rPr>
          <w:t>10</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64" w:history="1">
        <w:r w:rsidR="00603098" w:rsidRPr="007F0B95">
          <w:rPr>
            <w:rStyle w:val="Hyperlink"/>
            <w:noProof/>
          </w:rPr>
          <w:t>1.7</w:t>
        </w:r>
        <w:r w:rsidR="00603098">
          <w:rPr>
            <w:rFonts w:asciiTheme="minorHAnsi" w:eastAsiaTheme="minorEastAsia" w:hAnsiTheme="minorHAnsi" w:cstheme="minorBidi"/>
            <w:noProof/>
            <w:lang w:eastAsia="en-AU"/>
          </w:rPr>
          <w:tab/>
        </w:r>
        <w:r w:rsidR="00603098" w:rsidRPr="007F0B95">
          <w:rPr>
            <w:rStyle w:val="Hyperlink"/>
            <w:noProof/>
          </w:rPr>
          <w:t>Epic Energy’s late allocation data</w:t>
        </w:r>
        <w:r w:rsidR="00603098">
          <w:rPr>
            <w:noProof/>
            <w:webHidden/>
          </w:rPr>
          <w:tab/>
        </w:r>
        <w:r w:rsidR="00603098">
          <w:rPr>
            <w:noProof/>
            <w:webHidden/>
          </w:rPr>
          <w:fldChar w:fldCharType="begin"/>
        </w:r>
        <w:r w:rsidR="00603098">
          <w:rPr>
            <w:noProof/>
            <w:webHidden/>
          </w:rPr>
          <w:instrText xml:space="preserve"> PAGEREF _Toc403477264 \h </w:instrText>
        </w:r>
        <w:r w:rsidR="00603098">
          <w:rPr>
            <w:noProof/>
            <w:webHidden/>
          </w:rPr>
        </w:r>
        <w:r w:rsidR="00603098">
          <w:rPr>
            <w:noProof/>
            <w:webHidden/>
          </w:rPr>
          <w:fldChar w:fldCharType="separate"/>
        </w:r>
        <w:r w:rsidR="00BA0A46">
          <w:rPr>
            <w:noProof/>
            <w:webHidden/>
          </w:rPr>
          <w:t>10</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65" w:history="1">
        <w:r w:rsidR="00603098" w:rsidRPr="007F0B95">
          <w:rPr>
            <w:rStyle w:val="Hyperlink"/>
            <w:noProof/>
          </w:rPr>
          <w:t>1.8</w:t>
        </w:r>
        <w:r w:rsidR="00603098">
          <w:rPr>
            <w:rFonts w:asciiTheme="minorHAnsi" w:eastAsiaTheme="minorEastAsia" w:hAnsiTheme="minorHAnsi" w:cstheme="minorBidi"/>
            <w:noProof/>
            <w:lang w:eastAsia="en-AU"/>
          </w:rPr>
          <w:tab/>
        </w:r>
        <w:r w:rsidR="00603098" w:rsidRPr="007F0B95">
          <w:rPr>
            <w:rStyle w:val="Hyperlink"/>
            <w:noProof/>
          </w:rPr>
          <w:t>Significant price variation report – 7 July  (Brisbane hub)</w:t>
        </w:r>
        <w:r w:rsidR="00603098">
          <w:rPr>
            <w:noProof/>
            <w:webHidden/>
          </w:rPr>
          <w:tab/>
        </w:r>
        <w:r w:rsidR="00603098">
          <w:rPr>
            <w:noProof/>
            <w:webHidden/>
          </w:rPr>
          <w:fldChar w:fldCharType="begin"/>
        </w:r>
        <w:r w:rsidR="00603098">
          <w:rPr>
            <w:noProof/>
            <w:webHidden/>
          </w:rPr>
          <w:instrText xml:space="preserve"> PAGEREF _Toc403477265 \h </w:instrText>
        </w:r>
        <w:r w:rsidR="00603098">
          <w:rPr>
            <w:noProof/>
            <w:webHidden/>
          </w:rPr>
        </w:r>
        <w:r w:rsidR="00603098">
          <w:rPr>
            <w:noProof/>
            <w:webHidden/>
          </w:rPr>
          <w:fldChar w:fldCharType="separate"/>
        </w:r>
        <w:r w:rsidR="00BA0A46">
          <w:rPr>
            <w:noProof/>
            <w:webHidden/>
          </w:rPr>
          <w:t>11</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66" w:history="1">
        <w:r w:rsidR="00603098" w:rsidRPr="007F0B95">
          <w:rPr>
            <w:rStyle w:val="Hyperlink"/>
            <w:noProof/>
          </w:rPr>
          <w:t>Victorian gas market</w:t>
        </w:r>
        <w:r w:rsidR="00603098">
          <w:rPr>
            <w:noProof/>
            <w:webHidden/>
          </w:rPr>
          <w:tab/>
        </w:r>
        <w:r w:rsidR="00603098">
          <w:rPr>
            <w:noProof/>
            <w:webHidden/>
          </w:rPr>
          <w:fldChar w:fldCharType="begin"/>
        </w:r>
        <w:r w:rsidR="00603098">
          <w:rPr>
            <w:noProof/>
            <w:webHidden/>
          </w:rPr>
          <w:instrText xml:space="preserve"> PAGEREF _Toc403477266 \h </w:instrText>
        </w:r>
        <w:r w:rsidR="00603098">
          <w:rPr>
            <w:noProof/>
            <w:webHidden/>
          </w:rPr>
        </w:r>
        <w:r w:rsidR="00603098">
          <w:rPr>
            <w:noProof/>
            <w:webHidden/>
          </w:rPr>
          <w:fldChar w:fldCharType="separate"/>
        </w:r>
        <w:r w:rsidR="00BA0A46">
          <w:rPr>
            <w:noProof/>
            <w:webHidden/>
          </w:rPr>
          <w:t>11</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67" w:history="1">
        <w:r w:rsidR="00603098" w:rsidRPr="007F0B95">
          <w:rPr>
            <w:rStyle w:val="Hyperlink"/>
            <w:noProof/>
          </w:rPr>
          <w:t>1.9</w:t>
        </w:r>
        <w:r w:rsidR="00603098">
          <w:rPr>
            <w:rFonts w:asciiTheme="minorHAnsi" w:eastAsiaTheme="minorEastAsia" w:hAnsiTheme="minorHAnsi" w:cstheme="minorBidi"/>
            <w:noProof/>
            <w:lang w:eastAsia="en-AU"/>
          </w:rPr>
          <w:tab/>
        </w:r>
        <w:r w:rsidR="00603098" w:rsidRPr="007F0B95">
          <w:rPr>
            <w:rStyle w:val="Hyperlink"/>
            <w:noProof/>
          </w:rPr>
          <w:t>AEMO pricing schedule non compliance</w:t>
        </w:r>
        <w:r w:rsidR="00603098">
          <w:rPr>
            <w:noProof/>
            <w:webHidden/>
          </w:rPr>
          <w:tab/>
        </w:r>
        <w:r w:rsidR="00603098">
          <w:rPr>
            <w:noProof/>
            <w:webHidden/>
          </w:rPr>
          <w:fldChar w:fldCharType="begin"/>
        </w:r>
        <w:r w:rsidR="00603098">
          <w:rPr>
            <w:noProof/>
            <w:webHidden/>
          </w:rPr>
          <w:instrText xml:space="preserve"> PAGEREF _Toc403477267 \h </w:instrText>
        </w:r>
        <w:r w:rsidR="00603098">
          <w:rPr>
            <w:noProof/>
            <w:webHidden/>
          </w:rPr>
        </w:r>
        <w:r w:rsidR="00603098">
          <w:rPr>
            <w:noProof/>
            <w:webHidden/>
          </w:rPr>
          <w:fldChar w:fldCharType="separate"/>
        </w:r>
        <w:r w:rsidR="00BA0A46">
          <w:rPr>
            <w:noProof/>
            <w:webHidden/>
          </w:rPr>
          <w:t>11</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68" w:history="1">
        <w:r w:rsidR="00603098" w:rsidRPr="007F0B95">
          <w:rPr>
            <w:rStyle w:val="Hyperlink"/>
            <w:noProof/>
          </w:rPr>
          <w:t>1.10</w:t>
        </w:r>
        <w:r w:rsidR="00603098">
          <w:rPr>
            <w:rFonts w:asciiTheme="minorHAnsi" w:eastAsiaTheme="minorEastAsia" w:hAnsiTheme="minorHAnsi" w:cstheme="minorBidi"/>
            <w:noProof/>
            <w:lang w:eastAsia="en-AU"/>
          </w:rPr>
          <w:tab/>
        </w:r>
        <w:r w:rsidR="00603098" w:rsidRPr="007F0B95">
          <w:rPr>
            <w:rStyle w:val="Hyperlink"/>
            <w:noProof/>
          </w:rPr>
          <w:t>Origin Energy and Energy Australia bidding errors</w:t>
        </w:r>
        <w:r w:rsidR="00603098">
          <w:rPr>
            <w:noProof/>
            <w:webHidden/>
          </w:rPr>
          <w:tab/>
        </w:r>
        <w:r w:rsidR="00603098">
          <w:rPr>
            <w:noProof/>
            <w:webHidden/>
          </w:rPr>
          <w:fldChar w:fldCharType="begin"/>
        </w:r>
        <w:r w:rsidR="00603098">
          <w:rPr>
            <w:noProof/>
            <w:webHidden/>
          </w:rPr>
          <w:instrText xml:space="preserve"> PAGEREF _Toc403477268 \h </w:instrText>
        </w:r>
        <w:r w:rsidR="00603098">
          <w:rPr>
            <w:noProof/>
            <w:webHidden/>
          </w:rPr>
        </w:r>
        <w:r w:rsidR="00603098">
          <w:rPr>
            <w:noProof/>
            <w:webHidden/>
          </w:rPr>
          <w:fldChar w:fldCharType="separate"/>
        </w:r>
        <w:r w:rsidR="00BA0A46">
          <w:rPr>
            <w:noProof/>
            <w:webHidden/>
          </w:rPr>
          <w:t>12</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69" w:history="1">
        <w:r w:rsidR="00603098" w:rsidRPr="007F0B95">
          <w:rPr>
            <w:rStyle w:val="Hyperlink"/>
            <w:noProof/>
          </w:rPr>
          <w:t>Natural Gas Services Bulletin Board</w:t>
        </w:r>
        <w:r w:rsidR="00603098">
          <w:rPr>
            <w:noProof/>
            <w:webHidden/>
          </w:rPr>
          <w:tab/>
        </w:r>
        <w:r w:rsidR="00603098">
          <w:rPr>
            <w:noProof/>
            <w:webHidden/>
          </w:rPr>
          <w:fldChar w:fldCharType="begin"/>
        </w:r>
        <w:r w:rsidR="00603098">
          <w:rPr>
            <w:noProof/>
            <w:webHidden/>
          </w:rPr>
          <w:instrText xml:space="preserve"> PAGEREF _Toc403477269 \h </w:instrText>
        </w:r>
        <w:r w:rsidR="00603098">
          <w:rPr>
            <w:noProof/>
            <w:webHidden/>
          </w:rPr>
        </w:r>
        <w:r w:rsidR="00603098">
          <w:rPr>
            <w:noProof/>
            <w:webHidden/>
          </w:rPr>
          <w:fldChar w:fldCharType="separate"/>
        </w:r>
        <w:r w:rsidR="00BA0A46">
          <w:rPr>
            <w:noProof/>
            <w:webHidden/>
          </w:rPr>
          <w:t>12</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70" w:history="1">
        <w:r w:rsidR="00603098" w:rsidRPr="007F0B95">
          <w:rPr>
            <w:rStyle w:val="Hyperlink"/>
            <w:noProof/>
          </w:rPr>
          <w:t>1.11</w:t>
        </w:r>
        <w:r w:rsidR="00603098">
          <w:rPr>
            <w:rFonts w:asciiTheme="minorHAnsi" w:eastAsiaTheme="minorEastAsia" w:hAnsiTheme="minorHAnsi" w:cstheme="minorBidi"/>
            <w:noProof/>
            <w:lang w:eastAsia="en-AU"/>
          </w:rPr>
          <w:tab/>
        </w:r>
        <w:r w:rsidR="00603098" w:rsidRPr="007F0B95">
          <w:rPr>
            <w:rStyle w:val="Hyperlink"/>
            <w:noProof/>
          </w:rPr>
          <w:t>QGC’s registration of Ruby Jo and Bellevue production facilities</w:t>
        </w:r>
        <w:r w:rsidR="00603098">
          <w:rPr>
            <w:noProof/>
            <w:webHidden/>
          </w:rPr>
          <w:tab/>
        </w:r>
        <w:r w:rsidR="00603098">
          <w:rPr>
            <w:noProof/>
            <w:webHidden/>
          </w:rPr>
          <w:fldChar w:fldCharType="begin"/>
        </w:r>
        <w:r w:rsidR="00603098">
          <w:rPr>
            <w:noProof/>
            <w:webHidden/>
          </w:rPr>
          <w:instrText xml:space="preserve"> PAGEREF _Toc403477270 \h </w:instrText>
        </w:r>
        <w:r w:rsidR="00603098">
          <w:rPr>
            <w:noProof/>
            <w:webHidden/>
          </w:rPr>
        </w:r>
        <w:r w:rsidR="00603098">
          <w:rPr>
            <w:noProof/>
            <w:webHidden/>
          </w:rPr>
          <w:fldChar w:fldCharType="separate"/>
        </w:r>
        <w:r w:rsidR="00BA0A46">
          <w:rPr>
            <w:noProof/>
            <w:webHidden/>
          </w:rPr>
          <w:t>13</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71" w:history="1">
        <w:r w:rsidR="00603098" w:rsidRPr="007F0B95">
          <w:rPr>
            <w:rStyle w:val="Hyperlink"/>
            <w:noProof/>
          </w:rPr>
          <w:t>1.12</w:t>
        </w:r>
        <w:r w:rsidR="00603098">
          <w:rPr>
            <w:rFonts w:asciiTheme="minorHAnsi" w:eastAsiaTheme="minorEastAsia" w:hAnsiTheme="minorHAnsi" w:cstheme="minorBidi"/>
            <w:noProof/>
            <w:lang w:eastAsia="en-AU"/>
          </w:rPr>
          <w:tab/>
        </w:r>
        <w:r w:rsidR="00603098" w:rsidRPr="007F0B95">
          <w:rPr>
            <w:rStyle w:val="Hyperlink"/>
            <w:noProof/>
          </w:rPr>
          <w:t>AEMO’s Bulletin Board map</w:t>
        </w:r>
        <w:r w:rsidR="00603098">
          <w:rPr>
            <w:noProof/>
            <w:webHidden/>
          </w:rPr>
          <w:tab/>
        </w:r>
        <w:r w:rsidR="00603098">
          <w:rPr>
            <w:noProof/>
            <w:webHidden/>
          </w:rPr>
          <w:fldChar w:fldCharType="begin"/>
        </w:r>
        <w:r w:rsidR="00603098">
          <w:rPr>
            <w:noProof/>
            <w:webHidden/>
          </w:rPr>
          <w:instrText xml:space="preserve"> PAGEREF _Toc403477271 \h </w:instrText>
        </w:r>
        <w:r w:rsidR="00603098">
          <w:rPr>
            <w:noProof/>
            <w:webHidden/>
          </w:rPr>
        </w:r>
        <w:r w:rsidR="00603098">
          <w:rPr>
            <w:noProof/>
            <w:webHidden/>
          </w:rPr>
          <w:fldChar w:fldCharType="separate"/>
        </w:r>
        <w:r w:rsidR="00BA0A46">
          <w:rPr>
            <w:noProof/>
            <w:webHidden/>
          </w:rPr>
          <w:t>13</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72" w:history="1">
        <w:r w:rsidR="00603098" w:rsidRPr="007F0B95">
          <w:rPr>
            <w:rStyle w:val="Hyperlink"/>
            <w:noProof/>
          </w:rPr>
          <w:t>1.13</w:t>
        </w:r>
        <w:r w:rsidR="00603098">
          <w:rPr>
            <w:rFonts w:asciiTheme="minorHAnsi" w:eastAsiaTheme="minorEastAsia" w:hAnsiTheme="minorHAnsi" w:cstheme="minorBidi"/>
            <w:noProof/>
            <w:lang w:eastAsia="en-AU"/>
          </w:rPr>
          <w:tab/>
        </w:r>
        <w:r w:rsidR="00603098" w:rsidRPr="007F0B95">
          <w:rPr>
            <w:rStyle w:val="Hyperlink"/>
            <w:noProof/>
          </w:rPr>
          <w:t>Targeted compliance review - capacity outlook data</w:t>
        </w:r>
        <w:r w:rsidR="00603098">
          <w:rPr>
            <w:noProof/>
            <w:webHidden/>
          </w:rPr>
          <w:tab/>
        </w:r>
        <w:r w:rsidR="00603098">
          <w:rPr>
            <w:noProof/>
            <w:webHidden/>
          </w:rPr>
          <w:fldChar w:fldCharType="begin"/>
        </w:r>
        <w:r w:rsidR="00603098">
          <w:rPr>
            <w:noProof/>
            <w:webHidden/>
          </w:rPr>
          <w:instrText xml:space="preserve"> PAGEREF _Toc403477272 \h </w:instrText>
        </w:r>
        <w:r w:rsidR="00603098">
          <w:rPr>
            <w:noProof/>
            <w:webHidden/>
          </w:rPr>
        </w:r>
        <w:r w:rsidR="00603098">
          <w:rPr>
            <w:noProof/>
            <w:webHidden/>
          </w:rPr>
          <w:fldChar w:fldCharType="separate"/>
        </w:r>
        <w:r w:rsidR="00BA0A46">
          <w:rPr>
            <w:noProof/>
            <w:webHidden/>
          </w:rPr>
          <w:t>13</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73" w:history="1">
        <w:r w:rsidR="00603098" w:rsidRPr="007F0B95">
          <w:rPr>
            <w:rStyle w:val="Hyperlink"/>
            <w:noProof/>
          </w:rPr>
          <w:t>1.14</w:t>
        </w:r>
        <w:r w:rsidR="00603098">
          <w:rPr>
            <w:rFonts w:asciiTheme="minorHAnsi" w:eastAsiaTheme="minorEastAsia" w:hAnsiTheme="minorHAnsi" w:cstheme="minorBidi"/>
            <w:noProof/>
            <w:lang w:eastAsia="en-AU"/>
          </w:rPr>
          <w:tab/>
        </w:r>
        <w:r w:rsidR="00603098" w:rsidRPr="007F0B95">
          <w:rPr>
            <w:rStyle w:val="Hyperlink"/>
            <w:noProof/>
          </w:rPr>
          <w:t>Missing data</w:t>
        </w:r>
        <w:r w:rsidR="00603098">
          <w:rPr>
            <w:noProof/>
            <w:webHidden/>
          </w:rPr>
          <w:tab/>
        </w:r>
        <w:r w:rsidR="00603098">
          <w:rPr>
            <w:noProof/>
            <w:webHidden/>
          </w:rPr>
          <w:fldChar w:fldCharType="begin"/>
        </w:r>
        <w:r w:rsidR="00603098">
          <w:rPr>
            <w:noProof/>
            <w:webHidden/>
          </w:rPr>
          <w:instrText xml:space="preserve"> PAGEREF _Toc403477273 \h </w:instrText>
        </w:r>
        <w:r w:rsidR="00603098">
          <w:rPr>
            <w:noProof/>
            <w:webHidden/>
          </w:rPr>
        </w:r>
        <w:r w:rsidR="00603098">
          <w:rPr>
            <w:noProof/>
            <w:webHidden/>
          </w:rPr>
          <w:fldChar w:fldCharType="separate"/>
        </w:r>
        <w:r w:rsidR="00BA0A46">
          <w:rPr>
            <w:noProof/>
            <w:webHidden/>
          </w:rPr>
          <w:t>14</w:t>
        </w:r>
        <w:r w:rsidR="00603098">
          <w:rPr>
            <w:noProof/>
            <w:webHidden/>
          </w:rPr>
          <w:fldChar w:fldCharType="end"/>
        </w:r>
      </w:hyperlink>
    </w:p>
    <w:p w:rsidR="00603098" w:rsidRDefault="00D059AD">
      <w:pPr>
        <w:pStyle w:val="TOC1"/>
        <w:rPr>
          <w:rFonts w:asciiTheme="minorHAnsi" w:eastAsiaTheme="minorEastAsia" w:hAnsiTheme="minorHAnsi" w:cstheme="minorBidi"/>
          <w:b w:val="0"/>
          <w:noProof/>
          <w:lang w:eastAsia="en-AU"/>
        </w:rPr>
      </w:pPr>
      <w:hyperlink w:anchor="_Toc403477274" w:history="1">
        <w:r w:rsidR="00603098" w:rsidRPr="007F0B95">
          <w:rPr>
            <w:rStyle w:val="Hyperlink"/>
            <w:noProof/>
          </w:rPr>
          <w:t>2</w:t>
        </w:r>
        <w:r w:rsidR="00603098">
          <w:rPr>
            <w:rFonts w:asciiTheme="minorHAnsi" w:eastAsiaTheme="minorEastAsia" w:hAnsiTheme="minorHAnsi" w:cstheme="minorBidi"/>
            <w:b w:val="0"/>
            <w:noProof/>
            <w:lang w:eastAsia="en-AU"/>
          </w:rPr>
          <w:tab/>
        </w:r>
        <w:r w:rsidR="00603098" w:rsidRPr="007F0B95">
          <w:rPr>
            <w:rStyle w:val="Hyperlink"/>
            <w:noProof/>
          </w:rPr>
          <w:t>Electricity</w:t>
        </w:r>
        <w:r w:rsidR="00603098">
          <w:rPr>
            <w:noProof/>
            <w:webHidden/>
          </w:rPr>
          <w:tab/>
        </w:r>
        <w:r w:rsidR="00603098">
          <w:rPr>
            <w:noProof/>
            <w:webHidden/>
          </w:rPr>
          <w:fldChar w:fldCharType="begin"/>
        </w:r>
        <w:r w:rsidR="00603098">
          <w:rPr>
            <w:noProof/>
            <w:webHidden/>
          </w:rPr>
          <w:instrText xml:space="preserve"> PAGEREF _Toc403477274 \h </w:instrText>
        </w:r>
        <w:r w:rsidR="00603098">
          <w:rPr>
            <w:noProof/>
            <w:webHidden/>
          </w:rPr>
        </w:r>
        <w:r w:rsidR="00603098">
          <w:rPr>
            <w:noProof/>
            <w:webHidden/>
          </w:rPr>
          <w:fldChar w:fldCharType="separate"/>
        </w:r>
        <w:r w:rsidR="00BA0A46">
          <w:rPr>
            <w:noProof/>
            <w:webHidden/>
          </w:rPr>
          <w:t>15</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75" w:history="1">
        <w:r w:rsidR="00603098" w:rsidRPr="007F0B95">
          <w:rPr>
            <w:rStyle w:val="Hyperlink"/>
            <w:noProof/>
          </w:rPr>
          <w:t>2.1</w:t>
        </w:r>
        <w:r w:rsidR="00603098">
          <w:rPr>
            <w:rFonts w:asciiTheme="minorHAnsi" w:eastAsiaTheme="minorEastAsia" w:hAnsiTheme="minorHAnsi" w:cstheme="minorBidi"/>
            <w:noProof/>
            <w:lang w:eastAsia="en-AU"/>
          </w:rPr>
          <w:tab/>
        </w:r>
        <w:r w:rsidR="00603098" w:rsidRPr="007F0B95">
          <w:rPr>
            <w:rStyle w:val="Hyperlink"/>
            <w:noProof/>
          </w:rPr>
          <w:t>Rebidding</w:t>
        </w:r>
        <w:r w:rsidR="00603098">
          <w:rPr>
            <w:noProof/>
            <w:webHidden/>
          </w:rPr>
          <w:tab/>
        </w:r>
        <w:r w:rsidR="00603098">
          <w:rPr>
            <w:noProof/>
            <w:webHidden/>
          </w:rPr>
          <w:fldChar w:fldCharType="begin"/>
        </w:r>
        <w:r w:rsidR="00603098">
          <w:rPr>
            <w:noProof/>
            <w:webHidden/>
          </w:rPr>
          <w:instrText xml:space="preserve"> PAGEREF _Toc403477275 \h </w:instrText>
        </w:r>
        <w:r w:rsidR="00603098">
          <w:rPr>
            <w:noProof/>
            <w:webHidden/>
          </w:rPr>
        </w:r>
        <w:r w:rsidR="00603098">
          <w:rPr>
            <w:noProof/>
            <w:webHidden/>
          </w:rPr>
          <w:fldChar w:fldCharType="separate"/>
        </w:r>
        <w:r w:rsidR="00BA0A46">
          <w:rPr>
            <w:noProof/>
            <w:webHidden/>
          </w:rPr>
          <w:t>15</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76" w:history="1">
        <w:r w:rsidR="00603098" w:rsidRPr="007F0B95">
          <w:rPr>
            <w:rStyle w:val="Hyperlink"/>
            <w:noProof/>
          </w:rPr>
          <w:t>2.2</w:t>
        </w:r>
        <w:r w:rsidR="00603098">
          <w:rPr>
            <w:rFonts w:asciiTheme="minorHAnsi" w:eastAsiaTheme="minorEastAsia" w:hAnsiTheme="minorHAnsi" w:cstheme="minorBidi"/>
            <w:noProof/>
            <w:lang w:eastAsia="en-AU"/>
          </w:rPr>
          <w:tab/>
        </w:r>
        <w:r w:rsidR="00603098" w:rsidRPr="007F0B95">
          <w:rPr>
            <w:rStyle w:val="Hyperlink"/>
            <w:noProof/>
          </w:rPr>
          <w:t>Hydro Tasmania – management of dam levels</w:t>
        </w:r>
        <w:r w:rsidR="00603098">
          <w:rPr>
            <w:noProof/>
            <w:webHidden/>
          </w:rPr>
          <w:tab/>
        </w:r>
        <w:r w:rsidR="00603098">
          <w:rPr>
            <w:noProof/>
            <w:webHidden/>
          </w:rPr>
          <w:fldChar w:fldCharType="begin"/>
        </w:r>
        <w:r w:rsidR="00603098">
          <w:rPr>
            <w:noProof/>
            <w:webHidden/>
          </w:rPr>
          <w:instrText xml:space="preserve"> PAGEREF _Toc403477276 \h </w:instrText>
        </w:r>
        <w:r w:rsidR="00603098">
          <w:rPr>
            <w:noProof/>
            <w:webHidden/>
          </w:rPr>
        </w:r>
        <w:r w:rsidR="00603098">
          <w:rPr>
            <w:noProof/>
            <w:webHidden/>
          </w:rPr>
          <w:fldChar w:fldCharType="separate"/>
        </w:r>
        <w:r w:rsidR="00BA0A46">
          <w:rPr>
            <w:noProof/>
            <w:webHidden/>
          </w:rPr>
          <w:t>16</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77" w:history="1">
        <w:r w:rsidR="00603098" w:rsidRPr="007F0B95">
          <w:rPr>
            <w:rStyle w:val="Hyperlink"/>
            <w:noProof/>
          </w:rPr>
          <w:t>2.3</w:t>
        </w:r>
        <w:r w:rsidR="00603098">
          <w:rPr>
            <w:rFonts w:asciiTheme="minorHAnsi" w:eastAsiaTheme="minorEastAsia" w:hAnsiTheme="minorHAnsi" w:cstheme="minorBidi"/>
            <w:noProof/>
            <w:lang w:eastAsia="en-AU"/>
          </w:rPr>
          <w:tab/>
        </w:r>
        <w:r w:rsidR="00603098" w:rsidRPr="007F0B95">
          <w:rPr>
            <w:rStyle w:val="Hyperlink"/>
            <w:noProof/>
          </w:rPr>
          <w:t>Jurisdictional derogations</w:t>
        </w:r>
        <w:r w:rsidR="00603098">
          <w:rPr>
            <w:noProof/>
            <w:webHidden/>
          </w:rPr>
          <w:tab/>
        </w:r>
        <w:r w:rsidR="00603098">
          <w:rPr>
            <w:noProof/>
            <w:webHidden/>
          </w:rPr>
          <w:fldChar w:fldCharType="begin"/>
        </w:r>
        <w:r w:rsidR="00603098">
          <w:rPr>
            <w:noProof/>
            <w:webHidden/>
          </w:rPr>
          <w:instrText xml:space="preserve"> PAGEREF _Toc403477277 \h </w:instrText>
        </w:r>
        <w:r w:rsidR="00603098">
          <w:rPr>
            <w:noProof/>
            <w:webHidden/>
          </w:rPr>
        </w:r>
        <w:r w:rsidR="00603098">
          <w:rPr>
            <w:noProof/>
            <w:webHidden/>
          </w:rPr>
          <w:fldChar w:fldCharType="separate"/>
        </w:r>
        <w:r w:rsidR="00BA0A46">
          <w:rPr>
            <w:noProof/>
            <w:webHidden/>
          </w:rPr>
          <w:t>17</w:t>
        </w:r>
        <w:r w:rsidR="00603098">
          <w:rPr>
            <w:noProof/>
            <w:webHidden/>
          </w:rPr>
          <w:fldChar w:fldCharType="end"/>
        </w:r>
      </w:hyperlink>
    </w:p>
    <w:p w:rsidR="00603098" w:rsidRDefault="00D059AD">
      <w:pPr>
        <w:pStyle w:val="TOC2"/>
        <w:rPr>
          <w:rFonts w:asciiTheme="minorHAnsi" w:eastAsiaTheme="minorEastAsia" w:hAnsiTheme="minorHAnsi" w:cstheme="minorBidi"/>
          <w:noProof/>
          <w:lang w:eastAsia="en-AU"/>
        </w:rPr>
      </w:pPr>
      <w:hyperlink w:anchor="_Toc403477278" w:history="1">
        <w:r w:rsidR="00603098" w:rsidRPr="007F0B95">
          <w:rPr>
            <w:rStyle w:val="Hyperlink"/>
            <w:noProof/>
          </w:rPr>
          <w:t>2.4</w:t>
        </w:r>
        <w:r w:rsidR="00603098">
          <w:rPr>
            <w:rFonts w:asciiTheme="minorHAnsi" w:eastAsiaTheme="minorEastAsia" w:hAnsiTheme="minorHAnsi" w:cstheme="minorBidi"/>
            <w:noProof/>
            <w:lang w:eastAsia="en-AU"/>
          </w:rPr>
          <w:tab/>
        </w:r>
        <w:r w:rsidR="00603098" w:rsidRPr="007F0B95">
          <w:rPr>
            <w:rStyle w:val="Hyperlink"/>
            <w:noProof/>
          </w:rPr>
          <w:t>Current transformer testing</w:t>
        </w:r>
        <w:r w:rsidR="00603098">
          <w:rPr>
            <w:noProof/>
            <w:webHidden/>
          </w:rPr>
          <w:tab/>
        </w:r>
        <w:r w:rsidR="00603098">
          <w:rPr>
            <w:noProof/>
            <w:webHidden/>
          </w:rPr>
          <w:fldChar w:fldCharType="begin"/>
        </w:r>
        <w:r w:rsidR="00603098">
          <w:rPr>
            <w:noProof/>
            <w:webHidden/>
          </w:rPr>
          <w:instrText xml:space="preserve"> PAGEREF _Toc403477278 \h </w:instrText>
        </w:r>
        <w:r w:rsidR="00603098">
          <w:rPr>
            <w:noProof/>
            <w:webHidden/>
          </w:rPr>
        </w:r>
        <w:r w:rsidR="00603098">
          <w:rPr>
            <w:noProof/>
            <w:webHidden/>
          </w:rPr>
          <w:fldChar w:fldCharType="separate"/>
        </w:r>
        <w:r w:rsidR="00BA0A46">
          <w:rPr>
            <w:noProof/>
            <w:webHidden/>
          </w:rPr>
          <w:t>17</w:t>
        </w:r>
        <w:r w:rsidR="00603098">
          <w:rPr>
            <w:noProof/>
            <w:webHidden/>
          </w:rPr>
          <w:fldChar w:fldCharType="end"/>
        </w:r>
      </w:hyperlink>
    </w:p>
    <w:p w:rsidR="00603098" w:rsidRDefault="00D059AD">
      <w:pPr>
        <w:pStyle w:val="TOC1"/>
        <w:rPr>
          <w:rFonts w:asciiTheme="minorHAnsi" w:eastAsiaTheme="minorEastAsia" w:hAnsiTheme="minorHAnsi" w:cstheme="minorBidi"/>
          <w:b w:val="0"/>
          <w:noProof/>
          <w:lang w:eastAsia="en-AU"/>
        </w:rPr>
      </w:pPr>
      <w:hyperlink w:anchor="_Toc403477279" w:history="1">
        <w:r w:rsidR="00603098" w:rsidRPr="007F0B95">
          <w:rPr>
            <w:rStyle w:val="Hyperlink"/>
            <w:noProof/>
          </w:rPr>
          <w:t>Appendix A:  Shortened forms</w:t>
        </w:r>
        <w:r w:rsidR="00603098">
          <w:rPr>
            <w:noProof/>
            <w:webHidden/>
          </w:rPr>
          <w:tab/>
        </w:r>
        <w:r w:rsidR="00603098">
          <w:rPr>
            <w:noProof/>
            <w:webHidden/>
          </w:rPr>
          <w:fldChar w:fldCharType="begin"/>
        </w:r>
        <w:r w:rsidR="00603098">
          <w:rPr>
            <w:noProof/>
            <w:webHidden/>
          </w:rPr>
          <w:instrText xml:space="preserve"> PAGEREF _Toc403477279 \h </w:instrText>
        </w:r>
        <w:r w:rsidR="00603098">
          <w:rPr>
            <w:noProof/>
            <w:webHidden/>
          </w:rPr>
        </w:r>
        <w:r w:rsidR="00603098">
          <w:rPr>
            <w:noProof/>
            <w:webHidden/>
          </w:rPr>
          <w:fldChar w:fldCharType="separate"/>
        </w:r>
        <w:r w:rsidR="00BA0A46">
          <w:rPr>
            <w:noProof/>
            <w:webHidden/>
          </w:rPr>
          <w:t>18</w:t>
        </w:r>
        <w:r w:rsidR="00603098">
          <w:rPr>
            <w:noProof/>
            <w:webHidden/>
          </w:rPr>
          <w:fldChar w:fldCharType="end"/>
        </w:r>
      </w:hyperlink>
    </w:p>
    <w:p w:rsidR="00F112F2" w:rsidRDefault="00987FD1" w:rsidP="00646E98">
      <w:pPr>
        <w:pStyle w:val="UnnumberedHeading"/>
        <w:pageBreakBefore w:val="0"/>
        <w:numPr>
          <w:ilvl w:val="0"/>
          <w:numId w:val="0"/>
        </w:numPr>
        <w:spacing w:after="240"/>
      </w:pPr>
      <w:r>
        <w:fldChar w:fldCharType="end"/>
      </w:r>
    </w:p>
    <w:p w:rsidR="00D80F52" w:rsidRDefault="00F112F2" w:rsidP="00646E98">
      <w:pPr>
        <w:pStyle w:val="UnnumberedHeading"/>
        <w:pageBreakBefore w:val="0"/>
        <w:numPr>
          <w:ilvl w:val="0"/>
          <w:numId w:val="0"/>
        </w:numPr>
        <w:spacing w:after="240"/>
      </w:pPr>
      <w:r>
        <w:br w:type="page"/>
      </w:r>
      <w:bookmarkStart w:id="27" w:name="_Toc403477253"/>
      <w:r w:rsidR="00987FD1" w:rsidRPr="00742426">
        <w:lastRenderedPageBreak/>
        <w:t>Executive summary</w:t>
      </w:r>
      <w:bookmarkEnd w:id="27"/>
    </w:p>
    <w:p w:rsidR="00987FD1" w:rsidRDefault="00987FD1" w:rsidP="00987FD1">
      <w:pPr>
        <w:pStyle w:val="AERbodytext"/>
        <w:rPr>
          <w:b/>
        </w:rPr>
      </w:pPr>
      <w:r w:rsidRPr="007C1BB9">
        <w:t xml:space="preserve">The purpose of the Quarterly Compliance Report </w:t>
      </w:r>
      <w:r w:rsidRPr="00DF00BE">
        <w:t>(</w:t>
      </w:r>
      <w:r w:rsidRPr="0091486D">
        <w:rPr>
          <w:b/>
        </w:rPr>
        <w:t>QCR</w:t>
      </w:r>
      <w:r w:rsidRPr="00DF00BE">
        <w:t>)</w:t>
      </w:r>
      <w:r w:rsidRPr="007C1BB9">
        <w:rPr>
          <w:b/>
        </w:rPr>
        <w:t xml:space="preserve"> </w:t>
      </w:r>
      <w:r w:rsidRPr="007C1BB9">
        <w:t xml:space="preserve">is to outline the Australian Energy Regulator’s </w:t>
      </w:r>
      <w:r w:rsidRPr="00DF00BE">
        <w:t>(</w:t>
      </w:r>
      <w:r w:rsidRPr="0091486D">
        <w:rPr>
          <w:b/>
        </w:rPr>
        <w:t>AER</w:t>
      </w:r>
      <w:r w:rsidRPr="00DF00BE">
        <w:t>)</w:t>
      </w:r>
      <w:r w:rsidRPr="007C1BB9">
        <w:rPr>
          <w:b/>
        </w:rPr>
        <w:t xml:space="preserve"> </w:t>
      </w:r>
      <w:r w:rsidRPr="007C1BB9">
        <w:t>compliance monitoring and</w:t>
      </w:r>
      <w:r w:rsidRPr="007C1BB9">
        <w:rPr>
          <w:b/>
        </w:rPr>
        <w:t xml:space="preserve"> </w:t>
      </w:r>
      <w:r w:rsidRPr="007C1BB9">
        <w:t xml:space="preserve">enforcement activity under the National Electricity Law </w:t>
      </w:r>
      <w:r w:rsidRPr="00DF00BE">
        <w:t>(</w:t>
      </w:r>
      <w:r w:rsidRPr="0091486D">
        <w:rPr>
          <w:b/>
        </w:rPr>
        <w:t>Electricity Law</w:t>
      </w:r>
      <w:r w:rsidRPr="00DF00BE">
        <w:t xml:space="preserve">) </w:t>
      </w:r>
      <w:r w:rsidRPr="007C1BB9">
        <w:t>and the National Gas Law</w:t>
      </w:r>
      <w:r w:rsidRPr="007C1BB9">
        <w:rPr>
          <w:b/>
        </w:rPr>
        <w:t xml:space="preserve"> </w:t>
      </w:r>
      <w:r w:rsidRPr="00DF00BE">
        <w:t>(</w:t>
      </w:r>
      <w:r w:rsidRPr="0091486D">
        <w:rPr>
          <w:b/>
        </w:rPr>
        <w:t>Gas Law</w:t>
      </w:r>
      <w:r w:rsidRPr="00DF00BE">
        <w:t>)</w:t>
      </w:r>
      <w:r w:rsidRPr="008B2D87">
        <w:t>–</w:t>
      </w:r>
      <w:r w:rsidRPr="007C1BB9">
        <w:t xml:space="preserve">including the rules and regulations which sit under those laws. This QCR covers the period 1 </w:t>
      </w:r>
      <w:r>
        <w:t xml:space="preserve">July </w:t>
      </w:r>
      <w:r w:rsidRPr="007C1BB9">
        <w:t xml:space="preserve">to 30 </w:t>
      </w:r>
      <w:r>
        <w:t>September</w:t>
      </w:r>
      <w:r w:rsidRPr="007C1BB9">
        <w:t xml:space="preserve"> 2014 </w:t>
      </w:r>
      <w:r w:rsidRPr="00DF00BE">
        <w:t>(</w:t>
      </w:r>
      <w:r w:rsidRPr="0091486D">
        <w:rPr>
          <w:b/>
        </w:rPr>
        <w:t>the September 2014 quarter</w:t>
      </w:r>
      <w:r w:rsidRPr="00DF00BE">
        <w:t>).</w:t>
      </w:r>
    </w:p>
    <w:p w:rsidR="00987FD1" w:rsidRPr="002548C3" w:rsidRDefault="00987FD1" w:rsidP="00987FD1">
      <w:pPr>
        <w:pStyle w:val="AERbodytext"/>
      </w:pPr>
      <w:r>
        <w:t xml:space="preserve">During </w:t>
      </w:r>
      <w:r w:rsidRPr="00DF00BE">
        <w:t>the September 2014 quarter</w:t>
      </w:r>
      <w:r>
        <w:t>, we renewed our focus on ensuring participants comply with the information requirements of the Natural Gas Services Bulletin Board (</w:t>
      </w:r>
      <w:r w:rsidRPr="0091486D">
        <w:rPr>
          <w:b/>
        </w:rPr>
        <w:t>Bulletin Board</w:t>
      </w:r>
      <w:r>
        <w:t xml:space="preserve">). As the east coast gas market changes with the advent of LNG exports from Gladstone, the Bulletin Board is becoming a critical tool for informing market participants </w:t>
      </w:r>
      <w:r w:rsidR="00246770">
        <w:t xml:space="preserve">on </w:t>
      </w:r>
      <w:r>
        <w:t>the east coast gas supply-demand outlook. Therefore, it is important for information provided to the Bulletin Board to be current, accurate and consistent with the requirements of the National Gas Rules (</w:t>
      </w:r>
      <w:r w:rsidRPr="0091486D">
        <w:rPr>
          <w:b/>
        </w:rPr>
        <w:t>Gas Rules</w:t>
      </w:r>
      <w:r>
        <w:t xml:space="preserve">). </w:t>
      </w:r>
      <w:r w:rsidR="00F112F2">
        <w:t>During the September quarter, AER engaged</w:t>
      </w:r>
      <w:r>
        <w:t xml:space="preserve"> with a range of participants, including LNG producers and the Australian Energy Market Operator (</w:t>
      </w:r>
      <w:r w:rsidRPr="0091486D">
        <w:rPr>
          <w:b/>
        </w:rPr>
        <w:t>AEMO</w:t>
      </w:r>
      <w:r>
        <w:t>) on their obligations to provide information to the Bulletin Board (sections 1.</w:t>
      </w:r>
      <w:r w:rsidR="00B61A39">
        <w:t>11</w:t>
      </w:r>
      <w:r>
        <w:t>-1.</w:t>
      </w:r>
      <w:r w:rsidR="00B61A39">
        <w:t>14</w:t>
      </w:r>
      <w:r>
        <w:t xml:space="preserve">).  </w:t>
      </w:r>
    </w:p>
    <w:p w:rsidR="00987FD1" w:rsidRDefault="007A0C8F" w:rsidP="00987FD1">
      <w:pPr>
        <w:pStyle w:val="AERbodytext"/>
        <w:spacing w:line="276" w:lineRule="auto"/>
      </w:pPr>
      <w:r>
        <w:t xml:space="preserve">We also received notification from AEMO regarding its failure to publish the Victorian gas market’s pricing schedule in accordance with the Gas Rules (section 1.9). </w:t>
      </w:r>
      <w:r w:rsidR="00987FD1">
        <w:t xml:space="preserve">Given the nature and breadth of this problem, we agreed with AEMO that it should lead an industry consultation process to develop a solution to </w:t>
      </w:r>
      <w:r w:rsidR="00F112F2">
        <w:t xml:space="preserve">this </w:t>
      </w:r>
      <w:r w:rsidR="00987FD1">
        <w:t xml:space="preserve">compliance matter. However, we still note our concern that AEMO did not identify </w:t>
      </w:r>
      <w:r w:rsidR="00501EB4">
        <w:t xml:space="preserve">this </w:t>
      </w:r>
      <w:r w:rsidR="00987FD1">
        <w:t>compliance issue earlier via its audit process.</w:t>
      </w:r>
    </w:p>
    <w:p w:rsidR="00987FD1" w:rsidRDefault="00987FD1" w:rsidP="00987FD1">
      <w:pPr>
        <w:pStyle w:val="AERbodytext"/>
      </w:pPr>
      <w:r>
        <w:t>In relation to the Short Term Trading Market (</w:t>
      </w:r>
      <w:r w:rsidRPr="0091486D">
        <w:rPr>
          <w:b/>
        </w:rPr>
        <w:t>STTM</w:t>
      </w:r>
      <w:r>
        <w:t xml:space="preserve">), we continued to monitor counteracting </w:t>
      </w:r>
      <w:r w:rsidRPr="00C16B45">
        <w:t xml:space="preserve">Market Operator Service </w:t>
      </w:r>
      <w:r>
        <w:t>(</w:t>
      </w:r>
      <w:r w:rsidRPr="0091486D">
        <w:rPr>
          <w:b/>
        </w:rPr>
        <w:t>MOS</w:t>
      </w:r>
      <w:r>
        <w:t xml:space="preserve">) in the Adelaide hub following the opening of the Elizabeth zone valve (section 1.4). We engaged </w:t>
      </w:r>
      <w:r w:rsidR="00F112F2">
        <w:t xml:space="preserve">with </w:t>
      </w:r>
      <w:r>
        <w:t>AGL over its pipeline deviations into the Adelaide and Sydney hubs (section 1.5) and corresponded with participants over variations cited between the provisional schedules and ex ante market schedule in the Brisbane</w:t>
      </w:r>
      <w:r w:rsidR="00B61A39">
        <w:t xml:space="preserve"> and Adelaide</w:t>
      </w:r>
      <w:r>
        <w:t xml:space="preserve"> hub</w:t>
      </w:r>
      <w:r w:rsidR="00B61A39">
        <w:t>s</w:t>
      </w:r>
      <w:r>
        <w:t xml:space="preserve"> (section 1.6).</w:t>
      </w:r>
    </w:p>
    <w:p w:rsidR="00987FD1" w:rsidRPr="00E92618" w:rsidRDefault="00987FD1" w:rsidP="00987FD1">
      <w:pPr>
        <w:pStyle w:val="AERbodytext"/>
        <w:rPr>
          <w:u w:val="single"/>
        </w:rPr>
      </w:pPr>
      <w:r>
        <w:t>For the National Electricity Market</w:t>
      </w:r>
      <w:r w:rsidR="00246770">
        <w:t xml:space="preserve"> (</w:t>
      </w:r>
      <w:r w:rsidR="00246770" w:rsidRPr="0091486D">
        <w:rPr>
          <w:b/>
        </w:rPr>
        <w:t>NEM</w:t>
      </w:r>
      <w:r w:rsidR="00246770">
        <w:t>)</w:t>
      </w:r>
      <w:r w:rsidR="00881E7C">
        <w:t>, we observed a significant increase</w:t>
      </w:r>
      <w:r w:rsidR="00563E5B">
        <w:t xml:space="preserve"> </w:t>
      </w:r>
      <w:r w:rsidR="0076082C">
        <w:t>in</w:t>
      </w:r>
      <w:r w:rsidR="00881E7C">
        <w:t xml:space="preserve"> </w:t>
      </w:r>
      <w:r w:rsidR="00F54E24">
        <w:t>rebids for review in Septembe</w:t>
      </w:r>
      <w:r w:rsidR="00A975AA">
        <w:t>r</w:t>
      </w:r>
      <w:r w:rsidR="0076082C">
        <w:t xml:space="preserve"> (section 2.1)</w:t>
      </w:r>
      <w:r w:rsidR="00A975AA">
        <w:t xml:space="preserve">. </w:t>
      </w:r>
      <w:r w:rsidR="0076082C">
        <w:t>The AER also engaged</w:t>
      </w:r>
      <w:r w:rsidR="0076082C" w:rsidRPr="00881E7C">
        <w:t xml:space="preserve"> </w:t>
      </w:r>
      <w:r w:rsidR="00563E5B" w:rsidRPr="00881E7C">
        <w:t>Hydro Tasmania</w:t>
      </w:r>
      <w:r w:rsidR="00563E5B">
        <w:t xml:space="preserve"> </w:t>
      </w:r>
      <w:r w:rsidR="0076082C">
        <w:t xml:space="preserve">over potential compliance issues arising from the management of a </w:t>
      </w:r>
      <w:r w:rsidR="00051CAD">
        <w:t xml:space="preserve">potential </w:t>
      </w:r>
      <w:r w:rsidR="00563E5B" w:rsidRPr="00881E7C">
        <w:t xml:space="preserve">safety issue with one of the smaller dams in </w:t>
      </w:r>
      <w:r w:rsidR="0076082C">
        <w:t>Hydro Tasmania’s</w:t>
      </w:r>
      <w:r w:rsidR="0076082C" w:rsidRPr="00881E7C">
        <w:t xml:space="preserve"> </w:t>
      </w:r>
      <w:r w:rsidR="00563E5B" w:rsidRPr="00881E7C">
        <w:t>portfolio</w:t>
      </w:r>
      <w:r w:rsidR="0076082C">
        <w:t xml:space="preserve"> (section 2.2)</w:t>
      </w:r>
      <w:r w:rsidR="00563E5B">
        <w:t xml:space="preserve">. </w:t>
      </w:r>
      <w:r w:rsidR="0076082C">
        <w:t>Finally, we continued our work with AEMO to increase compliance levels with respect to instrument transformer testing (section 2.4).</w:t>
      </w:r>
    </w:p>
    <w:p w:rsidR="00987FD1" w:rsidRPr="00860DB5" w:rsidRDefault="00987FD1" w:rsidP="00987FD1">
      <w:pPr>
        <w:pStyle w:val="UnnumberedHeading"/>
        <w:numPr>
          <w:ilvl w:val="0"/>
          <w:numId w:val="0"/>
        </w:numPr>
        <w:jc w:val="both"/>
      </w:pPr>
      <w:bookmarkStart w:id="28" w:name="_Toc403477254"/>
      <w:r w:rsidRPr="00860DB5">
        <w:lastRenderedPageBreak/>
        <w:t>Background</w:t>
      </w:r>
      <w:bookmarkEnd w:id="28"/>
    </w:p>
    <w:p w:rsidR="00987FD1" w:rsidRPr="00E0671E" w:rsidRDefault="00987FD1" w:rsidP="00987FD1">
      <w:pPr>
        <w:pStyle w:val="AERbodytext"/>
        <w:spacing w:after="220"/>
      </w:pPr>
      <w:r>
        <w:t>The AER is</w:t>
      </w:r>
      <w:r w:rsidRPr="00E0671E">
        <w:t xml:space="preserve"> responsible for monitoring compliance and enforcement under legislation and rules governing Australia’s wholesale energy markets, including those applying to Network Service Providers. Section 15 of the Electricity Law and section 27 of the Gas Law set out </w:t>
      </w:r>
      <w:r>
        <w:t>our</w:t>
      </w:r>
      <w:r w:rsidRPr="00E0671E">
        <w:t xml:space="preserve"> functions and powers, which include:</w:t>
      </w:r>
    </w:p>
    <w:p w:rsidR="00987FD1" w:rsidRDefault="00987FD1" w:rsidP="00987FD1">
      <w:pPr>
        <w:pStyle w:val="AERbulletlistsecondstyle"/>
      </w:pPr>
      <w:r w:rsidRPr="00E0671E">
        <w:t>monitoring compliance by energy industry participants</w:t>
      </w:r>
      <w:r>
        <w:rPr>
          <w:rStyle w:val="FootnoteReference"/>
        </w:rPr>
        <w:footnoteReference w:id="1"/>
      </w:r>
      <w:r w:rsidRPr="00E0671E">
        <w:t xml:space="preserve"> and other persons</w:t>
      </w:r>
    </w:p>
    <w:p w:rsidR="00987FD1" w:rsidRDefault="00987FD1" w:rsidP="00987FD1">
      <w:pPr>
        <w:pStyle w:val="AERbulletlistsecondstyle"/>
      </w:pPr>
      <w:proofErr w:type="gramStart"/>
      <w:r w:rsidRPr="00E0671E">
        <w:t>investigating</w:t>
      </w:r>
      <w:proofErr w:type="gramEnd"/>
      <w:r w:rsidRPr="00E0671E">
        <w:t xml:space="preserve"> breaches, or possible breaches, of provisions of the legislative instruments under </w:t>
      </w:r>
      <w:r>
        <w:t>our</w:t>
      </w:r>
      <w:r w:rsidRPr="00E0671E">
        <w:t xml:space="preserve"> jurisdiction.</w:t>
      </w:r>
    </w:p>
    <w:p w:rsidR="00987FD1" w:rsidRPr="00E0671E" w:rsidRDefault="00987FD1" w:rsidP="00987FD1">
      <w:pPr>
        <w:pStyle w:val="AERbodytext"/>
        <w:spacing w:after="220"/>
      </w:pPr>
      <w:r w:rsidRPr="00E0671E">
        <w:rPr>
          <w:lang w:eastAsia="en-AU"/>
        </w:rPr>
        <w:t xml:space="preserve">Consistent with </w:t>
      </w:r>
      <w:r>
        <w:rPr>
          <w:lang w:eastAsia="en-AU"/>
        </w:rPr>
        <w:t>our</w:t>
      </w:r>
      <w:r w:rsidRPr="00E0671E">
        <w:rPr>
          <w:lang w:eastAsia="en-AU"/>
        </w:rPr>
        <w:t xml:space="preserve"> </w:t>
      </w:r>
      <w:hyperlink r:id="rId18" w:history="1">
        <w:r w:rsidRPr="00543C9B">
          <w:rPr>
            <w:rStyle w:val="Hyperlink"/>
            <w:lang w:eastAsia="en-AU"/>
          </w:rPr>
          <w:t>statement of approach</w:t>
        </w:r>
      </w:hyperlink>
      <w:r>
        <w:rPr>
          <w:rStyle w:val="Hyperlink"/>
          <w:lang w:eastAsia="en-AU"/>
        </w:rPr>
        <w:t>,</w:t>
      </w:r>
      <w:r>
        <w:rPr>
          <w:rStyle w:val="FootnoteReference"/>
          <w:lang w:eastAsia="en-AU"/>
        </w:rPr>
        <w:footnoteReference w:id="2"/>
      </w:r>
      <w:r w:rsidRPr="00E0671E">
        <w:rPr>
          <w:lang w:eastAsia="en-AU"/>
        </w:rPr>
        <w:t xml:space="preserve"> </w:t>
      </w:r>
      <w:r>
        <w:t xml:space="preserve">we </w:t>
      </w:r>
      <w:r w:rsidRPr="00E0671E">
        <w:t>aim to promote high levels of compliance, and seek to build a culture of compliance in the energy industry. A culture of compliance will:</w:t>
      </w:r>
    </w:p>
    <w:p w:rsidR="00987FD1" w:rsidRDefault="00987FD1" w:rsidP="00987FD1">
      <w:pPr>
        <w:pStyle w:val="AERbulletlistsecondstyle"/>
      </w:pPr>
      <w:r w:rsidRPr="00E0671E">
        <w:t>reduce the risk of industry participants breaching their regulatory obligations</w:t>
      </w:r>
    </w:p>
    <w:p w:rsidR="00987FD1" w:rsidRDefault="00987FD1" w:rsidP="00987FD1">
      <w:pPr>
        <w:pStyle w:val="AERbulletlistsecondstyle"/>
      </w:pPr>
      <w:proofErr w:type="gramStart"/>
      <w:r>
        <w:t>assist</w:t>
      </w:r>
      <w:proofErr w:type="gramEnd"/>
      <w:r>
        <w:t xml:space="preserve"> in </w:t>
      </w:r>
      <w:r w:rsidRPr="00E0671E">
        <w:t>ensur</w:t>
      </w:r>
      <w:r>
        <w:t>ing</w:t>
      </w:r>
      <w:r w:rsidRPr="00E0671E">
        <w:t xml:space="preserve"> industry participants can engage confidently in </w:t>
      </w:r>
      <w:r>
        <w:t>efficient energy markets</w:t>
      </w:r>
      <w:r w:rsidRPr="00E0671E">
        <w:t>.</w:t>
      </w:r>
    </w:p>
    <w:p w:rsidR="00987FD1" w:rsidRPr="00E0671E" w:rsidRDefault="00987FD1" w:rsidP="00987FD1">
      <w:pPr>
        <w:pStyle w:val="AERbodytext"/>
        <w:spacing w:after="220"/>
      </w:pPr>
      <w:r w:rsidRPr="00E0671E">
        <w:t xml:space="preserve">As part of this process, </w:t>
      </w:r>
      <w:r>
        <w:t>we</w:t>
      </w:r>
      <w:r w:rsidRPr="00E0671E">
        <w:t xml:space="preserve"> undertake a continuous compliance risk assessment of the </w:t>
      </w:r>
      <w:r w:rsidRPr="00FD066B">
        <w:t xml:space="preserve">Electricity </w:t>
      </w:r>
      <w:r w:rsidRPr="002F695F">
        <w:t xml:space="preserve">and Gas Rules </w:t>
      </w:r>
      <w:r w:rsidRPr="00E0671E">
        <w:t xml:space="preserve">to identify appropriate focus areas and monitoring/compliance mechanisms. These mechanisms include our strategic compliance projects, audits, </w:t>
      </w:r>
      <w:proofErr w:type="gramStart"/>
      <w:r w:rsidRPr="00E0671E">
        <w:t>the</w:t>
      </w:r>
      <w:proofErr w:type="gramEnd"/>
      <w:r w:rsidRPr="00E0671E">
        <w:t xml:space="preserve"> imposition of reporting requirements, market monitoring, and targeted compliance reviews.</w:t>
      </w:r>
    </w:p>
    <w:p w:rsidR="00987FD1" w:rsidRPr="00E0671E" w:rsidRDefault="00987FD1" w:rsidP="00987FD1">
      <w:pPr>
        <w:pStyle w:val="AERbodytext"/>
        <w:spacing w:after="220"/>
        <w:rPr>
          <w:lang w:eastAsia="en-AU"/>
        </w:rPr>
      </w:pPr>
      <w:r w:rsidRPr="00E0671E">
        <w:rPr>
          <w:lang w:eastAsia="en-AU"/>
        </w:rPr>
        <w:t xml:space="preserve">In selecting the areas for review, </w:t>
      </w:r>
      <w:r>
        <w:rPr>
          <w:lang w:eastAsia="en-AU"/>
        </w:rPr>
        <w:t>we</w:t>
      </w:r>
      <w:r w:rsidRPr="00E0671E">
        <w:rPr>
          <w:lang w:eastAsia="en-AU"/>
        </w:rPr>
        <w:t xml:space="preserve"> adopt the following principles:</w:t>
      </w:r>
    </w:p>
    <w:p w:rsidR="00987FD1" w:rsidRDefault="00987FD1" w:rsidP="00987FD1">
      <w:pPr>
        <w:pStyle w:val="AERbulletlistsecondstyle"/>
      </w:pPr>
      <w:r w:rsidRPr="00E0671E">
        <w:t>consideration of risk (the greater the risk, the higher the priority)</w:t>
      </w:r>
    </w:p>
    <w:p w:rsidR="00987FD1" w:rsidRDefault="00987FD1" w:rsidP="00987FD1">
      <w:pPr>
        <w:pStyle w:val="AERbulletlistsecondstyle"/>
      </w:pPr>
      <w:proofErr w:type="gramStart"/>
      <w:r w:rsidRPr="00E0671E">
        <w:t>a</w:t>
      </w:r>
      <w:proofErr w:type="gramEnd"/>
      <w:r w:rsidRPr="00E0671E">
        <w:t xml:space="preserve"> commitment to ensuring that both systemic issues and those with the potential for isolated but significant impact are addressed.</w:t>
      </w:r>
    </w:p>
    <w:p w:rsidR="00987FD1" w:rsidRDefault="00987FD1" w:rsidP="00987FD1">
      <w:pPr>
        <w:pStyle w:val="AERbulletlistsecondstyle"/>
        <w:numPr>
          <w:ilvl w:val="0"/>
          <w:numId w:val="0"/>
        </w:numPr>
      </w:pPr>
      <w:r w:rsidRPr="00E0671E">
        <w:t xml:space="preserve">In carrying out </w:t>
      </w:r>
      <w:r>
        <w:t>our</w:t>
      </w:r>
      <w:r w:rsidRPr="00E0671E">
        <w:t xml:space="preserve"> monitoring functions, </w:t>
      </w:r>
      <w:r>
        <w:t>we</w:t>
      </w:r>
      <w:r w:rsidRPr="00E0671E">
        <w:t xml:space="preserve"> aim for:</w:t>
      </w:r>
    </w:p>
    <w:p w:rsidR="00987FD1" w:rsidRDefault="00987FD1" w:rsidP="00987FD1">
      <w:pPr>
        <w:pStyle w:val="AERbulletlistsecondstyle"/>
      </w:pPr>
      <w:r w:rsidRPr="00E0671E">
        <w:t>cost effectiveness for energy industry participants and the AER</w:t>
      </w:r>
    </w:p>
    <w:p w:rsidR="00987FD1" w:rsidRDefault="00987FD1" w:rsidP="00987FD1">
      <w:pPr>
        <w:pStyle w:val="AERbulletlistsecondstyle"/>
      </w:pPr>
      <w:proofErr w:type="gramStart"/>
      <w:r w:rsidRPr="00E0671E">
        <w:t>transparency</w:t>
      </w:r>
      <w:proofErr w:type="gramEnd"/>
      <w:r w:rsidRPr="00E0671E">
        <w:t xml:space="preserve"> (subject to confidentiality requirements).</w:t>
      </w:r>
    </w:p>
    <w:p w:rsidR="00987FD1" w:rsidRDefault="00987FD1" w:rsidP="00987FD1">
      <w:pPr>
        <w:pStyle w:val="AERbodytext"/>
        <w:spacing w:after="220"/>
        <w:rPr>
          <w:lang w:eastAsia="en-AU"/>
        </w:rPr>
      </w:pPr>
      <w:r w:rsidRPr="00E0671E">
        <w:rPr>
          <w:lang w:eastAsia="en-AU"/>
        </w:rPr>
        <w:t xml:space="preserve">While most obligations under the Electricity and Gas Rules do not require registered participants to establish specific compliance programs, </w:t>
      </w:r>
      <w:r>
        <w:rPr>
          <w:lang w:eastAsia="en-AU"/>
        </w:rPr>
        <w:t>we</w:t>
      </w:r>
      <w:r w:rsidRPr="00E0671E">
        <w:rPr>
          <w:lang w:eastAsia="en-AU"/>
        </w:rPr>
        <w:t xml:space="preserve"> take into account a participant’s compliance framework when determining </w:t>
      </w:r>
      <w:r>
        <w:rPr>
          <w:lang w:eastAsia="en-AU"/>
        </w:rPr>
        <w:t xml:space="preserve">our </w:t>
      </w:r>
      <w:r w:rsidRPr="00E0671E">
        <w:rPr>
          <w:lang w:eastAsia="en-AU"/>
        </w:rPr>
        <w:t xml:space="preserve">response to </w:t>
      </w:r>
      <w:r>
        <w:rPr>
          <w:lang w:eastAsia="en-AU"/>
        </w:rPr>
        <w:t xml:space="preserve">potential </w:t>
      </w:r>
      <w:r w:rsidRPr="00E0671E">
        <w:rPr>
          <w:lang w:eastAsia="en-AU"/>
        </w:rPr>
        <w:t xml:space="preserve">breaches. In assessing compliance culture, </w:t>
      </w:r>
      <w:r>
        <w:rPr>
          <w:lang w:eastAsia="en-AU"/>
        </w:rPr>
        <w:t>we</w:t>
      </w:r>
      <w:r w:rsidRPr="00E0671E">
        <w:rPr>
          <w:lang w:eastAsia="en-AU"/>
        </w:rPr>
        <w:t xml:space="preserve"> consider whether compliance programs and processes are effectively applied, up-to-date and tested regularly. </w:t>
      </w:r>
    </w:p>
    <w:p w:rsidR="00987FD1" w:rsidRDefault="00987FD1" w:rsidP="00987FD1">
      <w:pPr>
        <w:pStyle w:val="AERbodytext"/>
        <w:spacing w:after="220"/>
        <w:rPr>
          <w:b/>
          <w:lang w:eastAsia="en-AU"/>
        </w:rPr>
      </w:pPr>
    </w:p>
    <w:p w:rsidR="00987FD1" w:rsidRDefault="00987FD1" w:rsidP="00987FD1">
      <w:pPr>
        <w:pStyle w:val="AERbodytext"/>
        <w:spacing w:after="220"/>
        <w:rPr>
          <w:lang w:eastAsia="en-AU"/>
        </w:rPr>
      </w:pPr>
    </w:p>
    <w:p w:rsidR="00987FD1" w:rsidRPr="00D80126" w:rsidRDefault="00987FD1" w:rsidP="00D861CC">
      <w:pPr>
        <w:pStyle w:val="QCRHeading1"/>
        <w:tabs>
          <w:tab w:val="clear" w:pos="357"/>
          <w:tab w:val="num" w:pos="0"/>
        </w:tabs>
        <w:ind w:left="0" w:hanging="709"/>
      </w:pPr>
      <w:bookmarkStart w:id="29" w:name="_Toc403477255"/>
      <w:r w:rsidRPr="00D80126">
        <w:lastRenderedPageBreak/>
        <w:t>Gas</w:t>
      </w:r>
      <w:bookmarkEnd w:id="29"/>
    </w:p>
    <w:p w:rsidR="00987FD1" w:rsidRPr="00405B4F" w:rsidRDefault="00987FD1" w:rsidP="00987FD1">
      <w:pPr>
        <w:pStyle w:val="AERbodytext"/>
      </w:pPr>
      <w:r>
        <w:t>We are</w:t>
      </w:r>
      <w:r w:rsidRPr="00405B4F">
        <w:t xml:space="preserve"> responsible for monitoring, investigating and enforcing compliance with the Gas Law and Rules, including but not limited to, the </w:t>
      </w:r>
      <w:r>
        <w:t>STTM</w:t>
      </w:r>
      <w:r w:rsidRPr="00405B4F">
        <w:t>, the Victorian gas market</w:t>
      </w:r>
      <w:r>
        <w:t>, the Gas Supply Hub</w:t>
      </w:r>
      <w:r w:rsidR="006564F4">
        <w:t xml:space="preserve"> (</w:t>
      </w:r>
      <w:r w:rsidR="006564F4" w:rsidRPr="00A74D4B">
        <w:rPr>
          <w:b/>
        </w:rPr>
        <w:t>GSH</w:t>
      </w:r>
      <w:r w:rsidR="006564F4">
        <w:t>)</w:t>
      </w:r>
      <w:r w:rsidRPr="00405B4F">
        <w:t xml:space="preserve"> and the Bulletin Board.</w:t>
      </w:r>
      <w:r>
        <w:t xml:space="preserve"> </w:t>
      </w:r>
    </w:p>
    <w:p w:rsidR="00987FD1" w:rsidRDefault="00987FD1" w:rsidP="00987FD1">
      <w:pPr>
        <w:pStyle w:val="AERbodytext"/>
      </w:pPr>
      <w:r w:rsidRPr="00405B4F">
        <w:t>This part of the report provides an update on investigations</w:t>
      </w:r>
      <w:r>
        <w:t>,</w:t>
      </w:r>
      <w:r w:rsidRPr="00405B4F">
        <w:t xml:space="preserve"> compliance matters </w:t>
      </w:r>
      <w:r>
        <w:t xml:space="preserve">and projects </w:t>
      </w:r>
      <w:r w:rsidRPr="00405B4F">
        <w:t>in the gas markets.</w:t>
      </w:r>
      <w:r>
        <w:t xml:space="preserve"> </w:t>
      </w:r>
    </w:p>
    <w:p w:rsidR="00233252" w:rsidRPr="003D57CF" w:rsidRDefault="00987FD1" w:rsidP="00987FD1">
      <w:pPr>
        <w:pStyle w:val="QCRunnumberedunboldheading"/>
        <w:jc w:val="both"/>
      </w:pPr>
      <w:bookmarkStart w:id="30" w:name="_Toc403477256"/>
      <w:r w:rsidRPr="003D57CF">
        <w:t>Gas Supply Hub</w:t>
      </w:r>
      <w:bookmarkEnd w:id="30"/>
      <w:r w:rsidR="00501EB4">
        <w:t xml:space="preserve"> </w:t>
      </w:r>
    </w:p>
    <w:p w:rsidR="00501EB4" w:rsidRDefault="009D3E6C" w:rsidP="004B04D8">
      <w:pPr>
        <w:pStyle w:val="AERbodytext"/>
        <w:spacing w:line="276" w:lineRule="auto"/>
      </w:pPr>
      <w:r>
        <w:t xml:space="preserve">Over the past quarter, we continued to </w:t>
      </w:r>
      <w:r w:rsidR="00F112F2">
        <w:t xml:space="preserve">develop </w:t>
      </w:r>
      <w:r>
        <w:t xml:space="preserve">our compliance monitoring framework of the GSH. In addition, we refined our public reporting arrangements of the GSH, including improving </w:t>
      </w:r>
      <w:r w:rsidR="003A23CB">
        <w:t>o</w:t>
      </w:r>
      <w:r>
        <w:t>f information in our gas weekly</w:t>
      </w:r>
      <w:r w:rsidR="00F112F2">
        <w:t xml:space="preserve"> reports</w:t>
      </w:r>
      <w:r>
        <w:t xml:space="preserve"> and the GSH information in the industry statistics section on our website.</w:t>
      </w:r>
    </w:p>
    <w:p w:rsidR="00987FD1" w:rsidRDefault="00987FD1" w:rsidP="004B04D8">
      <w:pPr>
        <w:pStyle w:val="AERbodytext"/>
        <w:spacing w:line="276" w:lineRule="auto"/>
      </w:pPr>
      <w:r w:rsidRPr="000E43EC">
        <w:t xml:space="preserve">Under the Gas Rules, the AER is responsible for monitoring </w:t>
      </w:r>
      <w:r>
        <w:t>GSH</w:t>
      </w:r>
      <w:r w:rsidRPr="000E43EC">
        <w:t xml:space="preserve"> members’ compliance with obligations specified in the</w:t>
      </w:r>
      <w:r>
        <w:t xml:space="preserve"> Gas</w:t>
      </w:r>
      <w:r w:rsidRPr="000E43EC">
        <w:t xml:space="preserve"> Rules</w:t>
      </w:r>
      <w:r w:rsidR="00365CD3">
        <w:t xml:space="preserve"> for the gas trading exchange</w:t>
      </w:r>
      <w:r w:rsidRPr="000E43EC">
        <w:t>, including market conduct rules.</w:t>
      </w:r>
      <w:r w:rsidR="0091486D">
        <w:rPr>
          <w:rStyle w:val="FootnoteReference"/>
        </w:rPr>
        <w:footnoteReference w:id="3"/>
      </w:r>
      <w:r w:rsidRPr="000E43EC">
        <w:t xml:space="preserve"> The market conduct rules seek to protect the integrity of the market by prohibiting </w:t>
      </w:r>
      <w:r w:rsidR="00365CD3">
        <w:t xml:space="preserve">exchange </w:t>
      </w:r>
      <w:r w:rsidRPr="00772F73">
        <w:t>members</w:t>
      </w:r>
      <w:r w:rsidRPr="000E43EC">
        <w:t xml:space="preserve"> from a number of activities such as manipulating prices. </w:t>
      </w:r>
      <w:r>
        <w:t xml:space="preserve">The market conduct rules also </w:t>
      </w:r>
      <w:r w:rsidR="00C45C59">
        <w:t>prohibit submitting offers</w:t>
      </w:r>
      <w:r w:rsidR="00B54934">
        <w:t xml:space="preserve"> to buy or sell </w:t>
      </w:r>
      <w:r w:rsidR="00C45C59">
        <w:t xml:space="preserve">if the relevant party is aware, or ought to be aware, that it will be unable to </w:t>
      </w:r>
      <w:r w:rsidR="00F112F2">
        <w:t xml:space="preserve">satisfy </w:t>
      </w:r>
      <w:r w:rsidR="00C45C59">
        <w:t xml:space="preserve">the </w:t>
      </w:r>
      <w:r w:rsidR="003D3BFF">
        <w:t>obligations</w:t>
      </w:r>
      <w:r w:rsidR="00C45C59">
        <w:t xml:space="preserve"> under resulting transactions</w:t>
      </w:r>
      <w:r w:rsidR="003D3BFF">
        <w:t xml:space="preserve">. </w:t>
      </w:r>
      <w:r w:rsidR="00C45C59">
        <w:t xml:space="preserve">The effect </w:t>
      </w:r>
      <w:r w:rsidR="003D3BFF">
        <w:t xml:space="preserve">of this rule </w:t>
      </w:r>
      <w:r w:rsidR="00C45C59">
        <w:t xml:space="preserve">is that </w:t>
      </w:r>
      <w:r w:rsidR="00365CD3">
        <w:t>GSH members</w:t>
      </w:r>
      <w:r w:rsidRPr="007043A3">
        <w:t xml:space="preserve"> </w:t>
      </w:r>
      <w:r w:rsidR="00C45C59">
        <w:t xml:space="preserve">must </w:t>
      </w:r>
      <w:r w:rsidRPr="007043A3">
        <w:t xml:space="preserve">trade on the basis of gas they intend to physically deliver or receive at the </w:t>
      </w:r>
      <w:r>
        <w:t xml:space="preserve">GSH. </w:t>
      </w:r>
    </w:p>
    <w:p w:rsidR="00987FD1" w:rsidRPr="002D6DDE" w:rsidRDefault="00F112F2" w:rsidP="00233252">
      <w:pPr>
        <w:pStyle w:val="AERbodytext"/>
      </w:pPr>
      <w:r>
        <w:t xml:space="preserve">During </w:t>
      </w:r>
      <w:r w:rsidR="00987FD1">
        <w:t>the quarter</w:t>
      </w:r>
      <w:r w:rsidR="003D3BFF">
        <w:t xml:space="preserve"> </w:t>
      </w:r>
      <w:r w:rsidR="00987FD1">
        <w:t xml:space="preserve">we reviewed market data and engaged with </w:t>
      </w:r>
      <w:r w:rsidR="00C45C59">
        <w:t xml:space="preserve">GSH </w:t>
      </w:r>
      <w:r w:rsidR="00987FD1" w:rsidRPr="00A74D4B">
        <w:t>trading participants to ascert</w:t>
      </w:r>
      <w:r w:rsidR="00987FD1">
        <w:t xml:space="preserve">ain whether </w:t>
      </w:r>
      <w:r>
        <w:t>they</w:t>
      </w:r>
      <w:r w:rsidR="00987FD1">
        <w:t xml:space="preserve"> are complying with their delivery obligations.</w:t>
      </w:r>
      <w:r w:rsidR="00691473">
        <w:rPr>
          <w:rStyle w:val="FootnoteReference"/>
        </w:rPr>
        <w:footnoteReference w:id="4"/>
      </w:r>
      <w:r w:rsidR="00987FD1">
        <w:t xml:space="preserve"> Overall, it appears delivery variations </w:t>
      </w:r>
      <w:r w:rsidR="003D3BFF">
        <w:t>(</w:t>
      </w:r>
      <w:r w:rsidR="004B04D8">
        <w:t>the difference between the delivered quantity and the transaction quantity)</w:t>
      </w:r>
      <w:r w:rsidR="004B04D8" w:rsidDel="004B04D8">
        <w:t xml:space="preserve"> </w:t>
      </w:r>
      <w:r w:rsidR="00987FD1">
        <w:t xml:space="preserve">in the GSH are infrequent. For example, no </w:t>
      </w:r>
      <w:r w:rsidR="00987FD1" w:rsidRPr="007043A3">
        <w:t xml:space="preserve">delivery variations </w:t>
      </w:r>
      <w:r w:rsidR="00987FD1">
        <w:t xml:space="preserve">were </w:t>
      </w:r>
      <w:r w:rsidR="00987FD1" w:rsidRPr="007043A3">
        <w:t>reported to AEMO</w:t>
      </w:r>
      <w:r w:rsidR="00987FD1">
        <w:t xml:space="preserve"> for the first 300 trades in the GSH.</w:t>
      </w:r>
      <w:r w:rsidR="00987FD1">
        <w:rPr>
          <w:rStyle w:val="FootnoteReference"/>
        </w:rPr>
        <w:footnoteReference w:id="5"/>
      </w:r>
      <w:r w:rsidR="00987FD1">
        <w:t xml:space="preserve"> When delivery variations do occur, they appear to be promptly resolved off-</w:t>
      </w:r>
      <w:r w:rsidR="00987FD1" w:rsidRPr="009D709B">
        <w:t xml:space="preserve">market. </w:t>
      </w:r>
    </w:p>
    <w:p w:rsidR="00987FD1" w:rsidRDefault="00987FD1" w:rsidP="00987FD1">
      <w:pPr>
        <w:pStyle w:val="AERbodytext"/>
        <w:spacing w:line="276" w:lineRule="auto"/>
      </w:pPr>
      <w:r>
        <w:t>We have also established a dedicated work program to refine our monitoring framework for price manipulation in the GSH. This involves stakeholder engagement including meeting with the United States</w:t>
      </w:r>
      <w:r w:rsidR="000C203D">
        <w:t xml:space="preserve">’ </w:t>
      </w:r>
      <w:r>
        <w:t xml:space="preserve">Federal Energy Regulatory Commission to discuss </w:t>
      </w:r>
      <w:r w:rsidR="00F112F2">
        <w:t xml:space="preserve">its </w:t>
      </w:r>
      <w:r>
        <w:t xml:space="preserve">approach to price manipulation in US energy markets. We will also continue to monitor </w:t>
      </w:r>
      <w:r w:rsidR="00F112F2">
        <w:t xml:space="preserve">possible </w:t>
      </w:r>
      <w:r>
        <w:t>developments which may impact upon prices in the GSH, such as the creation of an end of day price</w:t>
      </w:r>
      <w:r>
        <w:rPr>
          <w:rStyle w:val="FootnoteReference"/>
        </w:rPr>
        <w:footnoteReference w:id="6"/>
      </w:r>
      <w:r>
        <w:t xml:space="preserve"> or the commencement of futures markets.  </w:t>
      </w:r>
    </w:p>
    <w:p w:rsidR="00987FD1" w:rsidRDefault="00F112F2" w:rsidP="00987FD1">
      <w:pPr>
        <w:pStyle w:val="AERbodytext"/>
        <w:spacing w:line="276" w:lineRule="auto"/>
      </w:pPr>
      <w:r>
        <w:t>Our</w:t>
      </w:r>
      <w:r w:rsidR="00187D92">
        <w:t xml:space="preserve"> reporting arrangements for</w:t>
      </w:r>
      <w:r w:rsidR="00987FD1">
        <w:t xml:space="preserve"> the GSH during the September </w:t>
      </w:r>
      <w:r w:rsidR="00187D92">
        <w:t xml:space="preserve">quarter </w:t>
      </w:r>
      <w:r>
        <w:t>included</w:t>
      </w:r>
      <w:r w:rsidR="00987FD1">
        <w:t xml:space="preserve"> enhancing our gas weekly to incorporate GSH prices in the east coast gas map which geographically captures market prices, production, consumption and pipeline flows</w:t>
      </w:r>
      <w:r w:rsidR="00772F73">
        <w:t>.</w:t>
      </w:r>
      <w:r w:rsidR="00987FD1">
        <w:t xml:space="preserve"> </w:t>
      </w:r>
    </w:p>
    <w:p w:rsidR="00987FD1" w:rsidRDefault="00B76EA8" w:rsidP="00D861CC">
      <w:pPr>
        <w:pStyle w:val="AERbodytext"/>
        <w:keepNext/>
        <w:spacing w:line="240" w:lineRule="auto"/>
      </w:pPr>
      <w:r>
        <w:rPr>
          <w:b/>
        </w:rPr>
        <w:br w:type="page"/>
      </w:r>
      <w:r w:rsidR="00987FD1">
        <w:rPr>
          <w:b/>
        </w:rPr>
        <w:lastRenderedPageBreak/>
        <w:t>GSH trade activity</w:t>
      </w:r>
    </w:p>
    <w:p w:rsidR="00987FD1" w:rsidRDefault="00987FD1" w:rsidP="00987FD1">
      <w:pPr>
        <w:pStyle w:val="AERbodytext"/>
        <w:spacing w:line="276" w:lineRule="auto"/>
      </w:pPr>
      <w:r w:rsidRPr="00DF00BE">
        <w:t>In the GSH, there are four spot and forward trading products available to trade including balance-of-day</w:t>
      </w:r>
      <w:r w:rsidR="00B54934">
        <w:t xml:space="preserve"> (</w:t>
      </w:r>
      <w:r w:rsidR="00B54934" w:rsidRPr="00912CC3">
        <w:rPr>
          <w:b/>
        </w:rPr>
        <w:t>BOD</w:t>
      </w:r>
      <w:r w:rsidR="00B54934">
        <w:t>)</w:t>
      </w:r>
      <w:r w:rsidRPr="00DF00BE">
        <w:t>, day-ahead, daily and weekly products for delivery of gas on the Roma to Brisbane Pipeline (</w:t>
      </w:r>
      <w:r w:rsidRPr="0091486D">
        <w:rPr>
          <w:b/>
        </w:rPr>
        <w:t>RBP</w:t>
      </w:r>
      <w:r w:rsidRPr="00DF00BE">
        <w:t>), South West Queensland Pipeline (</w:t>
      </w:r>
      <w:r w:rsidRPr="0091486D">
        <w:rPr>
          <w:b/>
        </w:rPr>
        <w:t>SWQP</w:t>
      </w:r>
      <w:r w:rsidRPr="00DF00BE">
        <w:t>) and Queensland Gas Pipeline (</w:t>
      </w:r>
      <w:r w:rsidRPr="0091486D">
        <w:rPr>
          <w:b/>
        </w:rPr>
        <w:t>QGP</w:t>
      </w:r>
      <w:r w:rsidRPr="00DF00BE">
        <w:t xml:space="preserve">). </w:t>
      </w:r>
    </w:p>
    <w:p w:rsidR="00F505BD" w:rsidRPr="00326FBE" w:rsidRDefault="00F505BD" w:rsidP="00912CC3">
      <w:pPr>
        <w:pStyle w:val="AERfigureheading"/>
        <w:tabs>
          <w:tab w:val="clear" w:pos="1474"/>
          <w:tab w:val="clear" w:pos="6169"/>
          <w:tab w:val="left" w:pos="1276"/>
        </w:tabs>
        <w:spacing w:before="120" w:after="60"/>
        <w:ind w:left="1276" w:hanging="1276"/>
        <w:jc w:val="both"/>
      </w:pPr>
      <w:r>
        <w:t xml:space="preserve">Gas pipeline and production facilities in </w:t>
      </w:r>
      <w:r w:rsidR="00B76EA8">
        <w:t xml:space="preserve">the </w:t>
      </w:r>
      <w:r>
        <w:t>Wallumbilla area, Queensland</w:t>
      </w:r>
    </w:p>
    <w:p w:rsidR="00F112F2" w:rsidRDefault="0021718A" w:rsidP="00912CC3">
      <w:pPr>
        <w:pStyle w:val="AERbodytext"/>
        <w:spacing w:after="0" w:line="276" w:lineRule="auto"/>
        <w:rPr>
          <w:noProof/>
          <w:lang w:eastAsia="en-AU"/>
        </w:rPr>
      </w:pPr>
      <w:r>
        <w:rPr>
          <w:noProof/>
          <w:lang w:eastAsia="en-AU"/>
        </w:rPr>
        <w:pict>
          <v:shape id="_x0000_i1025" type="#_x0000_t75" alt="Gas pipeline and production facilities in the Wallumbilla area, Queensland" style="width:402.05pt;height:303.8pt;visibility:visible;mso-wrap-style:square;mso-position-vertical:absolute">
            <v:imagedata r:id="rId19" o:title="" croptop="7856f" cropbottom="5606f" cropright="8799f"/>
          </v:shape>
        </w:pict>
      </w:r>
    </w:p>
    <w:p w:rsidR="00F505BD" w:rsidRPr="00DF00BE" w:rsidRDefault="00F505BD" w:rsidP="00912CC3">
      <w:pPr>
        <w:pStyle w:val="AERtablesource"/>
      </w:pPr>
      <w:r>
        <w:rPr>
          <w:noProof/>
          <w:lang w:eastAsia="en-AU"/>
        </w:rPr>
        <w:t>Source: AEMO</w:t>
      </w:r>
    </w:p>
    <w:p w:rsidR="00987FD1" w:rsidRPr="00DF00BE" w:rsidRDefault="00987FD1" w:rsidP="00987FD1">
      <w:pPr>
        <w:pStyle w:val="AERbodytext"/>
        <w:spacing w:line="276" w:lineRule="auto"/>
      </w:pPr>
      <w:proofErr w:type="gramStart"/>
      <w:r w:rsidRPr="00DF00BE">
        <w:t>Figure</w:t>
      </w:r>
      <w:r w:rsidR="00B10C85">
        <w:t xml:space="preserve"> </w:t>
      </w:r>
      <w:r w:rsidRPr="00DF00BE">
        <w:t>1.</w:t>
      </w:r>
      <w:r w:rsidR="00F505BD">
        <w:t>2</w:t>
      </w:r>
      <w:r w:rsidR="00F505BD" w:rsidRPr="00DF00BE">
        <w:t xml:space="preserve"> </w:t>
      </w:r>
      <w:r w:rsidRPr="00DF00BE">
        <w:t>shows trading continues</w:t>
      </w:r>
      <w:proofErr w:type="gramEnd"/>
      <w:r w:rsidRPr="00DF00BE">
        <w:t xml:space="preserve"> to be intermittent, with no trades between 12 and 25</w:t>
      </w:r>
      <w:r w:rsidRPr="00DF00BE">
        <w:rPr>
          <w:rFonts w:hint="eastAsia"/>
        </w:rPr>
        <w:t> </w:t>
      </w:r>
      <w:r w:rsidRPr="00DF00BE">
        <w:t xml:space="preserve">September. Trade prices this </w:t>
      </w:r>
      <w:r w:rsidRPr="00563E5B">
        <w:t>quarter have ranged between $1.40/GJ and $3.10/GJ</w:t>
      </w:r>
      <w:r w:rsidR="005749A3">
        <w:t>, trending downwards</w:t>
      </w:r>
      <w:r w:rsidRPr="00563E5B">
        <w:t xml:space="preserve"> compared to the previous quarter where prices ranged between $1.75/GJ and $4/GJ. This quarter</w:t>
      </w:r>
      <w:r w:rsidR="00B54934">
        <w:t xml:space="preserve"> saw the first</w:t>
      </w:r>
      <w:r w:rsidR="00B54934" w:rsidRPr="00563E5B">
        <w:t xml:space="preserve"> </w:t>
      </w:r>
      <w:r w:rsidRPr="00563E5B">
        <w:t>trading of gas for delivery on the SWQP</w:t>
      </w:r>
      <w:r w:rsidR="00B54934">
        <w:t>,</w:t>
      </w:r>
      <w:r w:rsidRPr="00563E5B">
        <w:t xml:space="preserve"> with a number of trades through August and September. There still have been no trades for delivery of gas on the QGP, however there were several</w:t>
      </w:r>
      <w:r w:rsidRPr="00DF00BE">
        <w:t xml:space="preserve"> </w:t>
      </w:r>
      <w:r w:rsidR="00B10C85">
        <w:t>offers/bids made this quarter at</w:t>
      </w:r>
      <w:r w:rsidRPr="00DF00BE">
        <w:t xml:space="preserve"> prices </w:t>
      </w:r>
      <w:r w:rsidRPr="00132635">
        <w:t>below $10/GJ.</w:t>
      </w:r>
    </w:p>
    <w:p w:rsidR="00987FD1" w:rsidRPr="00545D09" w:rsidRDefault="00987FD1" w:rsidP="00987FD1">
      <w:pPr>
        <w:pStyle w:val="AERbodytext"/>
        <w:spacing w:line="276" w:lineRule="auto"/>
      </w:pPr>
      <w:r w:rsidRPr="00DF00BE">
        <w:t>Figure 1.</w:t>
      </w:r>
      <w:r w:rsidR="00B61A39">
        <w:t>3</w:t>
      </w:r>
      <w:r w:rsidR="00B61A39" w:rsidRPr="00DF00BE">
        <w:t xml:space="preserve"> </w:t>
      </w:r>
      <w:r w:rsidRPr="00DF00BE">
        <w:t>shows that this quarter</w:t>
      </w:r>
      <w:r w:rsidR="008E6771">
        <w:t>,</w:t>
      </w:r>
      <w:r w:rsidRPr="00DF00BE">
        <w:t xml:space="preserve"> </w:t>
      </w:r>
      <w:r w:rsidR="00E96208">
        <w:t>the</w:t>
      </w:r>
      <w:r w:rsidRPr="00DF00BE">
        <w:t xml:space="preserve"> </w:t>
      </w:r>
      <w:r w:rsidR="00E96208" w:rsidRPr="00DF00BE">
        <w:t>volume</w:t>
      </w:r>
      <w:r w:rsidR="00E96208">
        <w:t xml:space="preserve"> of gas</w:t>
      </w:r>
      <w:r w:rsidR="00E96208" w:rsidRPr="00DF00BE">
        <w:t xml:space="preserve"> </w:t>
      </w:r>
      <w:r w:rsidRPr="00DF00BE">
        <w:t xml:space="preserve">traded </w:t>
      </w:r>
      <w:r w:rsidR="00E96208">
        <w:t>under</w:t>
      </w:r>
      <w:r w:rsidRPr="00545D09">
        <w:t xml:space="preserve"> weekly products</w:t>
      </w:r>
      <w:r w:rsidR="00E96208">
        <w:t xml:space="preserve"> has </w:t>
      </w:r>
      <w:r w:rsidR="008E6771">
        <w:t>increased relative to that traded under other products</w:t>
      </w:r>
      <w:r w:rsidRPr="00545D09">
        <w:t xml:space="preserve">. </w:t>
      </w:r>
    </w:p>
    <w:p w:rsidR="00987FD1" w:rsidRPr="00545D09" w:rsidRDefault="00987FD1" w:rsidP="0091486D">
      <w:pPr>
        <w:pStyle w:val="AERfigureheading"/>
        <w:tabs>
          <w:tab w:val="clear" w:pos="1474"/>
          <w:tab w:val="clear" w:pos="6169"/>
          <w:tab w:val="left" w:pos="1276"/>
        </w:tabs>
        <w:spacing w:before="120" w:after="60"/>
        <w:ind w:left="1276" w:hanging="1276"/>
        <w:jc w:val="both"/>
      </w:pPr>
      <w:r w:rsidRPr="00545D09">
        <w:lastRenderedPageBreak/>
        <w:t xml:space="preserve">Volume traded and </w:t>
      </w:r>
      <w:r w:rsidR="00B54934">
        <w:t xml:space="preserve">trade day </w:t>
      </w:r>
      <w:r w:rsidR="009B5DF7">
        <w:t xml:space="preserve">volume weighted average </w:t>
      </w:r>
      <w:r w:rsidRPr="00545D09">
        <w:t>prices since market start</w:t>
      </w:r>
      <w:r w:rsidR="00A74D4B">
        <w:rPr>
          <w:rStyle w:val="FootnoteReference"/>
        </w:rPr>
        <w:footnoteReference w:id="7"/>
      </w:r>
    </w:p>
    <w:p w:rsidR="00987FD1" w:rsidRPr="00132635" w:rsidRDefault="00987FD1" w:rsidP="00987FD1">
      <w:pPr>
        <w:pStyle w:val="AERbodytext"/>
        <w:spacing w:line="276" w:lineRule="auto"/>
        <w:rPr>
          <w:noProof/>
          <w:lang w:eastAsia="en-AU"/>
        </w:rPr>
      </w:pPr>
      <w:r w:rsidRPr="00545D09">
        <w:t xml:space="preserve">  </w:t>
      </w:r>
      <w:r w:rsidR="0021718A">
        <w:pict>
          <v:shape id="_x0000_i1026" type="#_x0000_t75" style="width:445.75pt;height:317.95pt">
            <v:imagedata r:id="rId20" o:title=""/>
          </v:shape>
        </w:pict>
      </w:r>
    </w:p>
    <w:p w:rsidR="00987FD1" w:rsidRPr="00DF00BE" w:rsidRDefault="00987FD1" w:rsidP="00660D97">
      <w:pPr>
        <w:pStyle w:val="AERfigureheading"/>
        <w:tabs>
          <w:tab w:val="clear" w:pos="1474"/>
          <w:tab w:val="clear" w:pos="6169"/>
          <w:tab w:val="left" w:pos="1276"/>
        </w:tabs>
        <w:spacing w:before="120" w:after="60"/>
        <w:ind w:left="1276" w:hanging="1276"/>
        <w:jc w:val="both"/>
      </w:pPr>
      <w:r w:rsidRPr="00DF00BE">
        <w:t xml:space="preserve">Volume traded and </w:t>
      </w:r>
      <w:r w:rsidR="009B5DF7">
        <w:t xml:space="preserve">volume weighted average </w:t>
      </w:r>
      <w:r w:rsidRPr="00DF00BE">
        <w:t>prices since market start by product type</w:t>
      </w:r>
      <w:r w:rsidR="00145E8A">
        <w:rPr>
          <w:rStyle w:val="FootnoteReference"/>
        </w:rPr>
        <w:footnoteReference w:id="8"/>
      </w:r>
    </w:p>
    <w:p w:rsidR="00987FD1" w:rsidRDefault="0021718A" w:rsidP="00987FD1">
      <w:pPr>
        <w:jc w:val="both"/>
      </w:pPr>
      <w:r>
        <w:pict>
          <v:shape id="_x0000_i1027" type="#_x0000_t75" style="width:451.15pt;height:239.3pt">
            <v:imagedata r:id="rId21" o:title=""/>
          </v:shape>
        </w:pict>
      </w:r>
    </w:p>
    <w:p w:rsidR="00987FD1" w:rsidRPr="002C7158" w:rsidRDefault="00987FD1" w:rsidP="0091486D">
      <w:pPr>
        <w:pStyle w:val="QCRunnumberedunboldheading"/>
        <w:spacing w:before="240"/>
        <w:jc w:val="both"/>
      </w:pPr>
      <w:bookmarkStart w:id="31" w:name="_Toc403477257"/>
      <w:r w:rsidRPr="002C7158">
        <w:lastRenderedPageBreak/>
        <w:t>Short Term Trading Market</w:t>
      </w:r>
      <w:bookmarkEnd w:id="31"/>
    </w:p>
    <w:p w:rsidR="00987FD1" w:rsidRDefault="00987FD1" w:rsidP="00987FD1">
      <w:pPr>
        <w:pStyle w:val="AERbodytext"/>
      </w:pPr>
      <w:r w:rsidRPr="009D0732">
        <w:t>Part 20 of the Gas Rules sets out participants’ responsibilities within the STTM</w:t>
      </w:r>
      <w:r>
        <w:t>,</w:t>
      </w:r>
      <w:r w:rsidRPr="009D0732">
        <w:t xml:space="preserve"> which encompasses three gas trading hubs: Adelaide, Sydney and Brisbane. The rules outline how wholesale gas is traded and include requirements for pipeline operators to submit pipeline capacity </w:t>
      </w:r>
      <w:r>
        <w:t>and allocation (gas flow) data.</w:t>
      </w:r>
    </w:p>
    <w:p w:rsidR="00987FD1" w:rsidRPr="007C5152" w:rsidRDefault="00987FD1" w:rsidP="0091486D">
      <w:pPr>
        <w:pStyle w:val="AERheading2"/>
        <w:numPr>
          <w:ilvl w:val="1"/>
          <w:numId w:val="13"/>
        </w:numPr>
        <w:tabs>
          <w:tab w:val="clear" w:pos="641"/>
        </w:tabs>
        <w:ind w:left="0" w:hanging="709"/>
        <w:jc w:val="both"/>
      </w:pPr>
      <w:bookmarkStart w:id="32" w:name="_Toc401344212"/>
      <w:bookmarkStart w:id="33" w:name="_Toc401350794"/>
      <w:bookmarkStart w:id="34" w:name="_Toc401350941"/>
      <w:bookmarkStart w:id="35" w:name="_Toc403477258"/>
      <w:bookmarkEnd w:id="32"/>
      <w:bookmarkEnd w:id="33"/>
      <w:bookmarkEnd w:id="34"/>
      <w:r w:rsidRPr="007C5152">
        <w:t>Capacity and allocation data quality</w:t>
      </w:r>
      <w:bookmarkEnd w:id="35"/>
    </w:p>
    <w:p w:rsidR="00987FD1" w:rsidRDefault="00987FD1" w:rsidP="00987FD1">
      <w:pPr>
        <w:pStyle w:val="AERbodytext"/>
      </w:pPr>
      <w:r>
        <w:t>This quarter we continued to monitor the quality and timeliness of STTM data. Figure </w:t>
      </w:r>
      <w:r w:rsidR="00912CC3">
        <w:t>1.4</w:t>
      </w:r>
      <w:r>
        <w:t xml:space="preserve"> below illustrates the performance of STTM participants in submitting capacity and allocation data from the start of the STTM to September 2014. Data failures are categorised as relating to either ‘missing/late’ or ‘erroneous’ data. This quarter there was one participant error</w:t>
      </w:r>
      <w:r w:rsidR="00BB32E7">
        <w:t xml:space="preserve"> (see section 1.7)</w:t>
      </w:r>
      <w:r>
        <w:t xml:space="preserve">. </w:t>
      </w:r>
    </w:p>
    <w:p w:rsidR="00987FD1" w:rsidRDefault="00987FD1" w:rsidP="0091486D">
      <w:pPr>
        <w:pStyle w:val="AERfigureheading"/>
        <w:tabs>
          <w:tab w:val="clear" w:pos="1474"/>
          <w:tab w:val="clear" w:pos="6169"/>
          <w:tab w:val="left" w:pos="1276"/>
        </w:tabs>
        <w:ind w:left="1276" w:hanging="1276"/>
        <w:jc w:val="both"/>
      </w:pPr>
      <w:r>
        <w:t>Data failures since STTM commencement</w:t>
      </w:r>
    </w:p>
    <w:p w:rsidR="00987FD1" w:rsidRDefault="0021718A" w:rsidP="0091486D">
      <w:pPr>
        <w:pStyle w:val="AERbodytext"/>
        <w:spacing w:after="0"/>
      </w:pPr>
      <w:r>
        <w:rPr>
          <w:noProof/>
          <w:lang w:eastAsia="en-AU"/>
        </w:rPr>
        <w:pict>
          <v:shape id="_x0000_i1028" type="#_x0000_t75" style="width:449.9pt;height:179.8pt;visibility:visible">
            <v:imagedata r:id="rId22" o:title=""/>
          </v:shape>
        </w:pict>
      </w:r>
    </w:p>
    <w:p w:rsidR="00987FD1" w:rsidRDefault="003753E1" w:rsidP="0091486D">
      <w:pPr>
        <w:pStyle w:val="AERtablesource"/>
        <w:ind w:left="567" w:right="-46" w:hanging="425"/>
      </w:pPr>
      <w:r>
        <w:t xml:space="preserve">Note: </w:t>
      </w:r>
      <w:r w:rsidR="00987FD1" w:rsidRPr="0006366F">
        <w:t xml:space="preserve">September </w:t>
      </w:r>
      <w:r w:rsidR="00987FD1">
        <w:t xml:space="preserve">2010 </w:t>
      </w:r>
      <w:r w:rsidR="00987FD1" w:rsidRPr="0006366F">
        <w:t>has been grouped with the December 2010 quarter. Therefore, this data point represents four months.</w:t>
      </w:r>
      <w:r w:rsidR="00987FD1">
        <w:t xml:space="preserve"> </w:t>
      </w:r>
    </w:p>
    <w:p w:rsidR="00987FD1" w:rsidRDefault="00987FD1" w:rsidP="0091486D">
      <w:pPr>
        <w:pStyle w:val="AERheading2"/>
        <w:numPr>
          <w:ilvl w:val="1"/>
          <w:numId w:val="13"/>
        </w:numPr>
        <w:tabs>
          <w:tab w:val="clear" w:pos="641"/>
        </w:tabs>
        <w:ind w:left="0" w:hanging="709"/>
        <w:jc w:val="both"/>
      </w:pPr>
      <w:bookmarkStart w:id="36" w:name="_Toc403477259"/>
      <w:r>
        <w:t>AEMO – Administered pricing 1 to 3 June</w:t>
      </w:r>
      <w:bookmarkEnd w:id="36"/>
    </w:p>
    <w:p w:rsidR="00987FD1" w:rsidRPr="00C16B45" w:rsidRDefault="00987FD1" w:rsidP="00987FD1">
      <w:pPr>
        <w:pStyle w:val="AERbodytext"/>
        <w:spacing w:line="276" w:lineRule="auto"/>
      </w:pPr>
      <w:r w:rsidRPr="00C16B45">
        <w:t xml:space="preserve">Last quarter we reported that on gas days 1 to 3 June 2014, AEMO </w:t>
      </w:r>
      <w:r w:rsidR="00774E6A">
        <w:t>did</w:t>
      </w:r>
      <w:r w:rsidR="00774E6A" w:rsidRPr="00C16B45">
        <w:t xml:space="preserve"> </w:t>
      </w:r>
      <w:r w:rsidRPr="00C16B45">
        <w:t xml:space="preserve">not publish ex post prices </w:t>
      </w:r>
      <w:r w:rsidR="008E6771" w:rsidRPr="00C16B45">
        <w:t xml:space="preserve">for the Adelaide and Sydney </w:t>
      </w:r>
      <w:r w:rsidR="008E6771">
        <w:t>h</w:t>
      </w:r>
      <w:r w:rsidR="008E6771" w:rsidRPr="00C16B45">
        <w:t>ubs</w:t>
      </w:r>
      <w:r w:rsidR="008E6771" w:rsidRPr="008E6771">
        <w:t xml:space="preserve"> </w:t>
      </w:r>
      <w:r w:rsidRPr="00C16B45">
        <w:t xml:space="preserve">within the timeframes </w:t>
      </w:r>
      <w:r w:rsidR="008E6771" w:rsidRPr="00C16B45">
        <w:t>required under rule 426 of the Gas Rules</w:t>
      </w:r>
      <w:r w:rsidRPr="00C16B45">
        <w:t>. As a result, AEMO applied administered ex post price</w:t>
      </w:r>
      <w:r>
        <w:t>s</w:t>
      </w:r>
      <w:r w:rsidRPr="00C16B45">
        <w:t xml:space="preserve"> </w:t>
      </w:r>
      <w:r>
        <w:t xml:space="preserve">to these hubs, </w:t>
      </w:r>
      <w:r w:rsidR="004A09A5">
        <w:t>resulting in a different</w:t>
      </w:r>
      <w:r>
        <w:t xml:space="preserve"> ex post price by up to 18</w:t>
      </w:r>
      <w:r w:rsidR="00774E6A">
        <w:t> </w:t>
      </w:r>
      <w:r>
        <w:t>cents.</w:t>
      </w:r>
      <w:r>
        <w:rPr>
          <w:rStyle w:val="FootnoteReference"/>
        </w:rPr>
        <w:footnoteReference w:id="9"/>
      </w:r>
      <w:r>
        <w:t xml:space="preserve"> </w:t>
      </w:r>
      <w:r w:rsidRPr="00C16B45">
        <w:t xml:space="preserve"> </w:t>
      </w:r>
    </w:p>
    <w:p w:rsidR="00987FD1" w:rsidRPr="00C16B45" w:rsidRDefault="00987FD1" w:rsidP="00987FD1">
      <w:pPr>
        <w:pStyle w:val="AERbodytext"/>
        <w:spacing w:line="276" w:lineRule="auto"/>
      </w:pPr>
      <w:r>
        <w:t xml:space="preserve">AEMO’s failure to publish ex post prices within required timeframes </w:t>
      </w:r>
      <w:r w:rsidRPr="00C16B45">
        <w:t xml:space="preserve">arose </w:t>
      </w:r>
      <w:r>
        <w:t xml:space="preserve">from changes to its </w:t>
      </w:r>
      <w:r w:rsidRPr="00C16B45">
        <w:t>market systems</w:t>
      </w:r>
      <w:r>
        <w:t xml:space="preserve"> to facilitate new MOS processes. When the market system was changed </w:t>
      </w:r>
      <w:r w:rsidRPr="00C16B45">
        <w:t xml:space="preserve">on 2 June 2014, </w:t>
      </w:r>
      <w:r>
        <w:t>it</w:t>
      </w:r>
      <w:r w:rsidRPr="00C16B45">
        <w:t xml:space="preserve"> incorrectly rejected valid pipeline allocation data files on the basis of MOS allocations that were not associated with any contract right holder at the Sydney hub. At the Adelaide hub, pipeline allocation data files that had been accepted were incorrectly invalidated by a later process. </w:t>
      </w:r>
    </w:p>
    <w:p w:rsidR="00987FD1" w:rsidRDefault="004A09A5" w:rsidP="00987FD1">
      <w:pPr>
        <w:pStyle w:val="AERbodytext"/>
        <w:spacing w:line="276" w:lineRule="auto"/>
      </w:pPr>
      <w:r>
        <w:t>Following the event</w:t>
      </w:r>
      <w:r w:rsidR="00987FD1">
        <w:t xml:space="preserve">, </w:t>
      </w:r>
      <w:r w:rsidR="00987FD1" w:rsidRPr="00C16B45">
        <w:t xml:space="preserve">AEMO engaged </w:t>
      </w:r>
      <w:proofErr w:type="spellStart"/>
      <w:r w:rsidR="00987FD1" w:rsidRPr="00C16B45">
        <w:t>Pricewaterhouse</w:t>
      </w:r>
      <w:proofErr w:type="spellEnd"/>
      <w:r w:rsidR="00987FD1" w:rsidRPr="00C16B45">
        <w:t xml:space="preserve"> Coopers (</w:t>
      </w:r>
      <w:r w:rsidR="00987FD1" w:rsidRPr="00912CC3">
        <w:rPr>
          <w:b/>
        </w:rPr>
        <w:t>PWC</w:t>
      </w:r>
      <w:r w:rsidR="00987FD1" w:rsidRPr="00C16B45">
        <w:t xml:space="preserve">) to conduct an end-to-end investigation to determine the </w:t>
      </w:r>
      <w:r w:rsidR="00987FD1">
        <w:t>cause</w:t>
      </w:r>
      <w:r w:rsidR="00987FD1" w:rsidRPr="00C16B45">
        <w:t xml:space="preserve">. </w:t>
      </w:r>
      <w:r w:rsidR="00987FD1">
        <w:t>PWC found that AEMO did not adequately recognise the potential risks associated with this process change, resulting in insufficient testing before the changes were implemented. PWC also identified the existence of information s</w:t>
      </w:r>
      <w:r w:rsidR="00987FD1" w:rsidRPr="00C16B45">
        <w:t>ilos</w:t>
      </w:r>
      <w:r w:rsidR="00774E6A">
        <w:t>,</w:t>
      </w:r>
      <w:r w:rsidR="00987FD1">
        <w:t xml:space="preserve"> and </w:t>
      </w:r>
      <w:r w:rsidR="00774E6A">
        <w:t xml:space="preserve">the </w:t>
      </w:r>
      <w:r w:rsidR="00987FD1">
        <w:t xml:space="preserve">failure by AEMO to apply a </w:t>
      </w:r>
      <w:r w:rsidR="00987FD1" w:rsidRPr="00C16B45">
        <w:t xml:space="preserve">holistic </w:t>
      </w:r>
      <w:r w:rsidR="00987FD1">
        <w:t xml:space="preserve">business </w:t>
      </w:r>
      <w:r w:rsidR="00987FD1" w:rsidRPr="00C16B45">
        <w:t xml:space="preserve">approach to </w:t>
      </w:r>
      <w:r w:rsidR="00987FD1">
        <w:t xml:space="preserve">manage this project, may have </w:t>
      </w:r>
      <w:r w:rsidR="00987FD1" w:rsidRPr="00C16B45">
        <w:t xml:space="preserve">prevented the error being </w:t>
      </w:r>
      <w:r w:rsidR="00987FD1" w:rsidRPr="00C16B45">
        <w:lastRenderedPageBreak/>
        <w:t>detected earlier</w:t>
      </w:r>
      <w:r w:rsidR="00987FD1">
        <w:t>.</w:t>
      </w:r>
      <w:r w:rsidR="00987FD1" w:rsidRPr="006725C6">
        <w:t xml:space="preserve"> </w:t>
      </w:r>
      <w:r w:rsidR="00987FD1">
        <w:t>In addition</w:t>
      </w:r>
      <w:r w:rsidR="00774E6A">
        <w:t xml:space="preserve"> to engaging PWC</w:t>
      </w:r>
      <w:r w:rsidR="00987FD1">
        <w:t xml:space="preserve">, AEMO reviewed its internal </w:t>
      </w:r>
      <w:r w:rsidR="00987FD1" w:rsidRPr="00C16B45">
        <w:t>Incident Management Plan and the associated Incident Coordination Team structure</w:t>
      </w:r>
      <w:r w:rsidR="00987FD1">
        <w:t xml:space="preserve"> to assess how the event was managed.  </w:t>
      </w:r>
    </w:p>
    <w:p w:rsidR="00987FD1" w:rsidRDefault="00987FD1" w:rsidP="00987FD1">
      <w:pPr>
        <w:pStyle w:val="AERbodytext"/>
        <w:spacing w:line="276" w:lineRule="auto"/>
      </w:pPr>
      <w:r>
        <w:t>AEMO has now instigated changes to prevent the reoccurrence of these problems. This includes improving its oversight and governance of projects to ensure risks are appropriately identified and managed. AEMO also intends to conduct a full review of the Gas Market Systems System Development Lifecycle framework to review and enhance the testing regime associated with any future system changes.</w:t>
      </w:r>
    </w:p>
    <w:p w:rsidR="00987FD1" w:rsidRPr="00C16B45" w:rsidRDefault="00945419" w:rsidP="00987FD1">
      <w:pPr>
        <w:pStyle w:val="AERbodytext"/>
        <w:spacing w:line="276" w:lineRule="auto"/>
      </w:pPr>
      <w:r>
        <w:t>We</w:t>
      </w:r>
      <w:r w:rsidR="00987FD1">
        <w:t xml:space="preserve"> consider AEMO has thoroughly addressed its failure in June to publish ex post prices within the required timeframes. In addition to establishing a review and implementing changes, AEMO regularly kept the AER and industry abreast of its steps to resolve the matter. We also consider that AEMO appropriately responded to the event via its </w:t>
      </w:r>
      <w:r w:rsidR="00987FD1" w:rsidRPr="00C16B45">
        <w:t>Incident Management Plan</w:t>
      </w:r>
      <w:r w:rsidR="00987FD1">
        <w:t xml:space="preserve">. </w:t>
      </w:r>
    </w:p>
    <w:p w:rsidR="00987FD1" w:rsidRDefault="00987FD1" w:rsidP="0091486D">
      <w:pPr>
        <w:pStyle w:val="AERheading2"/>
        <w:numPr>
          <w:ilvl w:val="1"/>
          <w:numId w:val="13"/>
        </w:numPr>
        <w:tabs>
          <w:tab w:val="clear" w:pos="641"/>
        </w:tabs>
        <w:ind w:left="0" w:hanging="709"/>
        <w:jc w:val="both"/>
      </w:pPr>
      <w:bookmarkStart w:id="37" w:name="_Toc403477260"/>
      <w:r>
        <w:t>AEMO – Disclosure of confidential information</w:t>
      </w:r>
      <w:bookmarkEnd w:id="37"/>
    </w:p>
    <w:p w:rsidR="00987FD1" w:rsidRPr="00DD083C" w:rsidRDefault="00987FD1" w:rsidP="00987FD1">
      <w:pPr>
        <w:pStyle w:val="AERbodytext"/>
        <w:rPr>
          <w:sz w:val="23"/>
          <w:szCs w:val="23"/>
        </w:rPr>
      </w:pPr>
      <w:r>
        <w:t>The Gas Law prohibits AEMO from disclosing protected information to unauthorised recipients.</w:t>
      </w:r>
      <w:r>
        <w:rPr>
          <w:rStyle w:val="FootnoteReference"/>
        </w:rPr>
        <w:footnoteReference w:id="10"/>
      </w:r>
      <w:r>
        <w:t xml:space="preserve"> This includes information given to AEMO in confidence or in connection with </w:t>
      </w:r>
      <w:r w:rsidRPr="00DD083C">
        <w:t>the performance of its statutory functions and</w:t>
      </w:r>
      <w:r>
        <w:t xml:space="preserve"> </w:t>
      </w:r>
      <w:r w:rsidRPr="00DD083C">
        <w:t>classified under the Rules, the Procedures or the Regulations as confidential information.</w:t>
      </w:r>
    </w:p>
    <w:p w:rsidR="00987FD1" w:rsidRDefault="00987FD1" w:rsidP="00774E6A">
      <w:pPr>
        <w:pStyle w:val="AERbodytext"/>
      </w:pPr>
      <w:r>
        <w:t>In</w:t>
      </w:r>
      <w:r w:rsidR="00774E6A">
        <w:t xml:space="preserve"> the</w:t>
      </w:r>
      <w:r>
        <w:t xml:space="preserve"> June </w:t>
      </w:r>
      <w:r w:rsidR="00774E6A">
        <w:t>quarter</w:t>
      </w:r>
      <w:r>
        <w:t xml:space="preserve"> QCR, the AER reported that AEMO had </w:t>
      </w:r>
      <w:r w:rsidRPr="00C351B6">
        <w:t>disclosed protected information to unauthorised recipients</w:t>
      </w:r>
      <w:r>
        <w:t xml:space="preserve"> twice this year. The information included certain gas meter standing data, including a list of gas meter identification numbers with the associated retailer and distributor identified against each meter number. The list did not include customer details. According to AEMO, the recipient of this information has subsequently destroyed the information.</w:t>
      </w:r>
    </w:p>
    <w:p w:rsidR="00987FD1" w:rsidRDefault="00774E6A" w:rsidP="0091486D">
      <w:pPr>
        <w:pStyle w:val="AERbodytext"/>
      </w:pPr>
      <w:r>
        <w:t>During</w:t>
      </w:r>
      <w:r w:rsidRPr="008B2D87">
        <w:t xml:space="preserve"> </w:t>
      </w:r>
      <w:r w:rsidR="00987FD1" w:rsidRPr="008B2D87">
        <w:t>the September quarter, A</w:t>
      </w:r>
      <w:r w:rsidR="00987FD1">
        <w:t>EMO provided a report to the AER outlining the specific causes of its wrongful disclosure of information and the steps it has taken to address these breaches. These steps include renegotiating service level agreements to improve data security and implementing additional caller identification security measures and data validation criteria.</w:t>
      </w:r>
    </w:p>
    <w:p w:rsidR="00987FD1" w:rsidRDefault="004A09A5" w:rsidP="0091486D">
      <w:pPr>
        <w:pStyle w:val="AERbodytext"/>
      </w:pPr>
      <w:r>
        <w:t>The steps by AEMO are critical to ensure</w:t>
      </w:r>
      <w:r w:rsidR="008255E5">
        <w:t xml:space="preserve"> </w:t>
      </w:r>
      <w:r w:rsidR="00987FD1">
        <w:t>confidential information</w:t>
      </w:r>
      <w:r w:rsidR="00BF167B">
        <w:t xml:space="preserve"> is properly protected</w:t>
      </w:r>
      <w:r w:rsidR="00987FD1">
        <w:t xml:space="preserve"> </w:t>
      </w:r>
      <w:r w:rsidR="00142A29">
        <w:t>and that the</w:t>
      </w:r>
      <w:r>
        <w:t xml:space="preserve"> </w:t>
      </w:r>
      <w:r w:rsidR="00987FD1">
        <w:t xml:space="preserve">confidence by market participants in its operation of the NSW and ACT </w:t>
      </w:r>
      <w:r w:rsidR="00102642">
        <w:t xml:space="preserve">gas </w:t>
      </w:r>
      <w:r w:rsidR="00987FD1">
        <w:t>retail market</w:t>
      </w:r>
      <w:r>
        <w:t xml:space="preserve"> is maintained</w:t>
      </w:r>
      <w:r w:rsidR="00987FD1">
        <w:t>.</w:t>
      </w:r>
    </w:p>
    <w:p w:rsidR="00987FD1" w:rsidRDefault="00987FD1" w:rsidP="0091486D">
      <w:pPr>
        <w:pStyle w:val="AERheading2"/>
        <w:numPr>
          <w:ilvl w:val="1"/>
          <w:numId w:val="13"/>
        </w:numPr>
        <w:tabs>
          <w:tab w:val="clear" w:pos="641"/>
        </w:tabs>
        <w:ind w:left="0" w:hanging="709"/>
        <w:jc w:val="both"/>
      </w:pPr>
      <w:bookmarkStart w:id="38" w:name="_Toc403477261"/>
      <w:r>
        <w:t xml:space="preserve">Counteracting MOS in </w:t>
      </w:r>
      <w:r w:rsidR="00BE334E">
        <w:t xml:space="preserve">the </w:t>
      </w:r>
      <w:r>
        <w:t>Adelaide</w:t>
      </w:r>
      <w:r w:rsidR="00BE334E">
        <w:t xml:space="preserve"> hub</w:t>
      </w:r>
      <w:bookmarkEnd w:id="38"/>
    </w:p>
    <w:p w:rsidR="00B61A39" w:rsidRDefault="00987FD1" w:rsidP="00987FD1">
      <w:pPr>
        <w:pStyle w:val="AERbodytext"/>
      </w:pPr>
      <w:r>
        <w:t xml:space="preserve">In the June </w:t>
      </w:r>
      <w:r w:rsidR="00743A45">
        <w:t>quarter</w:t>
      </w:r>
      <w:r w:rsidR="00B61A39">
        <w:t xml:space="preserve"> QCR</w:t>
      </w:r>
      <w:r>
        <w:t xml:space="preserve">, we reported on the opening of the Elizabeth zone valve in the South Australian gas </w:t>
      </w:r>
      <w:r w:rsidRPr="00660D97">
        <w:t>distribution network. The valve was opened following observations that counteracting MOS</w:t>
      </w:r>
      <w:r w:rsidRPr="00660D97">
        <w:rPr>
          <w:rStyle w:val="FootnoteReference"/>
        </w:rPr>
        <w:footnoteReference w:id="11"/>
      </w:r>
      <w:r w:rsidRPr="00660D97">
        <w:t xml:space="preserve"> occurred when the </w:t>
      </w:r>
      <w:proofErr w:type="spellStart"/>
      <w:r w:rsidRPr="00660D97">
        <w:t>SEAGas</w:t>
      </w:r>
      <w:proofErr w:type="spellEnd"/>
      <w:r w:rsidRPr="00660D97">
        <w:t xml:space="preserve"> pipeline had not been able to deliver its nominated quantity of gas into the Elizabeth zone of the Adelaide distribution network.</w:t>
      </w:r>
    </w:p>
    <w:p w:rsidR="00987FD1" w:rsidRDefault="00987FD1" w:rsidP="00987FD1">
      <w:pPr>
        <w:pStyle w:val="AERbodytext"/>
      </w:pPr>
      <w:r>
        <w:t xml:space="preserve">In the months following the opening of the Elizabeth zone valve, the prevalence of counteracting MOS in the </w:t>
      </w:r>
      <w:r w:rsidRPr="00E61F89">
        <w:t>Adelaide hub</w:t>
      </w:r>
      <w:r>
        <w:t xml:space="preserve"> has reduced in size and frequency as shown in </w:t>
      </w:r>
      <w:r w:rsidR="00743A45">
        <w:fldChar w:fldCharType="begin"/>
      </w:r>
      <w:r w:rsidR="00743A45">
        <w:instrText xml:space="preserve"> REF _Ref401831989 \r \h </w:instrText>
      </w:r>
      <w:r w:rsidR="00743A45">
        <w:fldChar w:fldCharType="separate"/>
      </w:r>
      <w:r w:rsidR="00BA0A46">
        <w:t>Figure 1.5</w:t>
      </w:r>
      <w:r w:rsidR="00743A45">
        <w:fldChar w:fldCharType="end"/>
      </w:r>
      <w:r>
        <w:t xml:space="preserve">. </w:t>
      </w:r>
      <w:r w:rsidR="00E4505C">
        <w:t>However</w:t>
      </w:r>
      <w:r>
        <w:t xml:space="preserve">, there have been instances of counteracting MOS, causing MOS service payments to be paid by the market. </w:t>
      </w:r>
      <w:r w:rsidR="00E55B84">
        <w:t xml:space="preserve"> </w:t>
      </w:r>
      <w:r>
        <w:t>For example, over the period 18 to 21 August, there was a total of 59.</w:t>
      </w:r>
      <w:r w:rsidR="00D9088B">
        <w:t>9 </w:t>
      </w:r>
      <w:r>
        <w:t xml:space="preserve">TJ of countering MOS in the </w:t>
      </w:r>
      <w:r w:rsidRPr="00E61F89">
        <w:t xml:space="preserve">Adelaide </w:t>
      </w:r>
      <w:r w:rsidR="00E61F89">
        <w:t>h</w:t>
      </w:r>
      <w:r w:rsidRPr="00E61F89">
        <w:t>ub,</w:t>
      </w:r>
      <w:r>
        <w:t xml:space="preserve"> leading to a total MOS service payment of $</w:t>
      </w:r>
      <w:r w:rsidR="00102642">
        <w:t>349 </w:t>
      </w:r>
      <w:r>
        <w:t>946 for this period. In particular, on 20 August, counteracting MOS contributed to a MOS service payment of $</w:t>
      </w:r>
      <w:r w:rsidR="00102642">
        <w:t>197 </w:t>
      </w:r>
      <w:r>
        <w:t xml:space="preserve">415 in the Adelaide </w:t>
      </w:r>
      <w:r w:rsidR="00E61F89">
        <w:t>hub</w:t>
      </w:r>
      <w:r>
        <w:t xml:space="preserve">. </w:t>
      </w:r>
    </w:p>
    <w:p w:rsidR="00987FD1" w:rsidRPr="00C535D8" w:rsidRDefault="00987FD1" w:rsidP="0091486D">
      <w:pPr>
        <w:pStyle w:val="AERfigureheading"/>
        <w:tabs>
          <w:tab w:val="clear" w:pos="1474"/>
          <w:tab w:val="clear" w:pos="6169"/>
          <w:tab w:val="left" w:pos="1276"/>
        </w:tabs>
        <w:ind w:left="1276" w:hanging="1276"/>
        <w:jc w:val="both"/>
      </w:pPr>
      <w:bookmarkStart w:id="39" w:name="_Ref401831989"/>
      <w:bookmarkStart w:id="40" w:name="_Ref401740476"/>
      <w:r w:rsidRPr="00C535D8">
        <w:lastRenderedPageBreak/>
        <w:t xml:space="preserve">Counteracting MOS in the Adelaide hub </w:t>
      </w:r>
      <w:bookmarkEnd w:id="39"/>
      <w:bookmarkEnd w:id="40"/>
      <w:r w:rsidR="00D9088B">
        <w:t>from June 2013</w:t>
      </w:r>
    </w:p>
    <w:p w:rsidR="00D9088B" w:rsidRDefault="0021718A" w:rsidP="00987FD1">
      <w:pPr>
        <w:pStyle w:val="AERbodytext"/>
      </w:pPr>
      <w:r>
        <w:pict>
          <v:shape id="_x0000_i1029" type="#_x0000_t75" style="width:450.3pt;height:2in">
            <v:imagedata r:id="rId23" o:title=""/>
          </v:shape>
        </w:pict>
      </w:r>
    </w:p>
    <w:p w:rsidR="00E55B84" w:rsidRDefault="004A09A5" w:rsidP="00987FD1">
      <w:pPr>
        <w:pStyle w:val="AERbodytext"/>
      </w:pPr>
      <w:r>
        <w:t>It</w:t>
      </w:r>
      <w:r w:rsidR="00987FD1">
        <w:t xml:space="preserve"> appears renominations along the </w:t>
      </w:r>
      <w:proofErr w:type="spellStart"/>
      <w:r w:rsidR="00987FD1">
        <w:t>SEAGas</w:t>
      </w:r>
      <w:proofErr w:type="spellEnd"/>
      <w:r w:rsidR="00987FD1">
        <w:t xml:space="preserve"> pipeline contributed to the </w:t>
      </w:r>
      <w:r w:rsidR="00E55B84">
        <w:t xml:space="preserve">creation </w:t>
      </w:r>
      <w:r w:rsidR="00987FD1">
        <w:t xml:space="preserve">of counteracting MOS in the Adelaide </w:t>
      </w:r>
      <w:r w:rsidR="00B8346D">
        <w:t>hub</w:t>
      </w:r>
      <w:r w:rsidR="00987FD1">
        <w:t>. In particular, on 20</w:t>
      </w:r>
      <w:r w:rsidR="00D9088B">
        <w:t> </w:t>
      </w:r>
      <w:r w:rsidR="00987FD1">
        <w:t xml:space="preserve">August, we observed that a </w:t>
      </w:r>
      <w:r w:rsidR="00E609FC">
        <w:t>20 </w:t>
      </w:r>
      <w:r w:rsidR="00987FD1">
        <w:t xml:space="preserve">TJ increase between scheduled and nominated gas on the </w:t>
      </w:r>
      <w:proofErr w:type="spellStart"/>
      <w:r w:rsidR="00987FD1">
        <w:t>SEAGas</w:t>
      </w:r>
      <w:proofErr w:type="spellEnd"/>
      <w:r w:rsidR="00987FD1">
        <w:t xml:space="preserve"> pipeline coincided with </w:t>
      </w:r>
      <w:r w:rsidR="00E55B84">
        <w:t xml:space="preserve">a </w:t>
      </w:r>
      <w:r w:rsidR="00E609FC">
        <w:t>12 </w:t>
      </w:r>
      <w:r w:rsidR="00987FD1">
        <w:t xml:space="preserve">TJ decrease MOS requirement along the </w:t>
      </w:r>
      <w:proofErr w:type="spellStart"/>
      <w:r w:rsidR="00987FD1">
        <w:t>SEAGas</w:t>
      </w:r>
      <w:proofErr w:type="spellEnd"/>
      <w:r w:rsidR="00987FD1">
        <w:t xml:space="preserve"> pipeline </w:t>
      </w:r>
      <w:r w:rsidR="00D9088B">
        <w:t xml:space="preserve">and </w:t>
      </w:r>
      <w:r w:rsidR="00987FD1">
        <w:t>similar quantities of increase MOS on MAP,</w:t>
      </w:r>
      <w:r w:rsidR="00E55B84">
        <w:t xml:space="preserve"> thereby</w:t>
      </w:r>
      <w:r w:rsidR="00987FD1">
        <w:t xml:space="preserve"> </w:t>
      </w:r>
      <w:r w:rsidR="00D9088B">
        <w:t xml:space="preserve">creating </w:t>
      </w:r>
      <w:r w:rsidR="00987FD1">
        <w:t>counteracting MOS</w:t>
      </w:r>
      <w:r w:rsidR="00E55B84">
        <w:t xml:space="preserve"> in the Adelaide hub</w:t>
      </w:r>
      <w:r w:rsidR="00987FD1">
        <w:t xml:space="preserve">. Further </w:t>
      </w:r>
      <w:r>
        <w:t xml:space="preserve">inquiries </w:t>
      </w:r>
      <w:r w:rsidR="0005174C">
        <w:t xml:space="preserve">also </w:t>
      </w:r>
      <w:r w:rsidR="00987FD1">
        <w:t>indicate renominations</w:t>
      </w:r>
      <w:r w:rsidR="00E61F89">
        <w:t xml:space="preserve"> </w:t>
      </w:r>
      <w:r w:rsidR="00D9088B">
        <w:t xml:space="preserve">on </w:t>
      </w:r>
      <w:proofErr w:type="spellStart"/>
      <w:r w:rsidR="00D9088B">
        <w:t>SEAGas</w:t>
      </w:r>
      <w:proofErr w:type="spellEnd"/>
      <w:r w:rsidR="00D9088B">
        <w:t xml:space="preserve"> </w:t>
      </w:r>
      <w:r w:rsidR="00987FD1">
        <w:t xml:space="preserve">were made late in the day </w:t>
      </w:r>
      <w:r>
        <w:t xml:space="preserve">by </w:t>
      </w:r>
      <w:r w:rsidRPr="00DF00BE">
        <w:t>Origin</w:t>
      </w:r>
      <w:r>
        <w:t xml:space="preserve"> Energy</w:t>
      </w:r>
      <w:r w:rsidRPr="00DF00BE">
        <w:t xml:space="preserve"> and </w:t>
      </w:r>
      <w:proofErr w:type="spellStart"/>
      <w:r w:rsidRPr="00DF00BE">
        <w:t>EnergyAustralia</w:t>
      </w:r>
      <w:proofErr w:type="spellEnd"/>
      <w:r>
        <w:t xml:space="preserve"> </w:t>
      </w:r>
      <w:r w:rsidR="00987FD1">
        <w:t xml:space="preserve">to apply overnight. </w:t>
      </w:r>
    </w:p>
    <w:p w:rsidR="0005174C" w:rsidRDefault="0005174C" w:rsidP="00D923BA">
      <w:pPr>
        <w:pStyle w:val="AERbodytext"/>
      </w:pPr>
      <w:r>
        <w:t>The Gas Rules enable participants to renominate gas if there has been a material change in conditions. However, rule 399(6) prohibits an STTM shipper or other person making a renomination for the purpose of creating a deviation for which MOS may be required.</w:t>
      </w:r>
      <w:r w:rsidR="00E55B84">
        <w:t xml:space="preserve"> As a result, we engaged </w:t>
      </w:r>
      <w:r w:rsidR="004A09A5">
        <w:t xml:space="preserve">with </w:t>
      </w:r>
      <w:r w:rsidR="00E55B84">
        <w:t xml:space="preserve">Origin Energy and </w:t>
      </w:r>
      <w:proofErr w:type="spellStart"/>
      <w:r w:rsidR="00E55B84">
        <w:t>EnergyAustralia</w:t>
      </w:r>
      <w:proofErr w:type="spellEnd"/>
      <w:r w:rsidR="00E55B84">
        <w:t xml:space="preserve"> to understand </w:t>
      </w:r>
      <w:r w:rsidR="00D923BA">
        <w:t>why they changed their nomination</w:t>
      </w:r>
      <w:r w:rsidR="003A23CB">
        <w:t>s</w:t>
      </w:r>
      <w:r w:rsidR="00D923BA">
        <w:t xml:space="preserve"> along the </w:t>
      </w:r>
      <w:proofErr w:type="spellStart"/>
      <w:r w:rsidR="00D923BA">
        <w:t>SEAGas</w:t>
      </w:r>
      <w:proofErr w:type="spellEnd"/>
      <w:r w:rsidR="00D923BA">
        <w:t xml:space="preserve"> pipeline for gas day 20 August. In response, both participants provided details of a </w:t>
      </w:r>
      <w:r w:rsidR="00E55B84">
        <w:t xml:space="preserve">change </w:t>
      </w:r>
      <w:r w:rsidR="00D923BA">
        <w:t>in</w:t>
      </w:r>
      <w:r w:rsidR="00E55B84">
        <w:t xml:space="preserve"> conditions </w:t>
      </w:r>
      <w:r w:rsidR="00D923BA">
        <w:t xml:space="preserve">which </w:t>
      </w:r>
      <w:r w:rsidR="00E55B84">
        <w:t xml:space="preserve">led to </w:t>
      </w:r>
      <w:r w:rsidR="00D923BA">
        <w:t xml:space="preserve">them to </w:t>
      </w:r>
      <w:r w:rsidR="00E55B84">
        <w:t>switch</w:t>
      </w:r>
      <w:r w:rsidR="00D923BA">
        <w:t xml:space="preserve"> gas from MAP to </w:t>
      </w:r>
      <w:proofErr w:type="spellStart"/>
      <w:r w:rsidR="00D923BA">
        <w:t>SEAGas</w:t>
      </w:r>
      <w:proofErr w:type="spellEnd"/>
      <w:r w:rsidR="00D923BA">
        <w:t xml:space="preserve">.  </w:t>
      </w:r>
      <w:r w:rsidR="00FD47A4">
        <w:t>Based on this information,</w:t>
      </w:r>
      <w:r w:rsidR="00D923BA">
        <w:t xml:space="preserve"> we don’t intend to seek further information from these parties regarding their renominations in the Adelaide hub for gas day 20 August.</w:t>
      </w:r>
    </w:p>
    <w:p w:rsidR="00D923BA" w:rsidRDefault="00D923BA" w:rsidP="00473141">
      <w:pPr>
        <w:pStyle w:val="AERbodytext"/>
      </w:pPr>
      <w:r>
        <w:t xml:space="preserve">We will continue to monitor the creation of counteracting MOS in the Adelaide hub. In particular, we will seek information from </w:t>
      </w:r>
      <w:r w:rsidRPr="00473141">
        <w:t>participants</w:t>
      </w:r>
      <w:r>
        <w:t xml:space="preserve"> whose renominations along a STTM pipeline coincide with the creation of large amounts of MOS. </w:t>
      </w:r>
    </w:p>
    <w:p w:rsidR="00987FD1" w:rsidRPr="00931924" w:rsidRDefault="00987FD1" w:rsidP="0091486D">
      <w:pPr>
        <w:pStyle w:val="AERheading2"/>
        <w:numPr>
          <w:ilvl w:val="1"/>
          <w:numId w:val="13"/>
        </w:numPr>
        <w:tabs>
          <w:tab w:val="clear" w:pos="641"/>
        </w:tabs>
        <w:ind w:left="0" w:hanging="709"/>
        <w:jc w:val="both"/>
      </w:pPr>
      <w:bookmarkStart w:id="41" w:name="_Toc403477262"/>
      <w:r>
        <w:t>AGL p</w:t>
      </w:r>
      <w:r w:rsidRPr="00931924">
        <w:t>ipeline deviations in</w:t>
      </w:r>
      <w:r w:rsidR="00BE334E">
        <w:t xml:space="preserve"> the</w:t>
      </w:r>
      <w:r w:rsidRPr="00931924">
        <w:t xml:space="preserve"> Sydney</w:t>
      </w:r>
      <w:r>
        <w:t xml:space="preserve"> </w:t>
      </w:r>
      <w:r w:rsidR="00BE334E">
        <w:t>and</w:t>
      </w:r>
      <w:r>
        <w:t xml:space="preserve"> Adelaide hubs</w:t>
      </w:r>
      <w:bookmarkEnd w:id="41"/>
      <w:r w:rsidRPr="00931924">
        <w:t xml:space="preserve"> </w:t>
      </w:r>
    </w:p>
    <w:p w:rsidR="00987FD1" w:rsidRPr="00931924" w:rsidRDefault="00987FD1" w:rsidP="00987FD1">
      <w:pPr>
        <w:pStyle w:val="AERbodytext"/>
      </w:pPr>
      <w:r>
        <w:t>Over the past quarter, the AER has been engaging with AGL over its pipeline deviations into the Sydney and Adelaide hubs.</w:t>
      </w:r>
      <w:r w:rsidRPr="00931924">
        <w:t xml:space="preserve"> </w:t>
      </w:r>
    </w:p>
    <w:p w:rsidR="00987FD1" w:rsidRPr="00931924" w:rsidRDefault="00987FD1" w:rsidP="00987FD1">
      <w:pPr>
        <w:pStyle w:val="AERbodytext"/>
      </w:pPr>
      <w:r>
        <w:t xml:space="preserve">On </w:t>
      </w:r>
      <w:r w:rsidR="00CB22E8">
        <w:t>16 May</w:t>
      </w:r>
      <w:r>
        <w:t xml:space="preserve">, AGL created a </w:t>
      </w:r>
      <w:r w:rsidR="00563E5B">
        <w:t>31</w:t>
      </w:r>
      <w:r w:rsidR="00102642">
        <w:t> </w:t>
      </w:r>
      <w:r w:rsidR="00563E5B">
        <w:t xml:space="preserve">TJ </w:t>
      </w:r>
      <w:r>
        <w:t xml:space="preserve">deviation into the Sydney hub. Based on our </w:t>
      </w:r>
      <w:r w:rsidR="00E61F89">
        <w:t xml:space="preserve">discussions </w:t>
      </w:r>
      <w:r>
        <w:t xml:space="preserve">with AGL, it appears AGL failed to nominate gas along the Eastern Gas Pipeline in accordance with the timelines set out in its transportation contract with its counterparty. As a result, </w:t>
      </w:r>
      <w:r w:rsidRPr="00931924">
        <w:t xml:space="preserve">the counterparty </w:t>
      </w:r>
      <w:r>
        <w:t xml:space="preserve">could not deliver </w:t>
      </w:r>
      <w:r w:rsidRPr="00931924">
        <w:t xml:space="preserve">against what AGL had </w:t>
      </w:r>
      <w:r w:rsidR="007A0C8F" w:rsidRPr="00931924">
        <w:t>scheduled</w:t>
      </w:r>
      <w:r w:rsidR="007A0C8F">
        <w:t>;</w:t>
      </w:r>
      <w:r>
        <w:t xml:space="preserve"> creating a deviation into the Sydney hub and </w:t>
      </w:r>
      <w:r w:rsidRPr="00931924">
        <w:t>contribut</w:t>
      </w:r>
      <w:r>
        <w:t>ing</w:t>
      </w:r>
      <w:r w:rsidRPr="00931924">
        <w:t xml:space="preserve"> </w:t>
      </w:r>
      <w:r w:rsidR="00E61F89">
        <w:t xml:space="preserve">to </w:t>
      </w:r>
      <w:r>
        <w:t xml:space="preserve">a </w:t>
      </w:r>
      <w:r w:rsidRPr="00931924">
        <w:t>$63</w:t>
      </w:r>
      <w:r w:rsidR="00102642">
        <w:t> </w:t>
      </w:r>
      <w:r w:rsidRPr="00931924">
        <w:t xml:space="preserve">000 MOS service payment for </w:t>
      </w:r>
      <w:r w:rsidR="004A09A5" w:rsidRPr="00931924">
        <w:t>t</w:t>
      </w:r>
      <w:r w:rsidR="004A09A5">
        <w:t xml:space="preserve">hat </w:t>
      </w:r>
      <w:r>
        <w:t>gas</w:t>
      </w:r>
      <w:r w:rsidRPr="00931924">
        <w:t xml:space="preserve"> day.</w:t>
      </w:r>
    </w:p>
    <w:p w:rsidR="00987FD1" w:rsidRPr="00931924" w:rsidRDefault="004A09A5" w:rsidP="00473141">
      <w:pPr>
        <w:pStyle w:val="AERbodytext"/>
      </w:pPr>
      <w:r>
        <w:t>Further to our discussions with</w:t>
      </w:r>
      <w:r w:rsidR="00987FD1">
        <w:t xml:space="preserve"> AGL </w:t>
      </w:r>
      <w:r>
        <w:t xml:space="preserve">regarding </w:t>
      </w:r>
      <w:r w:rsidR="00987FD1">
        <w:t xml:space="preserve">the Sydney </w:t>
      </w:r>
      <w:r w:rsidR="00E61F89">
        <w:t>hub</w:t>
      </w:r>
      <w:r w:rsidR="00987FD1">
        <w:t xml:space="preserve">, AGL </w:t>
      </w:r>
      <w:r>
        <w:t>advised</w:t>
      </w:r>
      <w:r w:rsidR="00987FD1">
        <w:t xml:space="preserve"> the AER that it had </w:t>
      </w:r>
      <w:r>
        <w:t xml:space="preserve">subsequently created a deviation </w:t>
      </w:r>
      <w:r w:rsidR="00987FD1">
        <w:t xml:space="preserve">into the Adelaide hub on </w:t>
      </w:r>
      <w:r w:rsidR="00CB22E8">
        <w:t xml:space="preserve">5 August </w:t>
      </w:r>
      <w:r w:rsidR="00987FD1">
        <w:t>as a result of a trader error. AGL reported that its</w:t>
      </w:r>
      <w:r w:rsidR="00987FD1" w:rsidRPr="00931924">
        <w:t xml:space="preserve"> trader misunderst</w:t>
      </w:r>
      <w:r w:rsidR="00987FD1">
        <w:t>ood</w:t>
      </w:r>
      <w:r w:rsidR="00987FD1" w:rsidRPr="00931924">
        <w:t xml:space="preserve"> </w:t>
      </w:r>
      <w:r w:rsidR="00987FD1">
        <w:t>the</w:t>
      </w:r>
      <w:r w:rsidR="00987FD1" w:rsidRPr="00931924">
        <w:t xml:space="preserve"> profiling of gas on the </w:t>
      </w:r>
      <w:proofErr w:type="spellStart"/>
      <w:r w:rsidR="00987FD1" w:rsidRPr="00931924">
        <w:t>SEAGas</w:t>
      </w:r>
      <w:proofErr w:type="spellEnd"/>
      <w:r w:rsidR="00987FD1" w:rsidRPr="00931924">
        <w:t xml:space="preserve"> pipeline</w:t>
      </w:r>
      <w:r w:rsidR="00987FD1">
        <w:t>, and as a consequence, made an inappropriate renomination which created a</w:t>
      </w:r>
      <w:r w:rsidR="00987FD1" w:rsidRPr="00931924">
        <w:t xml:space="preserve"> substantial over</w:t>
      </w:r>
      <w:r w:rsidR="00987FD1">
        <w:t>-</w:t>
      </w:r>
      <w:r w:rsidR="00987FD1" w:rsidRPr="00931924">
        <w:t xml:space="preserve">delivery </w:t>
      </w:r>
      <w:r w:rsidR="00987FD1">
        <w:t>of gas</w:t>
      </w:r>
      <w:r w:rsidR="00987FD1" w:rsidRPr="00931924">
        <w:t>.</w:t>
      </w:r>
      <w:r w:rsidR="00987FD1">
        <w:t xml:space="preserve"> However, following the error, </w:t>
      </w:r>
      <w:r w:rsidR="00987FD1" w:rsidRPr="00931924">
        <w:t xml:space="preserve">AGL </w:t>
      </w:r>
      <w:r w:rsidR="005959D7">
        <w:t>under</w:t>
      </w:r>
      <w:r w:rsidR="00987FD1" w:rsidRPr="00931924">
        <w:t xml:space="preserve">took immediate steps to prevent further deviations on the </w:t>
      </w:r>
      <w:proofErr w:type="spellStart"/>
      <w:r w:rsidR="00987FD1" w:rsidRPr="00931924">
        <w:t>SEAGas</w:t>
      </w:r>
      <w:proofErr w:type="spellEnd"/>
      <w:r w:rsidR="00987FD1" w:rsidRPr="00931924">
        <w:t xml:space="preserve"> pipeline, </w:t>
      </w:r>
      <w:r w:rsidR="00987FD1">
        <w:t xml:space="preserve">including </w:t>
      </w:r>
      <w:r w:rsidR="00987FD1" w:rsidRPr="00931924">
        <w:t xml:space="preserve">effectively discontinuing trading </w:t>
      </w:r>
      <w:r w:rsidR="0091486D">
        <w:t>of</w:t>
      </w:r>
      <w:r w:rsidR="0091486D" w:rsidRPr="00931924">
        <w:t xml:space="preserve"> </w:t>
      </w:r>
      <w:r w:rsidR="00987FD1" w:rsidRPr="00931924">
        <w:t xml:space="preserve">the service where the problem was </w:t>
      </w:r>
      <w:r w:rsidR="00987FD1" w:rsidRPr="00473141">
        <w:t>identified</w:t>
      </w:r>
      <w:r w:rsidR="00987FD1" w:rsidRPr="00931924">
        <w:t>.</w:t>
      </w:r>
      <w:r w:rsidR="00987FD1">
        <w:t xml:space="preserve"> </w:t>
      </w:r>
      <w:r w:rsidR="005959D7" w:rsidRPr="00931924">
        <w:t>Th</w:t>
      </w:r>
      <w:r w:rsidR="005959D7">
        <w:t>e</w:t>
      </w:r>
      <w:r w:rsidR="005959D7" w:rsidRPr="00931924">
        <w:t xml:space="preserve"> </w:t>
      </w:r>
      <w:r w:rsidR="00987FD1">
        <w:t xml:space="preserve">MOS service payment for this </w:t>
      </w:r>
      <w:r w:rsidR="005959D7">
        <w:t xml:space="preserve">gas </w:t>
      </w:r>
      <w:r w:rsidR="00987FD1">
        <w:t xml:space="preserve">day was </w:t>
      </w:r>
      <w:r w:rsidR="00987FD1" w:rsidRPr="00931924">
        <w:t>$</w:t>
      </w:r>
      <w:r w:rsidR="00102642" w:rsidRPr="00931924">
        <w:t>54</w:t>
      </w:r>
      <w:r w:rsidR="00102642">
        <w:t> </w:t>
      </w:r>
      <w:r w:rsidR="00987FD1" w:rsidRPr="00931924">
        <w:t xml:space="preserve">000. </w:t>
      </w:r>
    </w:p>
    <w:p w:rsidR="00987FD1" w:rsidRPr="00931924" w:rsidRDefault="00987FD1" w:rsidP="00987FD1">
      <w:pPr>
        <w:pStyle w:val="AERbodytext"/>
      </w:pPr>
      <w:r w:rsidRPr="00931924">
        <w:lastRenderedPageBreak/>
        <w:t>AGL</w:t>
      </w:r>
      <w:r>
        <w:t xml:space="preserve"> has </w:t>
      </w:r>
      <w:r w:rsidRPr="00931924">
        <w:t xml:space="preserve">introduced </w:t>
      </w:r>
      <w:r w:rsidR="005959D7">
        <w:t xml:space="preserve">further </w:t>
      </w:r>
      <w:r>
        <w:t xml:space="preserve">remedial </w:t>
      </w:r>
      <w:r w:rsidRPr="00931924">
        <w:t>steps to prevent</w:t>
      </w:r>
      <w:r>
        <w:t xml:space="preserve"> these errors, and subsequent deviations from reoc</w:t>
      </w:r>
      <w:r w:rsidRPr="00473141">
        <w:t>c</w:t>
      </w:r>
      <w:r>
        <w:t>urring. For example, it has changed its systems to</w:t>
      </w:r>
      <w:r w:rsidRPr="00931924">
        <w:t xml:space="preserve"> prevent</w:t>
      </w:r>
      <w:r>
        <w:t xml:space="preserve"> the submission of </w:t>
      </w:r>
      <w:r w:rsidRPr="00931924">
        <w:t>nominations</w:t>
      </w:r>
      <w:r>
        <w:t xml:space="preserve"> </w:t>
      </w:r>
      <w:r w:rsidRPr="00931924">
        <w:t>after</w:t>
      </w:r>
      <w:r>
        <w:t xml:space="preserve"> contractual deadlines.</w:t>
      </w:r>
      <w:r w:rsidRPr="00931924">
        <w:t xml:space="preserve"> </w:t>
      </w:r>
      <w:r>
        <w:t>It has also engaged its counterparty to establish similar system lock-out functionality for renominations submitted after contractual deadlines.</w:t>
      </w:r>
      <w:r w:rsidRPr="00931924">
        <w:t xml:space="preserve"> </w:t>
      </w:r>
    </w:p>
    <w:p w:rsidR="00987FD1" w:rsidRPr="00931924" w:rsidRDefault="00987FD1" w:rsidP="00473141">
      <w:pPr>
        <w:pStyle w:val="AERbodytext"/>
      </w:pPr>
      <w:r>
        <w:t xml:space="preserve">While we acknowledge AGL’s remedial steps, we note these recent </w:t>
      </w:r>
      <w:r w:rsidRPr="00931924">
        <w:t xml:space="preserve">errors follow a </w:t>
      </w:r>
      <w:r>
        <w:t>series of</w:t>
      </w:r>
      <w:r w:rsidRPr="00931924">
        <w:t xml:space="preserve"> data errors</w:t>
      </w:r>
      <w:r>
        <w:t xml:space="preserve"> by AGL in its capacity</w:t>
      </w:r>
      <w:r w:rsidRPr="00931924">
        <w:t xml:space="preserve"> as an STTM facility operator and as an STTM trading participant. </w:t>
      </w:r>
      <w:r>
        <w:t xml:space="preserve">As a result, we have written to AGL regarding </w:t>
      </w:r>
      <w:r w:rsidR="00643B43">
        <w:t>the</w:t>
      </w:r>
      <w:r>
        <w:t xml:space="preserve"> error</w:t>
      </w:r>
      <w:r w:rsidR="00643B43">
        <w:t>s</w:t>
      </w:r>
      <w:r>
        <w:t xml:space="preserve"> and our expectations in relation to compliance. In particular, we have outlined to AGL that we expect</w:t>
      </w:r>
      <w:r w:rsidRPr="00931924">
        <w:t xml:space="preserve"> an ongoing commitment to ensure it continues to implement systems and processes consistent with the good gas industry practice requirement in the Gas Rules. </w:t>
      </w:r>
      <w:r>
        <w:t xml:space="preserve"> </w:t>
      </w:r>
    </w:p>
    <w:p w:rsidR="00987FD1" w:rsidRDefault="00987FD1">
      <w:pPr>
        <w:pStyle w:val="AERbodytext"/>
      </w:pPr>
      <w:r w:rsidRPr="00931924">
        <w:t xml:space="preserve">We will be </w:t>
      </w:r>
      <w:r w:rsidRPr="00473141">
        <w:t>monitoring</w:t>
      </w:r>
      <w:r w:rsidRPr="00931924">
        <w:t xml:space="preserve"> </w:t>
      </w:r>
      <w:r w:rsidR="005959D7">
        <w:t xml:space="preserve">whether </w:t>
      </w:r>
      <w:r w:rsidRPr="00931924">
        <w:t xml:space="preserve">AGL’s ongoing performance is consistent with good gas industry practice. STTM participants can find previous AER considerations of good gas industry practice including the AER’s reference framework of Governance, Expertise, Implementation and Performance on </w:t>
      </w:r>
      <w:r>
        <w:t>the AER’s</w:t>
      </w:r>
      <w:r w:rsidRPr="00931924">
        <w:t xml:space="preserve"> website.</w:t>
      </w:r>
    </w:p>
    <w:p w:rsidR="00987FD1" w:rsidRDefault="00987FD1" w:rsidP="0091486D">
      <w:pPr>
        <w:pStyle w:val="AERheading2"/>
        <w:numPr>
          <w:ilvl w:val="1"/>
          <w:numId w:val="13"/>
        </w:numPr>
        <w:tabs>
          <w:tab w:val="clear" w:pos="641"/>
        </w:tabs>
        <w:ind w:left="0" w:hanging="709"/>
        <w:jc w:val="both"/>
      </w:pPr>
      <w:bookmarkStart w:id="42" w:name="_Toc401344218"/>
      <w:bookmarkStart w:id="43" w:name="_Toc401350800"/>
      <w:bookmarkStart w:id="44" w:name="_Toc401344219"/>
      <w:bookmarkStart w:id="45" w:name="_Toc401350801"/>
      <w:bookmarkStart w:id="46" w:name="_Toc401344220"/>
      <w:bookmarkStart w:id="47" w:name="_Toc401350802"/>
      <w:bookmarkStart w:id="48" w:name="_Toc403477263"/>
      <w:bookmarkEnd w:id="42"/>
      <w:bookmarkEnd w:id="43"/>
      <w:bookmarkEnd w:id="44"/>
      <w:bookmarkEnd w:id="45"/>
      <w:bookmarkEnd w:id="46"/>
      <w:bookmarkEnd w:id="47"/>
      <w:r>
        <w:t xml:space="preserve">Best estimate, good faith </w:t>
      </w:r>
      <w:r w:rsidRPr="00446149">
        <w:t xml:space="preserve">D-3, D-2 &amp; </w:t>
      </w:r>
      <w:r w:rsidR="001324E0">
        <w:t xml:space="preserve">D-1 </w:t>
      </w:r>
      <w:r w:rsidR="007C7E77">
        <w:t>e</w:t>
      </w:r>
      <w:r w:rsidR="007C7E77" w:rsidRPr="00446149">
        <w:t xml:space="preserve">x </w:t>
      </w:r>
      <w:r w:rsidRPr="00446149">
        <w:t>ante STTM offer</w:t>
      </w:r>
      <w:r>
        <w:t>s</w:t>
      </w:r>
      <w:bookmarkEnd w:id="48"/>
    </w:p>
    <w:p w:rsidR="00987FD1" w:rsidRPr="00446149" w:rsidRDefault="00987FD1" w:rsidP="00912CC3">
      <w:pPr>
        <w:pStyle w:val="AERbodytext"/>
      </w:pPr>
      <w:r>
        <w:t xml:space="preserve">The Gas Rules require ex ante offers to be made in good faith and to reflect </w:t>
      </w:r>
      <w:r w:rsidRPr="00446149">
        <w:t xml:space="preserve">the trading participant’s best estimate </w:t>
      </w:r>
      <w:r>
        <w:t>of gas it expects to</w:t>
      </w:r>
      <w:r w:rsidRPr="00446149">
        <w:t xml:space="preserve"> supply on gas day.</w:t>
      </w:r>
      <w:r>
        <w:rPr>
          <w:rStyle w:val="FootnoteReference"/>
        </w:rPr>
        <w:footnoteReference w:id="12"/>
      </w:r>
      <w:r w:rsidRPr="00446149">
        <w:t xml:space="preserve"> Rule 410(2) of the </w:t>
      </w:r>
      <w:r>
        <w:t xml:space="preserve">Gas Rules </w:t>
      </w:r>
      <w:r w:rsidRPr="00446149">
        <w:t xml:space="preserve">requires these offers to be submitted in time for the D-3 provisional schedule. </w:t>
      </w:r>
    </w:p>
    <w:p w:rsidR="00987FD1" w:rsidRPr="00446149" w:rsidRDefault="00987FD1" w:rsidP="00912CC3">
      <w:pPr>
        <w:pStyle w:val="AERbodytext"/>
      </w:pPr>
      <w:r w:rsidRPr="00446149">
        <w:t>This quarter</w:t>
      </w:r>
      <w:r>
        <w:t>,</w:t>
      </w:r>
      <w:r w:rsidRPr="00446149">
        <w:t xml:space="preserve"> our systems identified</w:t>
      </w:r>
      <w:r>
        <w:t xml:space="preserve"> participants</w:t>
      </w:r>
      <w:r w:rsidRPr="00446149">
        <w:t xml:space="preserve"> who were regularly submitting zero volume for the provisional schedules (D-3, D-2)</w:t>
      </w:r>
      <w:r>
        <w:t>,</w:t>
      </w:r>
      <w:r w:rsidRPr="00446149">
        <w:t xml:space="preserve"> but then increasing their volumes for the final ex ante schedule</w:t>
      </w:r>
      <w:r w:rsidRPr="0072534F">
        <w:t xml:space="preserve"> </w:t>
      </w:r>
      <w:r w:rsidRPr="00446149">
        <w:t xml:space="preserve">in the Adelaide and Brisbane hubs. </w:t>
      </w:r>
      <w:r>
        <w:t>As a result, we engaged with a range of trading participants to ascertain why these differences were occurring.</w:t>
      </w:r>
    </w:p>
    <w:p w:rsidR="00987FD1" w:rsidRDefault="00987FD1" w:rsidP="00912CC3">
      <w:pPr>
        <w:pStyle w:val="AERbodytext"/>
      </w:pPr>
      <w:r>
        <w:t xml:space="preserve">In response, </w:t>
      </w:r>
      <w:r w:rsidR="00FD5128">
        <w:t>two trading participants</w:t>
      </w:r>
      <w:r w:rsidRPr="00446149">
        <w:t xml:space="preserve"> </w:t>
      </w:r>
      <w:r>
        <w:t>suggested contractual arrangements with</w:t>
      </w:r>
      <w:r w:rsidRPr="00446149">
        <w:t xml:space="preserve"> counterparties for non-firm gas led to changes in volume estimates for the final schedule. </w:t>
      </w:r>
      <w:r w:rsidR="00FD5128">
        <w:t>They</w:t>
      </w:r>
      <w:r w:rsidRPr="00446149">
        <w:t xml:space="preserve"> explained </w:t>
      </w:r>
      <w:r w:rsidR="00D20ADE">
        <w:t xml:space="preserve">they </w:t>
      </w:r>
      <w:r w:rsidRPr="00446149">
        <w:t xml:space="preserve">took steps to inform </w:t>
      </w:r>
      <w:r w:rsidR="00D20ADE">
        <w:t>their</w:t>
      </w:r>
      <w:r w:rsidR="00D20ADE" w:rsidRPr="00446149">
        <w:t xml:space="preserve"> </w:t>
      </w:r>
      <w:r w:rsidRPr="00446149">
        <w:t xml:space="preserve">offers by requesting a 3 day supply estimate from the producer. </w:t>
      </w:r>
      <w:r w:rsidR="00FD5128">
        <w:t>One participant</w:t>
      </w:r>
      <w:r w:rsidR="00FD5128" w:rsidRPr="00446149">
        <w:t xml:space="preserve"> </w:t>
      </w:r>
      <w:r w:rsidRPr="00446149">
        <w:t xml:space="preserve">noted it defaults to </w:t>
      </w:r>
      <w:r w:rsidR="006E5C8F" w:rsidRPr="00446149">
        <w:t>0</w:t>
      </w:r>
      <w:r w:rsidR="006E5C8F">
        <w:t> </w:t>
      </w:r>
      <w:r w:rsidRPr="00446149">
        <w:t>TJ until it is confirmed that gas is available with the counterparty, often only in time for the ex-ante schedule.</w:t>
      </w:r>
    </w:p>
    <w:p w:rsidR="00987FD1" w:rsidRPr="00446149" w:rsidRDefault="00987FD1" w:rsidP="00912CC3">
      <w:pPr>
        <w:pStyle w:val="AERbodytext"/>
      </w:pPr>
      <w:r w:rsidRPr="00446149">
        <w:t xml:space="preserve">The submission of ex ante offers from 3 days before the gas day is fundamental to the price discovery process underpinning the efficient operation of the STTM. </w:t>
      </w:r>
      <w:r w:rsidR="00FD5128">
        <w:t>P</w:t>
      </w:r>
      <w:r w:rsidRPr="00446149">
        <w:t>articipants</w:t>
      </w:r>
      <w:r>
        <w:t xml:space="preserve"> </w:t>
      </w:r>
      <w:r w:rsidR="00FD5128">
        <w:t xml:space="preserve">should </w:t>
      </w:r>
      <w:r w:rsidRPr="00446149">
        <w:t>actively engage</w:t>
      </w:r>
      <w:r>
        <w:t xml:space="preserve"> with their counterparties</w:t>
      </w:r>
      <w:r w:rsidRPr="00446149">
        <w:t xml:space="preserve"> to determine likely gas volumes. </w:t>
      </w:r>
      <w:r w:rsidR="00BE334E">
        <w:t>O</w:t>
      </w:r>
      <w:r w:rsidRPr="00446149">
        <w:t xml:space="preserve">pen and early communication with the counterparty providing gas </w:t>
      </w:r>
      <w:r w:rsidR="00FD5128">
        <w:t>should</w:t>
      </w:r>
      <w:r w:rsidR="00FD5128" w:rsidRPr="00446149">
        <w:t xml:space="preserve"> </w:t>
      </w:r>
      <w:r w:rsidR="000D230F">
        <w:t xml:space="preserve">assist in </w:t>
      </w:r>
      <w:r w:rsidR="000D230F" w:rsidRPr="00446149">
        <w:t>facilitat</w:t>
      </w:r>
      <w:r w:rsidR="000D230F">
        <w:t>ing</w:t>
      </w:r>
      <w:r w:rsidR="000D230F" w:rsidRPr="00446149">
        <w:t xml:space="preserve"> </w:t>
      </w:r>
      <w:r w:rsidR="00BE334E" w:rsidRPr="00446149">
        <w:t>th</w:t>
      </w:r>
      <w:r w:rsidR="00BE334E">
        <w:t>e provision of information</w:t>
      </w:r>
      <w:r w:rsidR="00BE334E" w:rsidRPr="00446149">
        <w:t xml:space="preserve"> </w:t>
      </w:r>
      <w:r w:rsidRPr="00446149">
        <w:t xml:space="preserve">in time for the D-3 schedule. However, </w:t>
      </w:r>
      <w:r w:rsidR="000D230F">
        <w:t xml:space="preserve">we note </w:t>
      </w:r>
      <w:r w:rsidRPr="00446149">
        <w:t xml:space="preserve">there may be circumstances where full information is not provided in time for provisional schedules. In this case, </w:t>
      </w:r>
      <w:r>
        <w:t xml:space="preserve">we </w:t>
      </w:r>
      <w:r w:rsidRPr="00446149">
        <w:t xml:space="preserve">would expect consideration of </w:t>
      </w:r>
      <w:r w:rsidR="000D230F">
        <w:t xml:space="preserve">other factors, such as </w:t>
      </w:r>
      <w:r w:rsidRPr="00446149">
        <w:t>historical indicators</w:t>
      </w:r>
      <w:r w:rsidR="000D230F">
        <w:t>.</w:t>
      </w:r>
    </w:p>
    <w:p w:rsidR="00987FD1" w:rsidRDefault="005959D7" w:rsidP="0091486D">
      <w:pPr>
        <w:pStyle w:val="AERheading2"/>
        <w:numPr>
          <w:ilvl w:val="1"/>
          <w:numId w:val="13"/>
        </w:numPr>
        <w:tabs>
          <w:tab w:val="clear" w:pos="641"/>
        </w:tabs>
        <w:ind w:left="0" w:hanging="709"/>
        <w:jc w:val="both"/>
      </w:pPr>
      <w:bookmarkStart w:id="49" w:name="_Toc403477264"/>
      <w:r>
        <w:t xml:space="preserve">Epic Energy’s </w:t>
      </w:r>
      <w:r w:rsidR="00987FD1">
        <w:t>late allocation data</w:t>
      </w:r>
      <w:bookmarkEnd w:id="49"/>
    </w:p>
    <w:p w:rsidR="00987FD1" w:rsidRPr="00811531" w:rsidRDefault="00987FD1" w:rsidP="00987FD1">
      <w:pPr>
        <w:pStyle w:val="AERbodytext"/>
        <w:rPr>
          <w:rFonts w:cs="Gautami"/>
          <w:szCs w:val="20"/>
        </w:rPr>
      </w:pPr>
      <w:r w:rsidRPr="00811531">
        <w:rPr>
          <w:rFonts w:cs="Gautami"/>
          <w:szCs w:val="20"/>
        </w:rPr>
        <w:t xml:space="preserve">On 29 July </w:t>
      </w:r>
      <w:r w:rsidR="00FD5128" w:rsidRPr="00811531">
        <w:rPr>
          <w:rFonts w:cs="Gautami"/>
          <w:szCs w:val="20"/>
        </w:rPr>
        <w:t>201</w:t>
      </w:r>
      <w:r w:rsidR="00FD5128">
        <w:rPr>
          <w:rFonts w:cs="Gautami"/>
          <w:szCs w:val="20"/>
        </w:rPr>
        <w:t>4</w:t>
      </w:r>
      <w:r w:rsidRPr="0024402B">
        <w:rPr>
          <w:rFonts w:cs="Gautami"/>
          <w:szCs w:val="20"/>
        </w:rPr>
        <w:t xml:space="preserve">, Epic Energy </w:t>
      </w:r>
      <w:r w:rsidR="0007008A">
        <w:rPr>
          <w:rFonts w:cs="Gautami"/>
          <w:szCs w:val="20"/>
        </w:rPr>
        <w:t>(</w:t>
      </w:r>
      <w:r w:rsidR="0007008A" w:rsidRPr="0091486D">
        <w:rPr>
          <w:rFonts w:cs="Gautami"/>
          <w:b/>
          <w:szCs w:val="20"/>
        </w:rPr>
        <w:t>Epic</w:t>
      </w:r>
      <w:r w:rsidR="0007008A">
        <w:rPr>
          <w:rFonts w:cs="Gautami"/>
          <w:szCs w:val="20"/>
        </w:rPr>
        <w:t xml:space="preserve">) </w:t>
      </w:r>
      <w:r w:rsidRPr="00811531">
        <w:rPr>
          <w:rFonts w:cs="Gautami"/>
          <w:szCs w:val="20"/>
        </w:rPr>
        <w:t xml:space="preserve">failed to submit STTM facility allocation data for the </w:t>
      </w:r>
      <w:r w:rsidRPr="0024402B">
        <w:rPr>
          <w:rFonts w:cs="Gautami"/>
          <w:szCs w:val="20"/>
        </w:rPr>
        <w:t>MAP</w:t>
      </w:r>
      <w:r w:rsidRPr="00811531">
        <w:rPr>
          <w:rFonts w:cs="Gautami"/>
          <w:szCs w:val="20"/>
        </w:rPr>
        <w:t xml:space="preserve"> for the 28 July gas day by the 11</w:t>
      </w:r>
      <w:r w:rsidR="006E5C8F">
        <w:rPr>
          <w:rFonts w:cs="Gautami"/>
          <w:szCs w:val="20"/>
        </w:rPr>
        <w:t> </w:t>
      </w:r>
      <w:r w:rsidRPr="00811531">
        <w:rPr>
          <w:rFonts w:cs="Gautami"/>
          <w:szCs w:val="20"/>
        </w:rPr>
        <w:t xml:space="preserve">am cut-off time. </w:t>
      </w:r>
    </w:p>
    <w:p w:rsidR="00987FD1" w:rsidRPr="00DC2EFF" w:rsidRDefault="00987FD1" w:rsidP="00912CC3">
      <w:pPr>
        <w:pStyle w:val="AERbodytext"/>
      </w:pPr>
      <w:r w:rsidRPr="00811531">
        <w:rPr>
          <w:rFonts w:cs="Gautami"/>
          <w:szCs w:val="20"/>
        </w:rPr>
        <w:t>Epic explained the following sequence of events contributed to it missing the 11</w:t>
      </w:r>
      <w:r w:rsidR="0007008A">
        <w:rPr>
          <w:rFonts w:cs="Gautami"/>
          <w:szCs w:val="20"/>
        </w:rPr>
        <w:t> </w:t>
      </w:r>
      <w:r w:rsidRPr="00811531">
        <w:rPr>
          <w:rFonts w:cs="Gautami"/>
          <w:szCs w:val="20"/>
        </w:rPr>
        <w:t>am cut-off</w:t>
      </w:r>
      <w:r w:rsidR="00FD5128">
        <w:rPr>
          <w:rFonts w:cs="Gautami"/>
          <w:szCs w:val="20"/>
        </w:rPr>
        <w:t xml:space="preserve">. </w:t>
      </w:r>
      <w:r w:rsidR="00FD5128" w:rsidRPr="00DC2EFF">
        <w:t>Following</w:t>
      </w:r>
      <w:r w:rsidRPr="00DC2EFF">
        <w:t xml:space="preserve"> successful lodgement of facility hub capacity data at 7.30 am, a </w:t>
      </w:r>
      <w:r w:rsidR="00DC2EFF" w:rsidRPr="00DC2EFF">
        <w:t xml:space="preserve">Virtual Private Network </w:t>
      </w:r>
      <w:r w:rsidR="00DC2EFF" w:rsidRPr="00912CC3">
        <w:t>(</w:t>
      </w:r>
      <w:r w:rsidRPr="00DC2EFF">
        <w:rPr>
          <w:b/>
        </w:rPr>
        <w:t>VPN</w:t>
      </w:r>
      <w:r w:rsidR="00DC2EFF" w:rsidRPr="00912CC3">
        <w:t>)</w:t>
      </w:r>
      <w:r w:rsidRPr="00DC2EFF">
        <w:t xml:space="preserve"> link </w:t>
      </w:r>
      <w:r w:rsidRPr="00DC2EFF">
        <w:lastRenderedPageBreak/>
        <w:t>between Epic and AEMO failed resulting in an inability for Epic to submit allocation data through its normal processes.</w:t>
      </w:r>
    </w:p>
    <w:p w:rsidR="00987FD1" w:rsidRPr="00811531" w:rsidRDefault="00987FD1" w:rsidP="00987FD1">
      <w:pPr>
        <w:pStyle w:val="AERbulletlistsecondstyle"/>
        <w:rPr>
          <w:rFonts w:cs="Gautami"/>
          <w:szCs w:val="20"/>
        </w:rPr>
      </w:pPr>
      <w:r w:rsidRPr="00811531">
        <w:rPr>
          <w:rFonts w:cs="Gautami"/>
          <w:szCs w:val="20"/>
        </w:rPr>
        <w:t xml:space="preserve">Epic contacted AEMO to advise of the issue and seek a resolution to the problem, leading to </w:t>
      </w:r>
      <w:r>
        <w:rPr>
          <w:rFonts w:cs="Gautami"/>
          <w:szCs w:val="20"/>
        </w:rPr>
        <w:t>AEMO</w:t>
      </w:r>
      <w:r w:rsidRPr="00811531">
        <w:rPr>
          <w:rFonts w:cs="Gautami"/>
          <w:szCs w:val="20"/>
        </w:rPr>
        <w:t xml:space="preserve"> propos</w:t>
      </w:r>
      <w:r>
        <w:rPr>
          <w:rFonts w:cs="Gautami"/>
          <w:szCs w:val="20"/>
        </w:rPr>
        <w:t>ing the</w:t>
      </w:r>
      <w:r w:rsidRPr="00811531">
        <w:rPr>
          <w:rFonts w:cs="Gautami"/>
          <w:szCs w:val="20"/>
        </w:rPr>
        <w:t xml:space="preserve"> submission of CSV data via email.</w:t>
      </w:r>
    </w:p>
    <w:p w:rsidR="00987FD1" w:rsidRPr="00811531" w:rsidRDefault="00987FD1" w:rsidP="00987FD1">
      <w:pPr>
        <w:pStyle w:val="AERbulletlistsecondstyle"/>
        <w:rPr>
          <w:rFonts w:cs="Gautami"/>
          <w:szCs w:val="20"/>
        </w:rPr>
      </w:pPr>
      <w:r w:rsidRPr="00811531">
        <w:rPr>
          <w:rFonts w:cs="Gautami"/>
          <w:szCs w:val="20"/>
        </w:rPr>
        <w:t>The CSV data was later determined</w:t>
      </w:r>
      <w:r>
        <w:rPr>
          <w:rFonts w:cs="Gautami"/>
          <w:szCs w:val="20"/>
        </w:rPr>
        <w:t xml:space="preserve"> by AEMO</w:t>
      </w:r>
      <w:r w:rsidRPr="00811531">
        <w:rPr>
          <w:rFonts w:cs="Gautami"/>
          <w:szCs w:val="20"/>
        </w:rPr>
        <w:t xml:space="preserve"> to be insufficient and </w:t>
      </w:r>
      <w:r>
        <w:rPr>
          <w:rFonts w:cs="Gautami"/>
          <w:szCs w:val="20"/>
        </w:rPr>
        <w:t>they</w:t>
      </w:r>
      <w:r w:rsidRPr="00811531">
        <w:rPr>
          <w:rFonts w:cs="Gautami"/>
          <w:szCs w:val="20"/>
        </w:rPr>
        <w:t xml:space="preserve"> advised that default data would be used in the event that </w:t>
      </w:r>
      <w:r w:rsidRPr="0007008A">
        <w:rPr>
          <w:rFonts w:cs="Gautami"/>
          <w:szCs w:val="20"/>
        </w:rPr>
        <w:t xml:space="preserve">Epic </w:t>
      </w:r>
      <w:r w:rsidRPr="00811531">
        <w:rPr>
          <w:rFonts w:cs="Gautami"/>
          <w:szCs w:val="20"/>
        </w:rPr>
        <w:t>did not upload the required files before the deadline. The failure to achieve this resulted in a provisional ex post price being published.</w:t>
      </w:r>
    </w:p>
    <w:p w:rsidR="00987FD1" w:rsidRPr="00811531" w:rsidRDefault="00987FD1" w:rsidP="00987FD1">
      <w:pPr>
        <w:pStyle w:val="AERbulletlistsecondstyle"/>
        <w:rPr>
          <w:rFonts w:cs="Gautami"/>
          <w:szCs w:val="20"/>
        </w:rPr>
      </w:pPr>
      <w:r w:rsidRPr="00811531">
        <w:rPr>
          <w:rFonts w:cs="Gautami"/>
          <w:szCs w:val="20"/>
        </w:rPr>
        <w:t xml:space="preserve">AEMO advised </w:t>
      </w:r>
      <w:r w:rsidR="0007008A" w:rsidRPr="0007008A">
        <w:rPr>
          <w:rFonts w:cs="Gautami"/>
          <w:szCs w:val="20"/>
        </w:rPr>
        <w:t>E</w:t>
      </w:r>
      <w:r w:rsidR="0007008A">
        <w:rPr>
          <w:rFonts w:cs="Gautami"/>
          <w:szCs w:val="20"/>
        </w:rPr>
        <w:t xml:space="preserve">pic </w:t>
      </w:r>
      <w:r w:rsidRPr="00811531">
        <w:rPr>
          <w:rFonts w:cs="Gautami"/>
          <w:szCs w:val="20"/>
        </w:rPr>
        <w:t>of the requirement</w:t>
      </w:r>
      <w:r>
        <w:rPr>
          <w:rFonts w:cs="Gautami"/>
          <w:szCs w:val="20"/>
        </w:rPr>
        <w:t xml:space="preserve"> to submit </w:t>
      </w:r>
      <w:r w:rsidRPr="00811531">
        <w:rPr>
          <w:rFonts w:cs="Gautami"/>
          <w:szCs w:val="20"/>
        </w:rPr>
        <w:t>accurate data before 3 pm to enable the publication of allocation volumes which would facilitate the release of an accurate delayed ex post pricing schedule.</w:t>
      </w:r>
    </w:p>
    <w:p w:rsidR="00987FD1" w:rsidRPr="00811531" w:rsidRDefault="00987FD1" w:rsidP="00987FD1">
      <w:pPr>
        <w:pStyle w:val="AERbulletlistsecondstyle"/>
        <w:rPr>
          <w:rFonts w:cs="Gautami"/>
          <w:szCs w:val="20"/>
        </w:rPr>
      </w:pPr>
      <w:r w:rsidRPr="00811531">
        <w:rPr>
          <w:rFonts w:cs="Gautami"/>
          <w:szCs w:val="20"/>
        </w:rPr>
        <w:t>Epic successfully submitted the MSD and PAD files by 12.10 pm after its VPN connection resumed, with AEMO confirming the receipt of the data at 12.25 pm.</w:t>
      </w:r>
    </w:p>
    <w:p w:rsidR="00987FD1" w:rsidRPr="00811531" w:rsidRDefault="00987FD1" w:rsidP="00987FD1">
      <w:pPr>
        <w:pStyle w:val="AERbodytext"/>
        <w:rPr>
          <w:rFonts w:cs="Gautami"/>
          <w:szCs w:val="20"/>
        </w:rPr>
      </w:pPr>
      <w:r w:rsidRPr="00811531">
        <w:rPr>
          <w:rFonts w:cs="Gautami"/>
          <w:szCs w:val="20"/>
        </w:rPr>
        <w:t>Epic was able to successfully submit its allocation data before the 3</w:t>
      </w:r>
      <w:r w:rsidR="0007008A">
        <w:rPr>
          <w:rFonts w:cs="Gautami"/>
          <w:szCs w:val="20"/>
        </w:rPr>
        <w:t> </w:t>
      </w:r>
      <w:r w:rsidRPr="00811531">
        <w:rPr>
          <w:rFonts w:cs="Gautami"/>
          <w:szCs w:val="20"/>
        </w:rPr>
        <w:t>pm extended cut-off time and there was no significant impact on the market. The revised ex post price was the same as the provisional ex post price published for the 28 July gas day.</w:t>
      </w:r>
    </w:p>
    <w:p w:rsidR="00987FD1" w:rsidRDefault="00987FD1" w:rsidP="0091486D">
      <w:pPr>
        <w:pStyle w:val="AERheading2"/>
        <w:numPr>
          <w:ilvl w:val="1"/>
          <w:numId w:val="13"/>
        </w:numPr>
        <w:tabs>
          <w:tab w:val="clear" w:pos="641"/>
        </w:tabs>
        <w:ind w:left="0" w:hanging="709"/>
        <w:jc w:val="both"/>
      </w:pPr>
      <w:bookmarkStart w:id="50" w:name="_Toc402445056"/>
      <w:bookmarkStart w:id="51" w:name="_Toc402445132"/>
      <w:bookmarkStart w:id="52" w:name="_Toc403477265"/>
      <w:bookmarkEnd w:id="50"/>
      <w:bookmarkEnd w:id="51"/>
      <w:r w:rsidRPr="00222F15">
        <w:t xml:space="preserve">Significant price </w:t>
      </w:r>
      <w:r w:rsidR="00603098">
        <w:t xml:space="preserve">variation </w:t>
      </w:r>
      <w:r w:rsidRPr="00222F15">
        <w:t xml:space="preserve">report – 7 July  (Brisbane </w:t>
      </w:r>
      <w:r w:rsidR="00BE334E">
        <w:t>hub</w:t>
      </w:r>
      <w:r w:rsidRPr="00222F15">
        <w:t>)</w:t>
      </w:r>
      <w:bookmarkEnd w:id="52"/>
    </w:p>
    <w:p w:rsidR="00987FD1" w:rsidRPr="00DF00BE" w:rsidRDefault="00987FD1" w:rsidP="00912CC3">
      <w:pPr>
        <w:pStyle w:val="AERbodytext"/>
      </w:pPr>
      <w:r w:rsidRPr="00222F15">
        <w:t xml:space="preserve">On </w:t>
      </w:r>
      <w:r>
        <w:t xml:space="preserve">the </w:t>
      </w:r>
      <w:r w:rsidRPr="00222F15">
        <w:t>7 July gas day,</w:t>
      </w:r>
      <w:r>
        <w:t xml:space="preserve"> </w:t>
      </w:r>
      <w:r w:rsidRPr="00222F15">
        <w:t>the difference between the D-2 provisional price and the D-1 ex</w:t>
      </w:r>
      <w:r w:rsidRPr="00222F15">
        <w:rPr>
          <w:rFonts w:hint="eastAsia"/>
        </w:rPr>
        <w:t> </w:t>
      </w:r>
      <w:r w:rsidRPr="00222F15">
        <w:t>ante price was $7.15/GJ in the Brisbane hub</w:t>
      </w:r>
      <w:r w:rsidR="0091486D">
        <w:t>.</w:t>
      </w:r>
      <w:r w:rsidR="0091486D" w:rsidDel="0091486D">
        <w:t xml:space="preserve"> </w:t>
      </w:r>
      <w:r w:rsidRPr="00DF00BE">
        <w:t xml:space="preserve">As a result of this forecast price difference, the AER published a </w:t>
      </w:r>
      <w:hyperlink r:id="rId24" w:history="1">
        <w:r w:rsidRPr="00DF00BE">
          <w:t>Significant Price Variation (</w:t>
        </w:r>
        <w:r w:rsidRPr="00912CC3">
          <w:rPr>
            <w:b/>
          </w:rPr>
          <w:t>SPV</w:t>
        </w:r>
        <w:r w:rsidRPr="00DF00BE">
          <w:t>) report</w:t>
        </w:r>
      </w:hyperlink>
      <w:r w:rsidRPr="00DF00BE">
        <w:t xml:space="preserve"> in accordance with the requirements under rule 498(1</w:t>
      </w:r>
      <w:proofErr w:type="gramStart"/>
      <w:r w:rsidRPr="00DF00BE">
        <w:t>)(</w:t>
      </w:r>
      <w:proofErr w:type="gramEnd"/>
      <w:r w:rsidRPr="00DF00BE">
        <w:t xml:space="preserve">b) of the Gas Rules and </w:t>
      </w:r>
      <w:r w:rsidR="00FD5128">
        <w:t>our</w:t>
      </w:r>
      <w:r w:rsidR="00FD5128" w:rsidRPr="00DF00BE">
        <w:t xml:space="preserve"> </w:t>
      </w:r>
      <w:r w:rsidRPr="00DF00BE">
        <w:t>SPV guidelines.</w:t>
      </w:r>
    </w:p>
    <w:p w:rsidR="00987FD1" w:rsidRDefault="00987FD1" w:rsidP="00912CC3">
      <w:pPr>
        <w:pStyle w:val="AERbodytext"/>
      </w:pPr>
      <w:r>
        <w:t xml:space="preserve">Overall, our SPV report concludes the </w:t>
      </w:r>
      <w:r w:rsidRPr="00222F15">
        <w:t xml:space="preserve">$7.15/GJ </w:t>
      </w:r>
      <w:r>
        <w:t xml:space="preserve">fall in price appears to have been a response to a high provisional market price (driven by capacity constraints), leading to rebidding which reduced the ex-ante price. This market response is </w:t>
      </w:r>
      <w:r w:rsidRPr="00DF00BE">
        <w:t>consistent with the price discovery process facilitated by provisional schedules and final schedules</w:t>
      </w:r>
      <w:r>
        <w:t>,</w:t>
      </w:r>
      <w:r w:rsidRPr="00DF00BE">
        <w:t xml:space="preserve"> where participants can refine their trading</w:t>
      </w:r>
      <w:r w:rsidR="00FD5128">
        <w:t xml:space="preserve"> position</w:t>
      </w:r>
      <w:r w:rsidRPr="00DF00BE">
        <w:t xml:space="preserve"> based on material changes in the market. </w:t>
      </w:r>
    </w:p>
    <w:p w:rsidR="00987FD1" w:rsidRPr="007C5152" w:rsidRDefault="00987FD1" w:rsidP="00987FD1">
      <w:pPr>
        <w:pStyle w:val="QCRunnumberedunboldheading"/>
        <w:jc w:val="both"/>
      </w:pPr>
      <w:bookmarkStart w:id="53" w:name="_Toc403477266"/>
      <w:r w:rsidRPr="007C5152">
        <w:t>Victorian gas market</w:t>
      </w:r>
      <w:bookmarkEnd w:id="53"/>
    </w:p>
    <w:p w:rsidR="00987FD1" w:rsidRDefault="00987FD1" w:rsidP="00473141">
      <w:pPr>
        <w:pStyle w:val="AERbodytext"/>
      </w:pPr>
      <w:proofErr w:type="gramStart"/>
      <w:r w:rsidRPr="00405B4F">
        <w:t>Part 19 of the Gas Rules sets out participants</w:t>
      </w:r>
      <w:r w:rsidRPr="00405B4F">
        <w:rPr>
          <w:rFonts w:hint="eastAsia"/>
        </w:rPr>
        <w:t>’</w:t>
      </w:r>
      <w:r w:rsidRPr="00405B4F">
        <w:t xml:space="preserve"> res</w:t>
      </w:r>
      <w:r>
        <w:t>ponsibilities in the Victorian g</w:t>
      </w:r>
      <w:r w:rsidRPr="00405B4F">
        <w:t xml:space="preserve">as </w:t>
      </w:r>
      <w:r>
        <w:t>m</w:t>
      </w:r>
      <w:r w:rsidRPr="00405B4F">
        <w:t>arket.</w:t>
      </w:r>
      <w:proofErr w:type="gramEnd"/>
      <w:r w:rsidRPr="00405B4F">
        <w:t xml:space="preserve"> The rules outline how wholesale gas is traded within the market and AEMO</w:t>
      </w:r>
      <w:r w:rsidRPr="00405B4F">
        <w:rPr>
          <w:rFonts w:hint="eastAsia"/>
        </w:rPr>
        <w:t>’</w:t>
      </w:r>
      <w:r w:rsidRPr="00405B4F">
        <w:t>s obligations to operate the physical system.</w:t>
      </w:r>
      <w:r>
        <w:t xml:space="preserve"> </w:t>
      </w:r>
    </w:p>
    <w:p w:rsidR="00987FD1" w:rsidRDefault="00987FD1" w:rsidP="00D861CC">
      <w:pPr>
        <w:pStyle w:val="AERheading2"/>
        <w:numPr>
          <w:ilvl w:val="1"/>
          <w:numId w:val="13"/>
        </w:numPr>
        <w:tabs>
          <w:tab w:val="clear" w:pos="641"/>
        </w:tabs>
        <w:ind w:left="0" w:hanging="709"/>
        <w:jc w:val="both"/>
      </w:pPr>
      <w:bookmarkStart w:id="54" w:name="_Toc403477267"/>
      <w:r>
        <w:t>AEMO pricing schedule non compliance</w:t>
      </w:r>
      <w:bookmarkEnd w:id="54"/>
    </w:p>
    <w:p w:rsidR="00987FD1" w:rsidRDefault="00987FD1" w:rsidP="00987FD1">
      <w:pPr>
        <w:pStyle w:val="AERbodytext"/>
        <w:spacing w:line="276" w:lineRule="auto"/>
      </w:pPr>
      <w:r>
        <w:t xml:space="preserve">During this quarter, AEMO </w:t>
      </w:r>
      <w:r w:rsidR="00FD5128">
        <w:t>advised of a</w:t>
      </w:r>
      <w:r>
        <w:t xml:space="preserve"> failure to</w:t>
      </w:r>
      <w:r w:rsidR="003508D9">
        <w:t xml:space="preserve"> publish </w:t>
      </w:r>
      <w:r>
        <w:t>the Victorian gas market pricing schedule in accordance with the Gas Rules.</w:t>
      </w:r>
      <w:r w:rsidR="002F55C6">
        <w:rPr>
          <w:rStyle w:val="FootnoteReference"/>
        </w:rPr>
        <w:footnoteReference w:id="13"/>
      </w:r>
      <w:r>
        <w:t xml:space="preserve"> </w:t>
      </w:r>
    </w:p>
    <w:p w:rsidR="00987FD1" w:rsidRDefault="00987FD1" w:rsidP="00987FD1">
      <w:pPr>
        <w:pStyle w:val="AERbodytext"/>
        <w:spacing w:line="276" w:lineRule="auto"/>
      </w:pPr>
      <w:r>
        <w:t xml:space="preserve">In July 2014, AEMO </w:t>
      </w:r>
      <w:r w:rsidR="00976462">
        <w:t>advised</w:t>
      </w:r>
      <w:r>
        <w:t xml:space="preserve"> </w:t>
      </w:r>
      <w:r w:rsidR="002F55C6">
        <w:t xml:space="preserve">us that the constraints of the </w:t>
      </w:r>
      <w:r w:rsidR="002F55C6" w:rsidRPr="00300746">
        <w:t>declared transmission system</w:t>
      </w:r>
      <w:r w:rsidR="002F55C6">
        <w:t xml:space="preserve"> (</w:t>
      </w:r>
      <w:r w:rsidR="002F55C6" w:rsidRPr="00A74D4B">
        <w:rPr>
          <w:b/>
        </w:rPr>
        <w:t>DTS</w:t>
      </w:r>
      <w:r w:rsidR="002F55C6">
        <w:t>)</w:t>
      </w:r>
      <w:r w:rsidR="002F55C6" w:rsidRPr="00300746">
        <w:t xml:space="preserve"> </w:t>
      </w:r>
      <w:r w:rsidR="002F55C6">
        <w:t xml:space="preserve">had been incorrectly applied to </w:t>
      </w:r>
      <w:r w:rsidR="00087E76">
        <w:t xml:space="preserve">the </w:t>
      </w:r>
      <w:r w:rsidR="002F55C6">
        <w:t xml:space="preserve">pricing schedule. </w:t>
      </w:r>
      <w:r>
        <w:t xml:space="preserve">AEMO sought direction from </w:t>
      </w:r>
      <w:r w:rsidR="00AC6053">
        <w:t xml:space="preserve">us </w:t>
      </w:r>
      <w:r>
        <w:t>regarding next steps</w:t>
      </w:r>
      <w:r w:rsidR="00976462">
        <w:t xml:space="preserve"> to resolve the non-compliance</w:t>
      </w:r>
      <w:r>
        <w:t>. In response, we agreed that given the breadth and nature of the problem, AEMO should engage with industry to develop a solution</w:t>
      </w:r>
      <w:r w:rsidR="00283860">
        <w:t xml:space="preserve"> to achieve compliance</w:t>
      </w:r>
      <w:r>
        <w:t xml:space="preserve">.  </w:t>
      </w:r>
    </w:p>
    <w:p w:rsidR="00987FD1" w:rsidRPr="00300746" w:rsidRDefault="00987FD1" w:rsidP="00987FD1">
      <w:pPr>
        <w:pStyle w:val="AERbodytext"/>
        <w:spacing w:line="276" w:lineRule="auto"/>
      </w:pPr>
      <w:r>
        <w:lastRenderedPageBreak/>
        <w:t xml:space="preserve">Since July, AEMO has consulted with industry to explain the scope and impact of the price scheduling problem in the Victorian gas market. </w:t>
      </w:r>
      <w:r w:rsidR="00976462">
        <w:t>This</w:t>
      </w:r>
      <w:r>
        <w:t xml:space="preserve"> included one-on-one meetings as well as industry workshops. At </w:t>
      </w:r>
      <w:r w:rsidR="00BC12E3">
        <w:t xml:space="preserve">an </w:t>
      </w:r>
      <w:r>
        <w:t>industry workshop in September, AEMO discussed the impact of complying with rule 221(4) on gas flows to NSW. AEMO explained to industry</w:t>
      </w:r>
      <w:r w:rsidR="00976462">
        <w:t xml:space="preserve"> representatives</w:t>
      </w:r>
      <w:r>
        <w:t xml:space="preserve"> that</w:t>
      </w:r>
      <w:r w:rsidR="00976462">
        <w:t>,</w:t>
      </w:r>
      <w:r>
        <w:t xml:space="preserve"> </w:t>
      </w:r>
      <w:r w:rsidR="00976462">
        <w:t>to</w:t>
      </w:r>
      <w:r>
        <w:t xml:space="preserve"> </w:t>
      </w:r>
      <w:r w:rsidR="00976462" w:rsidRPr="00300746">
        <w:t>compl</w:t>
      </w:r>
      <w:r w:rsidR="00976462">
        <w:t xml:space="preserve">y </w:t>
      </w:r>
      <w:r w:rsidRPr="00300746">
        <w:t xml:space="preserve">with rule 221(4) for NSW </w:t>
      </w:r>
      <w:r>
        <w:t xml:space="preserve">gas </w:t>
      </w:r>
      <w:r w:rsidRPr="00300746">
        <w:t>exports</w:t>
      </w:r>
      <w:r>
        <w:t xml:space="preserve">, </w:t>
      </w:r>
      <w:r w:rsidR="00976462">
        <w:t xml:space="preserve">this </w:t>
      </w:r>
      <w:r w:rsidRPr="00300746">
        <w:t>require</w:t>
      </w:r>
      <w:r>
        <w:t>d</w:t>
      </w:r>
      <w:r w:rsidRPr="00300746">
        <w:t xml:space="preserve"> </w:t>
      </w:r>
      <w:r w:rsidR="00976462">
        <w:t xml:space="preserve">AEMO </w:t>
      </w:r>
      <w:r w:rsidRPr="00300746">
        <w:t>to consider actual and projected operating conditions for the remainder of the gas day on either side o</w:t>
      </w:r>
      <w:r w:rsidR="00187D92">
        <w:t>f the point of interconnection.</w:t>
      </w:r>
      <w:r w:rsidRPr="00300746">
        <w:t xml:space="preserve"> AEMO has scheduled a further workshop </w:t>
      </w:r>
      <w:r w:rsidR="00BC12E3" w:rsidRPr="00300746">
        <w:t xml:space="preserve">for late October </w:t>
      </w:r>
      <w:r w:rsidRPr="00300746">
        <w:t xml:space="preserve">to </w:t>
      </w:r>
      <w:r w:rsidR="00BC12E3">
        <w:t xml:space="preserve">continue the </w:t>
      </w:r>
      <w:r w:rsidRPr="00300746">
        <w:t>discuss</w:t>
      </w:r>
      <w:r w:rsidR="00BC12E3">
        <w:t>ion of</w:t>
      </w:r>
      <w:r w:rsidRPr="00300746">
        <w:t xml:space="preserve"> issues raised at the </w:t>
      </w:r>
      <w:r w:rsidR="00BC12E3">
        <w:t xml:space="preserve">September </w:t>
      </w:r>
      <w:r w:rsidRPr="00300746">
        <w:t>workshop</w:t>
      </w:r>
      <w:r w:rsidR="00BC12E3">
        <w:t>,</w:t>
      </w:r>
      <w:r w:rsidRPr="00300746">
        <w:t xml:space="preserve"> including how AEMO </w:t>
      </w:r>
      <w:r w:rsidR="00BC12E3">
        <w:t>can</w:t>
      </w:r>
      <w:r w:rsidR="00BC12E3" w:rsidRPr="00300746">
        <w:t xml:space="preserve"> compl</w:t>
      </w:r>
      <w:r w:rsidR="00BC12E3">
        <w:t xml:space="preserve">y </w:t>
      </w:r>
      <w:r w:rsidRPr="00300746">
        <w:t xml:space="preserve">with rule 221(4). </w:t>
      </w:r>
      <w:r w:rsidR="00BC12E3">
        <w:t xml:space="preserve">We </w:t>
      </w:r>
      <w:r w:rsidRPr="00300746">
        <w:t>will continue to participate in these workshops and monitor the outcomes.</w:t>
      </w:r>
    </w:p>
    <w:p w:rsidR="00987FD1" w:rsidRDefault="00976462" w:rsidP="00987FD1">
      <w:pPr>
        <w:pStyle w:val="AERbodytext"/>
        <w:spacing w:line="276" w:lineRule="auto"/>
        <w:jc w:val="left"/>
      </w:pPr>
      <w:r>
        <w:t>AEMO’s</w:t>
      </w:r>
      <w:r w:rsidRPr="00300746">
        <w:t xml:space="preserve"> </w:t>
      </w:r>
      <w:r w:rsidR="00987FD1" w:rsidRPr="00300746">
        <w:t>failure to detect</w:t>
      </w:r>
      <w:r w:rsidR="00F4287D">
        <w:t xml:space="preserve"> the</w:t>
      </w:r>
      <w:r w:rsidR="00987FD1" w:rsidRPr="00300746">
        <w:t xml:space="preserve"> departures in </w:t>
      </w:r>
      <w:r w:rsidR="00F4287D">
        <w:t xml:space="preserve">its </w:t>
      </w:r>
      <w:r w:rsidR="00987FD1" w:rsidRPr="00300746">
        <w:t>pricing</w:t>
      </w:r>
      <w:r w:rsidR="00283860">
        <w:t xml:space="preserve"> schedule</w:t>
      </w:r>
      <w:r w:rsidR="00283860" w:rsidRPr="00300746">
        <w:t xml:space="preserve"> from</w:t>
      </w:r>
      <w:r w:rsidR="00987FD1" w:rsidRPr="00300746">
        <w:t xml:space="preserve"> the Gas Rules for an extend</w:t>
      </w:r>
      <w:r>
        <w:t>ed</w:t>
      </w:r>
      <w:r w:rsidR="00987FD1" w:rsidRPr="00300746">
        <w:t xml:space="preserve"> period of time is a significant concern. The annual market audit process under rule 322 of the Gas Rules</w:t>
      </w:r>
      <w:r w:rsidR="009D5630">
        <w:t>,</w:t>
      </w:r>
      <w:r w:rsidR="00987FD1" w:rsidRPr="00300746">
        <w:t xml:space="preserve"> </w:t>
      </w:r>
      <w:r w:rsidR="009D5630">
        <w:t>which</w:t>
      </w:r>
      <w:r w:rsidR="00987FD1">
        <w:t xml:space="preserve"> </w:t>
      </w:r>
      <w:r w:rsidR="009D5630">
        <w:t>requires the</w:t>
      </w:r>
      <w:r w:rsidR="009D5630" w:rsidRPr="00300746">
        <w:t xml:space="preserve"> </w:t>
      </w:r>
      <w:r w:rsidR="00987FD1" w:rsidRPr="00300746">
        <w:t>review of scheduling and pricing processes</w:t>
      </w:r>
      <w:r w:rsidR="00F4287D">
        <w:t xml:space="preserve"> by an external market auditor</w:t>
      </w:r>
      <w:r w:rsidR="009D5630" w:rsidRPr="00300746">
        <w:t>, did not detect this error</w:t>
      </w:r>
      <w:r w:rsidR="00987FD1" w:rsidRPr="00300746">
        <w:t xml:space="preserve">. Accordingly, </w:t>
      </w:r>
      <w:r w:rsidR="00F4287D">
        <w:t>we</w:t>
      </w:r>
      <w:r w:rsidR="00987FD1" w:rsidRPr="00300746">
        <w:t xml:space="preserve"> will discuss further with AEMO how it intends to </w:t>
      </w:r>
      <w:r w:rsidR="00F4287D">
        <w:t xml:space="preserve">regularly </w:t>
      </w:r>
      <w:r w:rsidR="00987FD1" w:rsidRPr="00300746">
        <w:t xml:space="preserve">review its practices </w:t>
      </w:r>
      <w:r w:rsidR="00646E98">
        <w:t>for</w:t>
      </w:r>
      <w:r w:rsidR="00646E98" w:rsidRPr="00300746">
        <w:t xml:space="preserve"> complian</w:t>
      </w:r>
      <w:r w:rsidR="00646E98">
        <w:t>ce</w:t>
      </w:r>
      <w:r w:rsidR="00987FD1" w:rsidRPr="00300746">
        <w:t xml:space="preserve">. </w:t>
      </w:r>
    </w:p>
    <w:p w:rsidR="00987FD1" w:rsidRPr="00102642" w:rsidRDefault="00987FD1" w:rsidP="00D861CC">
      <w:pPr>
        <w:pStyle w:val="AERheading2"/>
        <w:numPr>
          <w:ilvl w:val="1"/>
          <w:numId w:val="13"/>
        </w:numPr>
        <w:tabs>
          <w:tab w:val="clear" w:pos="641"/>
        </w:tabs>
        <w:ind w:left="0" w:hanging="709"/>
        <w:jc w:val="both"/>
      </w:pPr>
      <w:bookmarkStart w:id="55" w:name="_Toc401344227"/>
      <w:bookmarkStart w:id="56" w:name="_Toc401350809"/>
      <w:bookmarkStart w:id="57" w:name="_Toc403477268"/>
      <w:bookmarkEnd w:id="55"/>
      <w:bookmarkEnd w:id="56"/>
      <w:r w:rsidRPr="00102642">
        <w:t xml:space="preserve">Origin </w:t>
      </w:r>
      <w:r w:rsidR="009D5630">
        <w:t xml:space="preserve">Energy </w:t>
      </w:r>
      <w:r w:rsidRPr="00102642">
        <w:t>and Energy Australia bidding errors</w:t>
      </w:r>
      <w:bookmarkEnd w:id="57"/>
    </w:p>
    <w:p w:rsidR="00CD6B87" w:rsidRDefault="00987FD1" w:rsidP="00D861CC">
      <w:pPr>
        <w:pStyle w:val="AERbodytext"/>
      </w:pPr>
      <w:r>
        <w:t>During the September quarter,</w:t>
      </w:r>
      <w:r w:rsidRPr="00661E22">
        <w:t xml:space="preserve"> </w:t>
      </w:r>
      <w:r>
        <w:t xml:space="preserve">EnergyAustralia and Origin Energy self-reported </w:t>
      </w:r>
      <w:r w:rsidR="00D54EDC">
        <w:t xml:space="preserve">two </w:t>
      </w:r>
      <w:r>
        <w:t xml:space="preserve">gas bidding errors </w:t>
      </w:r>
      <w:r w:rsidR="00D54EDC">
        <w:t xml:space="preserve">made in the Victorian gas market </w:t>
      </w:r>
      <w:r>
        <w:t>to the AER. The</w:t>
      </w:r>
      <w:r w:rsidR="00D54EDC">
        <w:t>se</w:t>
      </w:r>
      <w:r>
        <w:t xml:space="preserve"> bidding errors affected subsequent </w:t>
      </w:r>
      <w:r w:rsidRPr="00275B1F">
        <w:t>pricing</w:t>
      </w:r>
      <w:r>
        <w:t xml:space="preserve"> schedules, leading to a $1/GJ to $2/GJ fall in prices.   </w:t>
      </w:r>
    </w:p>
    <w:p w:rsidR="00987FD1" w:rsidRPr="00300746" w:rsidRDefault="00987FD1" w:rsidP="00D861CC">
      <w:pPr>
        <w:pStyle w:val="AERbodytext"/>
      </w:pPr>
      <w:r>
        <w:t>On 8 July, an EnergyAustralia</w:t>
      </w:r>
      <w:r w:rsidRPr="00300746">
        <w:t xml:space="preserve"> trader </w:t>
      </w:r>
      <w:r>
        <w:t xml:space="preserve">submitted the wrong gas quantity for the </w:t>
      </w:r>
      <w:r w:rsidR="0007008A">
        <w:t>10 </w:t>
      </w:r>
      <w:r>
        <w:t>am schedule</w:t>
      </w:r>
      <w:r w:rsidR="00275B1F">
        <w:t xml:space="preserve"> on that gas day</w:t>
      </w:r>
      <w:r>
        <w:t>. Instead of 5.</w:t>
      </w:r>
      <w:r w:rsidR="009D5630">
        <w:t>4 </w:t>
      </w:r>
      <w:r>
        <w:t xml:space="preserve">TJ of gas, a trader </w:t>
      </w:r>
      <w:r w:rsidR="002F55C6">
        <w:t xml:space="preserve">scheduled to inject </w:t>
      </w:r>
      <w:r w:rsidR="0007008A" w:rsidRPr="00300746">
        <w:t>54</w:t>
      </w:r>
      <w:r w:rsidR="0007008A">
        <w:t> </w:t>
      </w:r>
      <w:r w:rsidRPr="00300746">
        <w:t>TJ on the South West Pipeline</w:t>
      </w:r>
      <w:r>
        <w:t>. This</w:t>
      </w:r>
      <w:r w:rsidRPr="00300746">
        <w:t xml:space="preserve"> </w:t>
      </w:r>
      <w:r>
        <w:t xml:space="preserve">affected the </w:t>
      </w:r>
      <w:r w:rsidRPr="00300746">
        <w:t xml:space="preserve">following </w:t>
      </w:r>
      <w:r>
        <w:t xml:space="preserve">pricing </w:t>
      </w:r>
      <w:r w:rsidRPr="00300746">
        <w:t>schedules</w:t>
      </w:r>
      <w:r>
        <w:t xml:space="preserve">, including </w:t>
      </w:r>
      <w:r w:rsidRPr="00300746">
        <w:t xml:space="preserve">a fall in price for the following </w:t>
      </w:r>
      <w:r>
        <w:t>schedule by approximately $1/GJ</w:t>
      </w:r>
      <w:r w:rsidRPr="00300746">
        <w:t>.</w:t>
      </w:r>
    </w:p>
    <w:p w:rsidR="00987FD1" w:rsidRPr="00300746" w:rsidRDefault="00987FD1" w:rsidP="00D861CC">
      <w:pPr>
        <w:pStyle w:val="AERbodytext"/>
      </w:pPr>
      <w:r w:rsidRPr="00300746">
        <w:t>On 19 September</w:t>
      </w:r>
      <w:r>
        <w:t>,</w:t>
      </w:r>
      <w:r w:rsidRPr="00300746">
        <w:t xml:space="preserve"> Origin </w:t>
      </w:r>
      <w:r>
        <w:t xml:space="preserve">Energy </w:t>
      </w:r>
      <w:r w:rsidRPr="00300746">
        <w:t xml:space="preserve">made an error updating its bids for the 2 pm schedule </w:t>
      </w:r>
      <w:r w:rsidR="00275B1F">
        <w:t>for that gas day</w:t>
      </w:r>
      <w:r>
        <w:t xml:space="preserve">.  As a result, Origin Energy was </w:t>
      </w:r>
      <w:r w:rsidRPr="00300746">
        <w:t>scheduled to inject 65</w:t>
      </w:r>
      <w:r w:rsidR="0007008A">
        <w:t> </w:t>
      </w:r>
      <w:r w:rsidRPr="00300746">
        <w:t xml:space="preserve">TJ from Longford </w:t>
      </w:r>
      <w:r>
        <w:t xml:space="preserve">which it was </w:t>
      </w:r>
      <w:r w:rsidRPr="00300746">
        <w:t xml:space="preserve">unable to </w:t>
      </w:r>
      <w:r>
        <w:t xml:space="preserve">inject under contracts </w:t>
      </w:r>
      <w:r w:rsidRPr="00300746">
        <w:t>and deviated in the market</w:t>
      </w:r>
      <w:r>
        <w:t xml:space="preserve">. This led to </w:t>
      </w:r>
      <w:r w:rsidRPr="00300746">
        <w:t xml:space="preserve">a decrease in prices </w:t>
      </w:r>
      <w:r>
        <w:t xml:space="preserve">at the </w:t>
      </w:r>
      <w:r w:rsidR="0007008A">
        <w:t>2 </w:t>
      </w:r>
      <w:r>
        <w:t xml:space="preserve">pm schedule of </w:t>
      </w:r>
      <w:r w:rsidRPr="00275B1F">
        <w:t>over</w:t>
      </w:r>
      <w:r>
        <w:t xml:space="preserve"> $2/GJ</w:t>
      </w:r>
      <w:r w:rsidRPr="00300746">
        <w:t>.</w:t>
      </w:r>
      <w:r w:rsidR="00C879B6">
        <w:t xml:space="preserve"> </w:t>
      </w:r>
      <w:r w:rsidR="00C879B6" w:rsidRPr="00C879B6">
        <w:t xml:space="preserve"> </w:t>
      </w:r>
      <w:r w:rsidR="00C879B6">
        <w:t>Origin Energy notes the trader who made the error was new to trading in the Victorian gas market.</w:t>
      </w:r>
    </w:p>
    <w:p w:rsidR="00987FD1" w:rsidRDefault="00987FD1" w:rsidP="00D861CC">
      <w:pPr>
        <w:pStyle w:val="AERbodytext"/>
      </w:pPr>
      <w:r>
        <w:t xml:space="preserve">Origin Energy’s bidding error </w:t>
      </w:r>
      <w:r w:rsidR="009D5630">
        <w:t xml:space="preserve">is its </w:t>
      </w:r>
      <w:r>
        <w:t xml:space="preserve">second </w:t>
      </w:r>
      <w:r w:rsidR="00275B1F">
        <w:t>such error</w:t>
      </w:r>
      <w:r>
        <w:t xml:space="preserve"> in the Victorian gas market this year. On 12</w:t>
      </w:r>
      <w:r w:rsidR="00275B1F">
        <w:t> </w:t>
      </w:r>
      <w:r>
        <w:t xml:space="preserve">February 2014, Origin Energy made a withdrawal bid that did not reflect a </w:t>
      </w:r>
      <w:r w:rsidR="006A31B0">
        <w:t>S</w:t>
      </w:r>
      <w:r w:rsidR="00B63E4C">
        <w:t xml:space="preserve">upply </w:t>
      </w:r>
      <w:r w:rsidR="006A31B0">
        <w:t>D</w:t>
      </w:r>
      <w:r w:rsidR="00B63E4C">
        <w:t xml:space="preserve">emand </w:t>
      </w:r>
      <w:r w:rsidR="006A31B0">
        <w:t>P</w:t>
      </w:r>
      <w:r w:rsidR="00B63E4C">
        <w:t xml:space="preserve">oint </w:t>
      </w:r>
      <w:r w:rsidR="006A31B0">
        <w:t>C</w:t>
      </w:r>
      <w:r w:rsidR="00B63E4C">
        <w:t>onstraint</w:t>
      </w:r>
      <w:r>
        <w:t xml:space="preserve">. Origin Energy is </w:t>
      </w:r>
      <w:r w:rsidRPr="00275B1F">
        <w:t>reviewing</w:t>
      </w:r>
      <w:r w:rsidRPr="00A5175D">
        <w:t xml:space="preserve"> its processes to minimise the risk of a similar error occurring in future</w:t>
      </w:r>
      <w:r>
        <w:t xml:space="preserve">. </w:t>
      </w:r>
      <w:r w:rsidR="00C879B6">
        <w:t xml:space="preserve">In </w:t>
      </w:r>
      <w:r w:rsidR="00187D92">
        <w:t xml:space="preserve">the </w:t>
      </w:r>
      <w:r w:rsidR="00C879B6">
        <w:t>December 2014 quarter</w:t>
      </w:r>
      <w:r w:rsidR="00CD6B87">
        <w:t xml:space="preserve">, we will engage Origin Energy to ascertain the details of the revised processes and report on them in the next QCR. </w:t>
      </w:r>
      <w:r w:rsidR="00C879B6">
        <w:t xml:space="preserve"> </w:t>
      </w:r>
    </w:p>
    <w:p w:rsidR="005F7CB9" w:rsidRDefault="008963FE" w:rsidP="005F7CB9">
      <w:pPr>
        <w:pStyle w:val="AERbodytext"/>
      </w:pPr>
      <w:r>
        <w:t xml:space="preserve">Overall, the occurrence of </w:t>
      </w:r>
      <w:r w:rsidR="0017336B">
        <w:t xml:space="preserve">Victorian gas </w:t>
      </w:r>
      <w:r>
        <w:t xml:space="preserve">bidding errors this quarter acts as a timely reminder for participants to have sufficient processes in place </w:t>
      </w:r>
      <w:r w:rsidR="005F7CB9">
        <w:t>around compliance</w:t>
      </w:r>
      <w:r>
        <w:t xml:space="preserve"> with bidding requirements.</w:t>
      </w:r>
      <w:r>
        <w:rPr>
          <w:rStyle w:val="FootnoteReference"/>
        </w:rPr>
        <w:footnoteReference w:id="14"/>
      </w:r>
      <w:r>
        <w:t xml:space="preserve"> In addition, if errors do occur, participants</w:t>
      </w:r>
      <w:r w:rsidR="0017336B">
        <w:t xml:space="preserve"> should</w:t>
      </w:r>
      <w:r>
        <w:t xml:space="preserve"> respond </w:t>
      </w:r>
      <w:r w:rsidR="005F7CB9">
        <w:t>proactively</w:t>
      </w:r>
      <w:r>
        <w:t xml:space="preserve"> to ensure the problem does not reoccur. </w:t>
      </w:r>
      <w:r w:rsidR="0017336B">
        <w:t>We note participants</w:t>
      </w:r>
      <w:r w:rsidR="005F7CB9">
        <w:t>’</w:t>
      </w:r>
      <w:r w:rsidR="00233252">
        <w:t xml:space="preserve"> past</w:t>
      </w:r>
      <w:r w:rsidR="005F7CB9">
        <w:t xml:space="preserve"> approach to</w:t>
      </w:r>
      <w:r w:rsidR="0017336B">
        <w:t xml:space="preserve"> </w:t>
      </w:r>
      <w:r w:rsidR="005F7CB9">
        <w:t>resolving</w:t>
      </w:r>
      <w:r w:rsidR="0017336B">
        <w:t xml:space="preserve"> compliance issues is taken into account when considering </w:t>
      </w:r>
      <w:r w:rsidR="002F55C6">
        <w:t>what action</w:t>
      </w:r>
      <w:r w:rsidR="009A79D2">
        <w:t>,</w:t>
      </w:r>
      <w:r w:rsidR="002F55C6">
        <w:t xml:space="preserve"> if any</w:t>
      </w:r>
      <w:r w:rsidR="009A79D2">
        <w:t>,</w:t>
      </w:r>
      <w:r w:rsidR="002F55C6">
        <w:t xml:space="preserve"> should be taken</w:t>
      </w:r>
      <w:r w:rsidR="0017336B">
        <w:t xml:space="preserve">.  </w:t>
      </w:r>
    </w:p>
    <w:p w:rsidR="00987FD1" w:rsidRPr="00860DB5" w:rsidRDefault="00987FD1" w:rsidP="00987FD1">
      <w:pPr>
        <w:pStyle w:val="QCRunnumberedunboldheading"/>
        <w:jc w:val="both"/>
      </w:pPr>
      <w:bookmarkStart w:id="58" w:name="_Toc403477269"/>
      <w:r>
        <w:t xml:space="preserve">Natural Gas Services </w:t>
      </w:r>
      <w:r w:rsidRPr="007C5152">
        <w:t>Bulletin Board</w:t>
      </w:r>
      <w:bookmarkEnd w:id="58"/>
    </w:p>
    <w:p w:rsidR="00987FD1" w:rsidRDefault="00987FD1" w:rsidP="00987FD1">
      <w:pPr>
        <w:pStyle w:val="AERbodytext"/>
        <w:rPr>
          <w:rFonts w:cs="Gautami"/>
        </w:rPr>
      </w:pPr>
      <w:proofErr w:type="gramStart"/>
      <w:r>
        <w:t>Part 18 of the Gas Rules sets out participants’ responsibilities regarding the Natural Gas Services Bulletin Board (</w:t>
      </w:r>
      <w:r w:rsidRPr="00A74D4B">
        <w:rPr>
          <w:b/>
        </w:rPr>
        <w:t>Bulletin Board</w:t>
      </w:r>
      <w:r>
        <w:t>).</w:t>
      </w:r>
      <w:proofErr w:type="gramEnd"/>
      <w:r>
        <w:t xml:space="preserve"> These obligations aim to facilitate greater transparency in gas </w:t>
      </w:r>
      <w:r>
        <w:lastRenderedPageBreak/>
        <w:t xml:space="preserve">production and gas pipeline flows to assist gas trading. The obligations also require participants to identify and report any potential conditions where </w:t>
      </w:r>
      <w:r>
        <w:rPr>
          <w:rFonts w:cs="Gautami"/>
        </w:rPr>
        <w:t>curtailment of gas use might be necessary.</w:t>
      </w:r>
    </w:p>
    <w:p w:rsidR="00987FD1" w:rsidRDefault="00987FD1" w:rsidP="00987FD1">
      <w:pPr>
        <w:pStyle w:val="AERbodytext"/>
        <w:rPr>
          <w:rFonts w:cs="Gautami"/>
        </w:rPr>
      </w:pPr>
      <w:r>
        <w:rPr>
          <w:rFonts w:cs="Gautami"/>
        </w:rPr>
        <w:t xml:space="preserve">During the September quarter, </w:t>
      </w:r>
      <w:r w:rsidR="007072FB">
        <w:rPr>
          <w:rFonts w:cs="Gautami"/>
        </w:rPr>
        <w:t xml:space="preserve">a focus of </w:t>
      </w:r>
      <w:r>
        <w:rPr>
          <w:rFonts w:cs="Gautami"/>
        </w:rPr>
        <w:t xml:space="preserve">the AER’s wholesale markets compliance work program </w:t>
      </w:r>
      <w:r w:rsidR="007072FB">
        <w:rPr>
          <w:rFonts w:cs="Gautami"/>
        </w:rPr>
        <w:t>was ensuring</w:t>
      </w:r>
      <w:r>
        <w:rPr>
          <w:rFonts w:cs="Gautami"/>
        </w:rPr>
        <w:t xml:space="preserve"> participants are providing the required information to the Bulletin Board. This focus coincides with developments in Queensland; as LNG trains come on line and gas production and flows change rapidly, transparency through good quality information is vital. In addition, AEMO </w:t>
      </w:r>
      <w:r w:rsidR="002F55C6">
        <w:rPr>
          <w:rFonts w:cs="Gautami"/>
        </w:rPr>
        <w:t>advised</w:t>
      </w:r>
      <w:r>
        <w:rPr>
          <w:rFonts w:cs="Gautami"/>
        </w:rPr>
        <w:t xml:space="preserve"> the AER that some Bulletin Board facility operators were not meeting their Bulletin Board information obligations under the Gas Rules.</w:t>
      </w:r>
    </w:p>
    <w:p w:rsidR="00987FD1" w:rsidRDefault="00987FD1" w:rsidP="00987FD1">
      <w:pPr>
        <w:pStyle w:val="AERbodytext"/>
        <w:rPr>
          <w:rFonts w:cs="Gautami"/>
        </w:rPr>
      </w:pPr>
      <w:r>
        <w:rPr>
          <w:rFonts w:cs="Gautami"/>
        </w:rPr>
        <w:t xml:space="preserve">Accordingly we have been engaging with participants this quarter, including LNG producers, to ensure they are providing the required information to the Bulletin Board, such as total production data and 3-day capacity outlook information. </w:t>
      </w:r>
      <w:r w:rsidR="00114BCF">
        <w:rPr>
          <w:rFonts w:cs="Gautami"/>
        </w:rPr>
        <w:t>W</w:t>
      </w:r>
      <w:r>
        <w:rPr>
          <w:rFonts w:cs="Gautami"/>
        </w:rPr>
        <w:t>e have</w:t>
      </w:r>
      <w:r w:rsidR="00114BCF">
        <w:rPr>
          <w:rFonts w:cs="Gautami"/>
        </w:rPr>
        <w:t xml:space="preserve"> also</w:t>
      </w:r>
      <w:r>
        <w:rPr>
          <w:rFonts w:cs="Gautami"/>
        </w:rPr>
        <w:t xml:space="preserve"> been communicating with </w:t>
      </w:r>
      <w:r w:rsidRPr="0080335D">
        <w:t xml:space="preserve">AEMO </w:t>
      </w:r>
      <w:r>
        <w:t>regarding its obligation</w:t>
      </w:r>
      <w:r w:rsidRPr="0080335D">
        <w:t xml:space="preserve"> to update</w:t>
      </w:r>
      <w:r>
        <w:t xml:space="preserve"> the</w:t>
      </w:r>
      <w:r w:rsidRPr="0080335D">
        <w:t xml:space="preserve"> Bulletin Board map to reflect </w:t>
      </w:r>
      <w:r>
        <w:t>the</w:t>
      </w:r>
      <w:r w:rsidRPr="0080335D">
        <w:t xml:space="preserve"> dat</w:t>
      </w:r>
      <w:r>
        <w:t>a being reported by participants.</w:t>
      </w:r>
    </w:p>
    <w:p w:rsidR="00987FD1" w:rsidRDefault="00987FD1" w:rsidP="00987FD1">
      <w:pPr>
        <w:pStyle w:val="AERbodytext"/>
        <w:rPr>
          <w:rFonts w:cs="Gautami"/>
        </w:rPr>
      </w:pPr>
      <w:r>
        <w:rPr>
          <w:rFonts w:cs="Gautami"/>
        </w:rPr>
        <w:t xml:space="preserve">The Bulletin Board will remain a focus of the AER for some time. In the future, we expect to expand our </w:t>
      </w:r>
      <w:r w:rsidR="00114BCF">
        <w:rPr>
          <w:rFonts w:cs="Gautami"/>
        </w:rPr>
        <w:t xml:space="preserve">work </w:t>
      </w:r>
      <w:r>
        <w:rPr>
          <w:rFonts w:cs="Gautami"/>
        </w:rPr>
        <w:t>program to include</w:t>
      </w:r>
      <w:r w:rsidR="002F55C6">
        <w:rPr>
          <w:rFonts w:cs="Gautami"/>
        </w:rPr>
        <w:t xml:space="preserve"> any</w:t>
      </w:r>
      <w:r>
        <w:rPr>
          <w:rFonts w:cs="Gautami"/>
        </w:rPr>
        <w:t xml:space="preserve"> requirements arising out of current consultations regarding the Bulletin Board. This includes reporting requirements being considered through the Council of Australian Governments</w:t>
      </w:r>
      <w:r w:rsidR="00B61A39">
        <w:rPr>
          <w:rFonts w:cs="Gautami"/>
        </w:rPr>
        <w:t>’</w:t>
      </w:r>
      <w:r>
        <w:rPr>
          <w:rFonts w:cs="Gautami"/>
        </w:rPr>
        <w:t xml:space="preserve"> Energy Council and AEMO’s consultation on Bulletin Board zones. </w:t>
      </w:r>
    </w:p>
    <w:p w:rsidR="00987FD1" w:rsidRDefault="00987FD1" w:rsidP="00660D97">
      <w:pPr>
        <w:pStyle w:val="AERheading2"/>
        <w:numPr>
          <w:ilvl w:val="1"/>
          <w:numId w:val="13"/>
        </w:numPr>
        <w:tabs>
          <w:tab w:val="clear" w:pos="641"/>
        </w:tabs>
        <w:ind w:left="0" w:hanging="709"/>
        <w:jc w:val="both"/>
      </w:pPr>
      <w:bookmarkStart w:id="59" w:name="_Toc403477270"/>
      <w:r>
        <w:t xml:space="preserve">QGC’s </w:t>
      </w:r>
      <w:r w:rsidRPr="00FB7D3F">
        <w:t xml:space="preserve">registration of Ruby </w:t>
      </w:r>
      <w:r w:rsidR="00B64284">
        <w:t xml:space="preserve">Jo </w:t>
      </w:r>
      <w:r>
        <w:t>and Bell</w:t>
      </w:r>
      <w:r w:rsidR="0007008A">
        <w:t>e</w:t>
      </w:r>
      <w:r>
        <w:t>vue production facilities</w:t>
      </w:r>
      <w:bookmarkEnd w:id="59"/>
    </w:p>
    <w:p w:rsidR="00987FD1" w:rsidRDefault="00987FD1" w:rsidP="00B64284">
      <w:pPr>
        <w:pStyle w:val="AERbodytext"/>
      </w:pPr>
      <w:r>
        <w:t>In October 2014, QGC registered its Ruby Jo and Bell</w:t>
      </w:r>
      <w:r w:rsidR="0007008A">
        <w:t>e</w:t>
      </w:r>
      <w:r>
        <w:t xml:space="preserve">vue production facilities </w:t>
      </w:r>
      <w:r w:rsidR="002F55C6">
        <w:t xml:space="preserve">with AEMO </w:t>
      </w:r>
      <w:r>
        <w:t xml:space="preserve">as Bulletin Board </w:t>
      </w:r>
      <w:r w:rsidRPr="00B64284">
        <w:t>production</w:t>
      </w:r>
      <w:r>
        <w:t xml:space="preserve"> facilities</w:t>
      </w:r>
      <w:r w:rsidR="003A23CB">
        <w:t xml:space="preserve">, including Kenya and </w:t>
      </w:r>
      <w:r w:rsidR="003A23CB" w:rsidRPr="003A23CB">
        <w:t>Berwyndale South</w:t>
      </w:r>
      <w:r w:rsidR="003A23CB">
        <w:t xml:space="preserve">. As a result, QGC is now reporting total production inclusive of gas produced for export markets. </w:t>
      </w:r>
      <w:r>
        <w:t xml:space="preserve"> </w:t>
      </w:r>
    </w:p>
    <w:p w:rsidR="002D55BE" w:rsidRDefault="00326FBE" w:rsidP="00912CC3">
      <w:pPr>
        <w:pStyle w:val="AERheading2"/>
        <w:numPr>
          <w:ilvl w:val="1"/>
          <w:numId w:val="13"/>
        </w:numPr>
        <w:tabs>
          <w:tab w:val="clear" w:pos="641"/>
        </w:tabs>
        <w:ind w:left="0" w:hanging="709"/>
        <w:jc w:val="both"/>
      </w:pPr>
      <w:bookmarkStart w:id="60" w:name="_Toc401350813"/>
      <w:bookmarkStart w:id="61" w:name="_Toc402445139"/>
      <w:bookmarkStart w:id="62" w:name="_Toc403477271"/>
      <w:bookmarkEnd w:id="60"/>
      <w:bookmarkEnd w:id="61"/>
      <w:r w:rsidRPr="00326FBE">
        <w:t>AEMO’s Bulletin Board map</w:t>
      </w:r>
      <w:bookmarkEnd w:id="62"/>
    </w:p>
    <w:p w:rsidR="00FA7390" w:rsidRPr="00B6546C" w:rsidRDefault="002D55BE" w:rsidP="00FA7390">
      <w:pPr>
        <w:pStyle w:val="AERbodytext"/>
        <w:spacing w:line="276" w:lineRule="auto"/>
      </w:pPr>
      <w:r>
        <w:t>AEMO is currently undertaking a redevelopmen</w:t>
      </w:r>
      <w:r w:rsidR="00FA7390">
        <w:t>t of the Bulletin Board website, due for completion in December.</w:t>
      </w:r>
      <w:r>
        <w:t xml:space="preserve"> As a result, </w:t>
      </w:r>
      <w:r w:rsidR="00FA7390">
        <w:t>AEMO</w:t>
      </w:r>
      <w:r>
        <w:t xml:space="preserve"> has </w:t>
      </w:r>
      <w:r w:rsidR="00D53D44">
        <w:t xml:space="preserve">advised </w:t>
      </w:r>
      <w:r w:rsidR="00FA7390">
        <w:t>us</w:t>
      </w:r>
      <w:r w:rsidR="00D53D44">
        <w:t xml:space="preserve"> that </w:t>
      </w:r>
      <w:r w:rsidR="00FA7390">
        <w:t xml:space="preserve">during this redevelopment process, </w:t>
      </w:r>
      <w:r w:rsidR="00D53D44">
        <w:t xml:space="preserve">it does not intend to </w:t>
      </w:r>
      <w:r>
        <w:t>update the current</w:t>
      </w:r>
      <w:r w:rsidR="00A1209A">
        <w:t xml:space="preserve"> Bulletin Board map</w:t>
      </w:r>
      <w:r w:rsidR="00FA7390">
        <w:t xml:space="preserve"> to add new production facilities. This includes updating the map</w:t>
      </w:r>
      <w:r>
        <w:t xml:space="preserve"> to reflect the registration </w:t>
      </w:r>
      <w:r w:rsidR="00FA7390">
        <w:t xml:space="preserve">of </w:t>
      </w:r>
      <w:r w:rsidR="00D53D44">
        <w:t>AP</w:t>
      </w:r>
      <w:r w:rsidR="00A1209A">
        <w:t xml:space="preserve">LNG’s </w:t>
      </w:r>
      <w:r w:rsidR="00A1209A" w:rsidRPr="0080335D">
        <w:t>Condabri facility</w:t>
      </w:r>
      <w:r w:rsidR="00A1209A">
        <w:t xml:space="preserve"> and QGC’s </w:t>
      </w:r>
      <w:r w:rsidR="00A1209A" w:rsidRPr="0080335D">
        <w:t>Ruby Jo and Bell</w:t>
      </w:r>
      <w:r w:rsidR="00A1209A">
        <w:t>e</w:t>
      </w:r>
      <w:r w:rsidR="00A1209A" w:rsidRPr="0080335D">
        <w:t>vue facilities</w:t>
      </w:r>
      <w:r w:rsidR="00A1209A">
        <w:t>.</w:t>
      </w:r>
      <w:r w:rsidR="00D53D44">
        <w:t xml:space="preserve"> </w:t>
      </w:r>
      <w:r w:rsidR="00FA7390">
        <w:t xml:space="preserve">However, </w:t>
      </w:r>
      <w:r w:rsidR="00B61A39">
        <w:t>we have received a commitment from AEMO</w:t>
      </w:r>
      <w:r w:rsidR="00FA7390">
        <w:t xml:space="preserve"> that it will add the new production facilities</w:t>
      </w:r>
      <w:r w:rsidR="00FA7390" w:rsidRPr="0080335D">
        <w:t xml:space="preserve"> to the B</w:t>
      </w:r>
      <w:r w:rsidR="00FA7390">
        <w:t xml:space="preserve">ulletin </w:t>
      </w:r>
      <w:r w:rsidR="00FA7390" w:rsidRPr="0080335D">
        <w:t>B</w:t>
      </w:r>
      <w:r w:rsidR="00FA7390">
        <w:t>oard</w:t>
      </w:r>
      <w:r w:rsidR="00FA7390" w:rsidRPr="0080335D">
        <w:t xml:space="preserve"> map immediately</w:t>
      </w:r>
      <w:r w:rsidR="00FA7390">
        <w:t xml:space="preserve"> after the deployment of the new website in December</w:t>
      </w:r>
      <w:r w:rsidR="00FA7390" w:rsidRPr="0080335D">
        <w:t>.</w:t>
      </w:r>
    </w:p>
    <w:p w:rsidR="00987FD1" w:rsidRPr="00FD47A4" w:rsidRDefault="00987FD1" w:rsidP="00A74D4B">
      <w:pPr>
        <w:pStyle w:val="AERheading2"/>
        <w:numPr>
          <w:ilvl w:val="1"/>
          <w:numId w:val="13"/>
        </w:numPr>
        <w:tabs>
          <w:tab w:val="clear" w:pos="641"/>
        </w:tabs>
        <w:ind w:left="0" w:hanging="709"/>
        <w:jc w:val="both"/>
      </w:pPr>
      <w:bookmarkStart w:id="63" w:name="_Toc402445065"/>
      <w:bookmarkStart w:id="64" w:name="_Toc402445141"/>
      <w:bookmarkStart w:id="65" w:name="_Toc402445066"/>
      <w:bookmarkStart w:id="66" w:name="_Toc402445142"/>
      <w:bookmarkStart w:id="67" w:name="_Toc402445067"/>
      <w:bookmarkStart w:id="68" w:name="_Toc402445143"/>
      <w:bookmarkStart w:id="69" w:name="_Toc401344232"/>
      <w:bookmarkStart w:id="70" w:name="_Toc401350815"/>
      <w:bookmarkStart w:id="71" w:name="_Toc403477272"/>
      <w:bookmarkEnd w:id="63"/>
      <w:bookmarkEnd w:id="64"/>
      <w:bookmarkEnd w:id="65"/>
      <w:bookmarkEnd w:id="66"/>
      <w:bookmarkEnd w:id="67"/>
      <w:bookmarkEnd w:id="68"/>
      <w:bookmarkEnd w:id="69"/>
      <w:bookmarkEnd w:id="70"/>
      <w:r w:rsidRPr="00FD47A4">
        <w:t>Targeted compliance review - capacity outlook data</w:t>
      </w:r>
      <w:bookmarkEnd w:id="71"/>
    </w:p>
    <w:p w:rsidR="00987FD1" w:rsidRDefault="00987FD1" w:rsidP="00987FD1">
      <w:pPr>
        <w:pStyle w:val="AERbodytext"/>
        <w:rPr>
          <w:szCs w:val="20"/>
        </w:rPr>
      </w:pPr>
      <w:r>
        <w:rPr>
          <w:szCs w:val="20"/>
        </w:rPr>
        <w:t xml:space="preserve">Targeted compliance reviews form an important part of our monitoring program. The reviews explore participants’ compliance practices and aim to improve stakeholder understanding of obligations. The AER will generally choose the obligation on the basis of its risk assessment of the </w:t>
      </w:r>
      <w:r w:rsidR="00B62A50">
        <w:rPr>
          <w:szCs w:val="20"/>
        </w:rPr>
        <w:t xml:space="preserve">Gas </w:t>
      </w:r>
      <w:r>
        <w:rPr>
          <w:szCs w:val="20"/>
        </w:rPr>
        <w:t xml:space="preserve">Rules, whereby obligations are identified as having a medium to high risk and impact will be selected for review. We also take into account previous industry performance with respect to the obligation. </w:t>
      </w:r>
    </w:p>
    <w:p w:rsidR="00987FD1" w:rsidRPr="00DF00BE" w:rsidRDefault="00987FD1" w:rsidP="00987FD1">
      <w:pPr>
        <w:pStyle w:val="AERbodytext"/>
        <w:rPr>
          <w:rFonts w:cs="Gautami"/>
        </w:rPr>
      </w:pPr>
      <w:r w:rsidRPr="00DF00BE">
        <w:rPr>
          <w:rFonts w:cs="Gautami"/>
        </w:rPr>
        <w:t>In this quarter we targeted obligations relating to the provision of information by Bulletin Board facility operators to the Bulletin Board. This included rules 165 and 171 of the Gas Rules.</w:t>
      </w:r>
      <w:r w:rsidR="006D4FC5">
        <w:rPr>
          <w:rFonts w:cs="Gautami"/>
        </w:rPr>
        <w:t xml:space="preserve"> In particular:</w:t>
      </w:r>
      <w:r w:rsidRPr="00DF00BE">
        <w:rPr>
          <w:rFonts w:cs="Gautami"/>
        </w:rPr>
        <w:t xml:space="preserve"> </w:t>
      </w:r>
    </w:p>
    <w:p w:rsidR="00987FD1" w:rsidRPr="00DF00BE" w:rsidRDefault="00987FD1" w:rsidP="00A74D4B">
      <w:pPr>
        <w:pStyle w:val="AERbulletlistsecondstyle"/>
      </w:pPr>
      <w:r w:rsidRPr="00DF00BE">
        <w:t xml:space="preserve">Rule 165 requires a production facility operator to provide to AEMO, in respect of each gas day for BB production facility that it operates, the daily production capacity outlook for that BB production facility for that gas day, day +1 and day +2. </w:t>
      </w:r>
    </w:p>
    <w:p w:rsidR="00987FD1" w:rsidRPr="00DF00BE" w:rsidRDefault="00987FD1" w:rsidP="00A74D4B">
      <w:pPr>
        <w:pStyle w:val="AERbulletlistsecondstyle"/>
      </w:pPr>
      <w:r w:rsidRPr="00DF00BE">
        <w:lastRenderedPageBreak/>
        <w:t xml:space="preserve">Rule171 requires a pipeline operator to provide to AEMO, in respect of each gas day for each of its BB pipelines, the pipeline operator's good faith estimate of the quantity of natural gas that, under normal operating conditions, can be transported through that BB pipeline on that gas day, day + 1 and day + 2. </w:t>
      </w:r>
    </w:p>
    <w:p w:rsidR="00987FD1" w:rsidRPr="00DF00BE" w:rsidRDefault="00987FD1" w:rsidP="00A74D4B">
      <w:pPr>
        <w:pStyle w:val="AERbulletlistsecondstyle"/>
      </w:pPr>
      <w:r w:rsidRPr="00DF00BE">
        <w:t>Clause 5.4 of the BB Procedures sets out the information a</w:t>
      </w:r>
      <w:r w:rsidR="00945419">
        <w:t>n</w:t>
      </w:r>
      <w:r w:rsidRPr="00DF00BE">
        <w:t xml:space="preserve">d timing requirements which must be met in order to comply with clauses 165 and 171. </w:t>
      </w:r>
    </w:p>
    <w:p w:rsidR="00987FD1" w:rsidRPr="00DF00BE" w:rsidRDefault="00987FD1" w:rsidP="00987FD1">
      <w:pPr>
        <w:pStyle w:val="AERbodytext"/>
        <w:rPr>
          <w:rFonts w:cs="Gautami"/>
        </w:rPr>
      </w:pPr>
      <w:r w:rsidRPr="00DF00BE">
        <w:rPr>
          <w:rFonts w:cs="Gautami"/>
        </w:rPr>
        <w:t xml:space="preserve">We targeted these provisions because AEMO reported to the AER that capacity outlook data is not actively being updated by all Bulletin Board participants; </w:t>
      </w:r>
      <w:r w:rsidR="006D4FC5">
        <w:rPr>
          <w:rFonts w:cs="Gautami"/>
        </w:rPr>
        <w:t>such that</w:t>
      </w:r>
      <w:r w:rsidR="006D4FC5" w:rsidRPr="00DF00BE">
        <w:rPr>
          <w:rFonts w:cs="Gautami"/>
        </w:rPr>
        <w:t xml:space="preserve"> </w:t>
      </w:r>
      <w:r w:rsidRPr="00DF00BE">
        <w:rPr>
          <w:rFonts w:cs="Gautami"/>
        </w:rPr>
        <w:t>the most recently-submitted data can be several years old. In addition, AEMO reported that capacity outlook data for certain Bulletin Board facilities is missing</w:t>
      </w:r>
      <w:r w:rsidR="006D4FC5">
        <w:rPr>
          <w:rFonts w:cs="Gautami"/>
        </w:rPr>
        <w:t>,</w:t>
      </w:r>
      <w:r w:rsidRPr="00DF00BE">
        <w:rPr>
          <w:rFonts w:cs="Gautami"/>
        </w:rPr>
        <w:t xml:space="preserve"> sometimes for a number of time periods. We considered a targeted compliance review would assist us to </w:t>
      </w:r>
      <w:r w:rsidR="006D4FC5">
        <w:rPr>
          <w:rFonts w:cs="Gautami"/>
        </w:rPr>
        <w:t>assess whether</w:t>
      </w:r>
      <w:r w:rsidRPr="00DF00BE">
        <w:rPr>
          <w:rFonts w:cs="Gautami"/>
        </w:rPr>
        <w:t xml:space="preserve"> parties have sufficient processes in place to </w:t>
      </w:r>
      <w:r w:rsidR="006D4FC5">
        <w:rPr>
          <w:rFonts w:cs="Gautami"/>
        </w:rPr>
        <w:t>facilitate</w:t>
      </w:r>
      <w:r w:rsidR="006D4FC5" w:rsidRPr="00DF00BE">
        <w:rPr>
          <w:rFonts w:cs="Gautami"/>
        </w:rPr>
        <w:t xml:space="preserve"> </w:t>
      </w:r>
      <w:r w:rsidRPr="00DF00BE">
        <w:rPr>
          <w:rFonts w:cs="Gautami"/>
        </w:rPr>
        <w:t xml:space="preserve">compliance with their information provision obligations set out in rules 165 and 171. </w:t>
      </w:r>
    </w:p>
    <w:p w:rsidR="00987FD1" w:rsidRPr="00DF00BE" w:rsidRDefault="00987FD1" w:rsidP="00987FD1">
      <w:pPr>
        <w:pStyle w:val="AERbodytext"/>
        <w:rPr>
          <w:rFonts w:cs="Gautami"/>
        </w:rPr>
      </w:pPr>
      <w:r w:rsidRPr="00DF00BE">
        <w:rPr>
          <w:rFonts w:cs="Gautami"/>
        </w:rPr>
        <w:t xml:space="preserve">We wrote to Origin Energy, Santos and Esso to ascertain their compliance approach with respect to clause 165. We also wrote to AEMO, in its role as a pipeline operator, to request information about its compliance with clause 171. In particular, we asked the three facility operators and AEMO to provide details of their systems and procedures </w:t>
      </w:r>
      <w:r w:rsidR="006D4FC5">
        <w:rPr>
          <w:rFonts w:cs="Gautami"/>
        </w:rPr>
        <w:t xml:space="preserve">around </w:t>
      </w:r>
      <w:r w:rsidR="006D4FC5" w:rsidRPr="00DF00BE">
        <w:rPr>
          <w:rFonts w:cs="Gautami"/>
        </w:rPr>
        <w:t>compl</w:t>
      </w:r>
      <w:r w:rsidR="006D4FC5">
        <w:rPr>
          <w:rFonts w:cs="Gautami"/>
        </w:rPr>
        <w:t>iance</w:t>
      </w:r>
      <w:r w:rsidR="006D4FC5" w:rsidRPr="00DF00BE">
        <w:rPr>
          <w:rFonts w:cs="Gautami"/>
        </w:rPr>
        <w:t xml:space="preserve"> </w:t>
      </w:r>
      <w:r w:rsidRPr="00DF00BE">
        <w:rPr>
          <w:rFonts w:cs="Gautami"/>
        </w:rPr>
        <w:t xml:space="preserve">with </w:t>
      </w:r>
      <w:r w:rsidR="006D4FC5">
        <w:rPr>
          <w:rFonts w:cs="Gautami"/>
        </w:rPr>
        <w:t>Bulletin Board information</w:t>
      </w:r>
      <w:r w:rsidR="006D4FC5" w:rsidRPr="00DF00BE">
        <w:rPr>
          <w:rFonts w:cs="Gautami"/>
        </w:rPr>
        <w:t xml:space="preserve"> </w:t>
      </w:r>
      <w:r w:rsidRPr="00DF00BE">
        <w:rPr>
          <w:rFonts w:cs="Gautami"/>
        </w:rPr>
        <w:t>requirement</w:t>
      </w:r>
      <w:r w:rsidR="006D4FC5">
        <w:rPr>
          <w:rFonts w:cs="Gautami"/>
        </w:rPr>
        <w:t>s</w:t>
      </w:r>
      <w:r w:rsidRPr="00DF00BE">
        <w:rPr>
          <w:rFonts w:cs="Gautami"/>
        </w:rPr>
        <w:t xml:space="preserve">, including details of any quality assurance process to ensure accurate three day capacity outlook. </w:t>
      </w:r>
    </w:p>
    <w:p w:rsidR="00987FD1" w:rsidRPr="00DF00BE" w:rsidRDefault="00987FD1" w:rsidP="00987FD1">
      <w:pPr>
        <w:pStyle w:val="AERbodytext"/>
        <w:rPr>
          <w:rFonts w:cs="Gautami"/>
        </w:rPr>
      </w:pPr>
      <w:r w:rsidRPr="00DF00BE">
        <w:rPr>
          <w:rFonts w:cs="Gautami"/>
        </w:rPr>
        <w:t xml:space="preserve">Overall, the responses appear to provide limited but sufficient detail regarding their approach to compliance with the provision of information on the Bulletin Board. Each facility operator described the process it has in place to submit the information to AEMO and </w:t>
      </w:r>
      <w:r w:rsidR="006D4FC5">
        <w:rPr>
          <w:rFonts w:cs="Gautami"/>
        </w:rPr>
        <w:t xml:space="preserve">to </w:t>
      </w:r>
      <w:r w:rsidRPr="00DF00BE">
        <w:rPr>
          <w:rFonts w:cs="Gautami"/>
        </w:rPr>
        <w:t xml:space="preserve">ensure the accuracy of this information. </w:t>
      </w:r>
    </w:p>
    <w:p w:rsidR="00987FD1" w:rsidRPr="00DF00BE" w:rsidRDefault="00987FD1" w:rsidP="00987FD1">
      <w:pPr>
        <w:pStyle w:val="AERbodytext"/>
        <w:rPr>
          <w:rFonts w:cs="Gautami"/>
        </w:rPr>
      </w:pPr>
      <w:r w:rsidRPr="00DF00BE">
        <w:rPr>
          <w:rFonts w:cs="Gautami"/>
        </w:rPr>
        <w:t xml:space="preserve">AEMO, in its response, identified two instances where it has not revised the 3 day capacity outlook to reflect a material change in pipeline capacity. To </w:t>
      </w:r>
      <w:r w:rsidR="006D4FC5">
        <w:rPr>
          <w:rFonts w:cs="Gautami"/>
        </w:rPr>
        <w:t>improve</w:t>
      </w:r>
      <w:r w:rsidR="006D4FC5" w:rsidRPr="00DF00BE">
        <w:rPr>
          <w:rFonts w:cs="Gautami"/>
        </w:rPr>
        <w:t xml:space="preserve"> </w:t>
      </w:r>
      <w:r w:rsidRPr="00DF00BE">
        <w:rPr>
          <w:rFonts w:cs="Gautami"/>
        </w:rPr>
        <w:t>compliance, AEMO is in the process of improving its system and procedures</w:t>
      </w:r>
      <w:r w:rsidR="00510E79">
        <w:rPr>
          <w:rFonts w:cs="Gautami"/>
        </w:rPr>
        <w:t xml:space="preserve">. This includes the </w:t>
      </w:r>
      <w:r w:rsidR="00510E79" w:rsidRPr="00DF00BE">
        <w:t xml:space="preserve">Gas Real Time Operations </w:t>
      </w:r>
      <w:r w:rsidR="00510E79">
        <w:t>team</w:t>
      </w:r>
      <w:r w:rsidR="00510E79" w:rsidRPr="00DF00BE">
        <w:t xml:space="preserve"> developing a system that will be used to update capacity outlook daily.</w:t>
      </w:r>
    </w:p>
    <w:p w:rsidR="00987FD1" w:rsidRPr="00576404" w:rsidRDefault="00987FD1" w:rsidP="00A74D4B">
      <w:pPr>
        <w:pStyle w:val="AERheading2"/>
        <w:numPr>
          <w:ilvl w:val="1"/>
          <w:numId w:val="13"/>
        </w:numPr>
        <w:tabs>
          <w:tab w:val="clear" w:pos="641"/>
        </w:tabs>
        <w:ind w:left="0" w:hanging="709"/>
        <w:jc w:val="both"/>
      </w:pPr>
      <w:bookmarkStart w:id="72" w:name="_Toc402445069"/>
      <w:bookmarkStart w:id="73" w:name="_Toc402445145"/>
      <w:bookmarkStart w:id="74" w:name="_Toc402445070"/>
      <w:bookmarkStart w:id="75" w:name="_Toc402445146"/>
      <w:bookmarkStart w:id="76" w:name="_Toc401344234"/>
      <w:bookmarkStart w:id="77" w:name="_Toc401350817"/>
      <w:bookmarkStart w:id="78" w:name="_Toc403477273"/>
      <w:bookmarkEnd w:id="72"/>
      <w:bookmarkEnd w:id="73"/>
      <w:bookmarkEnd w:id="74"/>
      <w:bookmarkEnd w:id="75"/>
      <w:bookmarkEnd w:id="76"/>
      <w:bookmarkEnd w:id="77"/>
      <w:r>
        <w:t>Missing data</w:t>
      </w:r>
      <w:bookmarkEnd w:id="78"/>
    </w:p>
    <w:p w:rsidR="00987FD1" w:rsidRDefault="00987FD1" w:rsidP="00987FD1">
      <w:pPr>
        <w:pStyle w:val="AERbodytext"/>
      </w:pPr>
      <w:r>
        <w:t xml:space="preserve">Under the Gas Rules, Bulletin Board facilities must submit a range of production and flow data to AEMO for publication on the Bulletin Board. This includes </w:t>
      </w:r>
      <w:r w:rsidRPr="00B50425">
        <w:t>daily pipeline nominated and forecast delivery data</w:t>
      </w:r>
      <w:r>
        <w:rPr>
          <w:rStyle w:val="FootnoteReference"/>
        </w:rPr>
        <w:footnoteReference w:id="15"/>
      </w:r>
      <w:r w:rsidRPr="00B50425">
        <w:t xml:space="preserve"> </w:t>
      </w:r>
      <w:r>
        <w:t xml:space="preserve">and </w:t>
      </w:r>
      <w:r w:rsidRPr="00B50425">
        <w:t>daily production and pipeline flow</w:t>
      </w:r>
      <w:r>
        <w:t xml:space="preserve"> data</w:t>
      </w:r>
      <w:r w:rsidR="00120CB1">
        <w:t>.</w:t>
      </w:r>
      <w:r>
        <w:rPr>
          <w:rStyle w:val="FootnoteReference"/>
        </w:rPr>
        <w:footnoteReference w:id="16"/>
      </w:r>
      <w:r w:rsidRPr="00B50425">
        <w:t xml:space="preserve"> During the quarter, </w:t>
      </w:r>
      <w:r>
        <w:t>one</w:t>
      </w:r>
      <w:r w:rsidRPr="00B50425">
        <w:t xml:space="preserve"> facility operator failed on </w:t>
      </w:r>
      <w:r>
        <w:t xml:space="preserve">two </w:t>
      </w:r>
      <w:r w:rsidRPr="00B50425">
        <w:t xml:space="preserve">occasions to submit firm nomination Bulletin Board data to AEMO on the relevant gas day. </w:t>
      </w:r>
      <w:r>
        <w:t>Further</w:t>
      </w:r>
      <w:r w:rsidRPr="00B50425">
        <w:t xml:space="preserve">, </w:t>
      </w:r>
      <w:r>
        <w:t>six</w:t>
      </w:r>
      <w:r w:rsidRPr="00B50425">
        <w:t xml:space="preserve"> facility operators failed to submit daily flow Bulletin Board data to AEMO</w:t>
      </w:r>
      <w:r>
        <w:t xml:space="preserve"> </w:t>
      </w:r>
      <w:r w:rsidRPr="00B50425">
        <w:t xml:space="preserve">on </w:t>
      </w:r>
      <w:r w:rsidR="0077514B">
        <w:t xml:space="preserve">a total of </w:t>
      </w:r>
      <w:r>
        <w:t>26</w:t>
      </w:r>
      <w:r w:rsidRPr="00B50425">
        <w:t xml:space="preserve"> occasions.</w:t>
      </w:r>
    </w:p>
    <w:p w:rsidR="00987FD1" w:rsidRDefault="00987FD1" w:rsidP="00987FD1">
      <w:pPr>
        <w:pStyle w:val="AERbodytext"/>
      </w:pPr>
      <w:r>
        <w:t>We will continue to monitor participants’ compliance with the Bulletin Board requirements of the Gas Rules. In particular, we will be engaging with Bulletin Board facility operators over the next quarter to ensure they are updating their short term capacity outlook in accordance with requirements of the Gas Rules.</w:t>
      </w:r>
    </w:p>
    <w:p w:rsidR="00987FD1" w:rsidRPr="00860DB5" w:rsidRDefault="00987FD1" w:rsidP="00D861CC">
      <w:pPr>
        <w:pStyle w:val="QCRHeading1"/>
        <w:tabs>
          <w:tab w:val="clear" w:pos="357"/>
          <w:tab w:val="num" w:pos="0"/>
        </w:tabs>
        <w:ind w:left="0" w:hanging="709"/>
        <w:jc w:val="both"/>
      </w:pPr>
      <w:bookmarkStart w:id="79" w:name="_Toc401344236"/>
      <w:bookmarkStart w:id="80" w:name="_Toc401350819"/>
      <w:bookmarkStart w:id="81" w:name="_Toc403477274"/>
      <w:bookmarkEnd w:id="79"/>
      <w:bookmarkEnd w:id="80"/>
      <w:r w:rsidRPr="00860DB5">
        <w:lastRenderedPageBreak/>
        <w:t>Electricity</w:t>
      </w:r>
      <w:bookmarkEnd w:id="81"/>
    </w:p>
    <w:p w:rsidR="00987FD1" w:rsidRPr="00405B4F" w:rsidRDefault="00987FD1" w:rsidP="00987FD1">
      <w:pPr>
        <w:pStyle w:val="AERbodytext"/>
      </w:pPr>
      <w:r>
        <w:t>We are</w:t>
      </w:r>
      <w:r w:rsidRPr="00405B4F">
        <w:t xml:space="preserve"> responsible for monitoring, investigating and enforcing compliance under the Electricity Law and Rules.</w:t>
      </w:r>
      <w:r w:rsidR="008D74BF">
        <w:t xml:space="preserve"> </w:t>
      </w:r>
      <w:r w:rsidRPr="00405B4F">
        <w:t>This part of the report provides an update on investigations</w:t>
      </w:r>
      <w:r>
        <w:t>,</w:t>
      </w:r>
      <w:r w:rsidRPr="00405B4F">
        <w:t xml:space="preserve"> compliance matters </w:t>
      </w:r>
      <w:r>
        <w:t xml:space="preserve">and projects </w:t>
      </w:r>
      <w:r w:rsidRPr="00405B4F">
        <w:t xml:space="preserve">in the </w:t>
      </w:r>
      <w:r>
        <w:t xml:space="preserve">electricity </w:t>
      </w:r>
      <w:r w:rsidRPr="00405B4F">
        <w:t>market.</w:t>
      </w:r>
      <w:r>
        <w:t xml:space="preserve"> </w:t>
      </w:r>
    </w:p>
    <w:p w:rsidR="00987FD1" w:rsidRPr="005F3BE7" w:rsidRDefault="00987FD1" w:rsidP="00D861CC">
      <w:pPr>
        <w:pStyle w:val="AERheading2"/>
        <w:numPr>
          <w:ilvl w:val="1"/>
          <w:numId w:val="13"/>
        </w:numPr>
        <w:tabs>
          <w:tab w:val="clear" w:pos="641"/>
        </w:tabs>
        <w:ind w:left="0" w:hanging="709"/>
        <w:jc w:val="both"/>
      </w:pPr>
      <w:bookmarkStart w:id="82" w:name="_Toc403477275"/>
      <w:r w:rsidRPr="005F3BE7">
        <w:t>Rebidding</w:t>
      </w:r>
      <w:bookmarkEnd w:id="82"/>
      <w:r w:rsidRPr="005F3BE7">
        <w:t xml:space="preserve"> </w:t>
      </w:r>
    </w:p>
    <w:p w:rsidR="00987FD1" w:rsidRPr="00405B4F" w:rsidRDefault="00987FD1" w:rsidP="00987FD1">
      <w:pPr>
        <w:pStyle w:val="AERbodytext"/>
      </w:pPr>
      <w:r w:rsidRPr="00405B4F">
        <w:t xml:space="preserve">Scheduled generators and market participants operating in the </w:t>
      </w:r>
      <w:r w:rsidRPr="00302DE6">
        <w:t>NEM</w:t>
      </w:r>
      <w:r w:rsidRPr="00405B4F">
        <w:t xml:space="preserve"> submit electricity offers and bids for each half hour trading interval. The offers and bids include available capacity for up to 10 price bands, and can be varied through rebidding.</w:t>
      </w:r>
      <w:r w:rsidRPr="00405B4F">
        <w:rPr>
          <w:vertAlign w:val="superscript"/>
        </w:rPr>
        <w:footnoteReference w:id="17"/>
      </w:r>
    </w:p>
    <w:p w:rsidR="00987FD1" w:rsidRPr="000D2D9C" w:rsidRDefault="00987FD1" w:rsidP="00987FD1">
      <w:pPr>
        <w:pStyle w:val="AERbodytext"/>
        <w:rPr>
          <w:highlight w:val="yellow"/>
        </w:rPr>
      </w:pPr>
      <w:r>
        <w:t>We</w:t>
      </w:r>
      <w:r w:rsidRPr="00405B4F">
        <w:t xml:space="preserve"> adopted a new strategy in relation to enforcing generator rebidding reason r</w:t>
      </w:r>
      <w:r>
        <w:t>equirements in</w:t>
      </w:r>
      <w:r w:rsidR="002B3CB4">
        <w:t xml:space="preserve"> late</w:t>
      </w:r>
      <w:r>
        <w:t xml:space="preserve"> 2010</w:t>
      </w:r>
      <w:r w:rsidRPr="00405B4F">
        <w:t>.</w:t>
      </w:r>
      <w:r w:rsidRPr="00405B4F">
        <w:rPr>
          <w:vertAlign w:val="superscript"/>
        </w:rPr>
        <w:footnoteReference w:id="18"/>
      </w:r>
      <w:r w:rsidRPr="00405B4F">
        <w:t xml:space="preserve"> Generators that submit </w:t>
      </w:r>
      <w:proofErr w:type="gramStart"/>
      <w:r w:rsidRPr="00405B4F">
        <w:t>offer,</w:t>
      </w:r>
      <w:proofErr w:type="gramEnd"/>
      <w:r w:rsidRPr="00405B4F">
        <w:t xml:space="preserve"> bid and/or rebid information that does not meet the requirements of the Electricity Rules will receive two warnings. On the third warning within six months, </w:t>
      </w:r>
      <w:r>
        <w:t>we</w:t>
      </w:r>
      <w:r w:rsidRPr="00405B4F">
        <w:t xml:space="preserve"> will consider issuing an infringement notice. </w:t>
      </w:r>
      <w:r>
        <w:t xml:space="preserve">A </w:t>
      </w:r>
      <w:r w:rsidRPr="00405B4F">
        <w:t xml:space="preserve">participant’s warning count </w:t>
      </w:r>
      <w:r>
        <w:t xml:space="preserve">is set </w:t>
      </w:r>
      <w:r w:rsidRPr="00405B4F">
        <w:t>to zero</w:t>
      </w:r>
      <w:r>
        <w:t xml:space="preserve"> after six months</w:t>
      </w:r>
      <w:r w:rsidRPr="00405B4F">
        <w:t xml:space="preserve">. </w:t>
      </w:r>
    </w:p>
    <w:p w:rsidR="00987FD1" w:rsidRDefault="003753E1" w:rsidP="00987FD1">
      <w:pPr>
        <w:pStyle w:val="AERbodytext"/>
      </w:pPr>
      <w:r>
        <w:fldChar w:fldCharType="begin"/>
      </w:r>
      <w:r>
        <w:instrText xml:space="preserve"> REF _Ref401740496 \w \h </w:instrText>
      </w:r>
      <w:r>
        <w:fldChar w:fldCharType="separate"/>
      </w:r>
      <w:r w:rsidR="00BA0A46">
        <w:t>Figure 2.1</w:t>
      </w:r>
      <w:r>
        <w:fldChar w:fldCharType="end"/>
      </w:r>
      <w:r>
        <w:t xml:space="preserve"> </w:t>
      </w:r>
      <w:r w:rsidR="00987FD1" w:rsidRPr="00405B4F">
        <w:t>shows that</w:t>
      </w:r>
      <w:r w:rsidR="0077514B">
        <w:t>, with the exception of this quarter,</w:t>
      </w:r>
      <w:r w:rsidR="00987FD1" w:rsidRPr="00405B4F">
        <w:t xml:space="preserve"> the number of rebids detected by </w:t>
      </w:r>
      <w:r w:rsidR="00987FD1">
        <w:t>our</w:t>
      </w:r>
      <w:r w:rsidR="00987FD1" w:rsidRPr="00405B4F">
        <w:t xml:space="preserve"> internal compliance system has fallen markedly</w:t>
      </w:r>
      <w:r w:rsidR="0077514B" w:rsidRPr="0077514B">
        <w:t xml:space="preserve"> </w:t>
      </w:r>
      <w:r w:rsidR="0077514B" w:rsidRPr="00405B4F">
        <w:t>since 201</w:t>
      </w:r>
      <w:r w:rsidR="0077514B">
        <w:t>1</w:t>
      </w:r>
      <w:r w:rsidR="00987FD1" w:rsidRPr="00405B4F">
        <w:t xml:space="preserve">. </w:t>
      </w:r>
    </w:p>
    <w:p w:rsidR="00987FD1" w:rsidRPr="00950C37" w:rsidRDefault="00987FD1" w:rsidP="00A74D4B">
      <w:pPr>
        <w:pStyle w:val="AERfigureheading"/>
        <w:tabs>
          <w:tab w:val="clear" w:pos="1474"/>
          <w:tab w:val="clear" w:pos="6169"/>
          <w:tab w:val="left" w:pos="1276"/>
        </w:tabs>
        <w:ind w:left="1276" w:hanging="1276"/>
        <w:jc w:val="both"/>
      </w:pPr>
      <w:bookmarkStart w:id="83" w:name="_Ref401740496"/>
      <w:r w:rsidRPr="00950C37">
        <w:t>Rebids auto-triggered and reviewed per week</w:t>
      </w:r>
      <w:bookmarkEnd w:id="83"/>
      <w:r w:rsidR="0077514B">
        <w:t xml:space="preserve"> from January 2010</w:t>
      </w:r>
    </w:p>
    <w:p w:rsidR="00987FD1" w:rsidRDefault="0021718A" w:rsidP="00987FD1">
      <w:pPr>
        <w:pStyle w:val="AERbodytext"/>
      </w:pPr>
      <w:r>
        <w:rPr>
          <w:noProof/>
          <w:lang w:eastAsia="en-AU"/>
        </w:rPr>
        <w:pict>
          <v:shape id="_x0000_i1030" type="#_x0000_t75" style="width:451.55pt;height:224.75pt;visibility:visible">
            <v:imagedata r:id="rId25" o:title=""/>
          </v:shape>
        </w:pict>
      </w:r>
    </w:p>
    <w:p w:rsidR="00987FD1" w:rsidRDefault="00987FD1" w:rsidP="00987FD1">
      <w:pPr>
        <w:pStyle w:val="AERbodytext"/>
      </w:pPr>
      <w:r>
        <w:t>The significant increase in the number of counts of rebids that the automatic systems have triggered for review is due to the failure of an automated bidding system by one participant that submitt</w:t>
      </w:r>
      <w:r w:rsidR="00473141">
        <w:t>ed</w:t>
      </w:r>
      <w:r>
        <w:t xml:space="preserve"> rebids without a time adduced. This </w:t>
      </w:r>
      <w:r w:rsidR="002B3CB4">
        <w:t xml:space="preserve">issue was raised with the </w:t>
      </w:r>
      <w:r>
        <w:t>participant</w:t>
      </w:r>
      <w:r w:rsidR="002B3CB4">
        <w:t>, who</w:t>
      </w:r>
      <w:r>
        <w:t xml:space="preserve"> adjust</w:t>
      </w:r>
      <w:r w:rsidR="008D74BF">
        <w:t>ed</w:t>
      </w:r>
      <w:r>
        <w:t xml:space="preserve"> their systems.</w:t>
      </w:r>
    </w:p>
    <w:p w:rsidR="00987FD1" w:rsidRPr="0059623E" w:rsidRDefault="003753E1" w:rsidP="00987FD1">
      <w:pPr>
        <w:pStyle w:val="AERbodytext"/>
      </w:pPr>
      <w:r>
        <w:lastRenderedPageBreak/>
        <w:fldChar w:fldCharType="begin"/>
      </w:r>
      <w:r>
        <w:instrText xml:space="preserve"> REF _Ref401740530 \w \h </w:instrText>
      </w:r>
      <w:r>
        <w:fldChar w:fldCharType="separate"/>
      </w:r>
      <w:r w:rsidR="00BA0A46">
        <w:t>Figure 2.2</w:t>
      </w:r>
      <w:r>
        <w:fldChar w:fldCharType="end"/>
      </w:r>
      <w:r w:rsidR="00987FD1">
        <w:t xml:space="preserve"> shows </w:t>
      </w:r>
      <w:r w:rsidR="0077514B">
        <w:t xml:space="preserve">that </w:t>
      </w:r>
      <w:r w:rsidR="00987FD1">
        <w:t xml:space="preserve">once the number of counts related to </w:t>
      </w:r>
      <w:r w:rsidR="001F3B81">
        <w:t xml:space="preserve">the relevant participant’s </w:t>
      </w:r>
      <w:r w:rsidR="00987FD1">
        <w:t xml:space="preserve">rebidding has been excluded, the remaining number of rebids detected by our automatic rebidding analysis systems is consistent with the trend which has developed since </w:t>
      </w:r>
      <w:r w:rsidR="001F3B81">
        <w:t>2011</w:t>
      </w:r>
      <w:r w:rsidR="00987FD1">
        <w:t>.</w:t>
      </w:r>
    </w:p>
    <w:p w:rsidR="00987FD1" w:rsidRPr="00950C37" w:rsidRDefault="00987FD1" w:rsidP="00A74D4B">
      <w:pPr>
        <w:pStyle w:val="AERfigureheading"/>
        <w:tabs>
          <w:tab w:val="clear" w:pos="1474"/>
          <w:tab w:val="clear" w:pos="6169"/>
          <w:tab w:val="left" w:pos="1276"/>
        </w:tabs>
        <w:ind w:left="1276" w:hanging="1276"/>
        <w:jc w:val="both"/>
      </w:pPr>
      <w:bookmarkStart w:id="84" w:name="_Ref401740530"/>
      <w:r w:rsidRPr="00950C37">
        <w:t>Rebids auto-triggered and reviewed per week</w:t>
      </w:r>
      <w:bookmarkEnd w:id="84"/>
      <w:r w:rsidR="0077514B" w:rsidRPr="0077514B">
        <w:t xml:space="preserve"> </w:t>
      </w:r>
      <w:r w:rsidR="0077514B">
        <w:t>from January 2010 (adjusted)</w:t>
      </w:r>
    </w:p>
    <w:p w:rsidR="00987FD1" w:rsidRDefault="0021718A" w:rsidP="00987FD1">
      <w:pPr>
        <w:jc w:val="both"/>
        <w:rPr>
          <w:noProof/>
        </w:rPr>
      </w:pPr>
      <w:r>
        <w:rPr>
          <w:noProof/>
          <w:lang w:eastAsia="en-AU"/>
        </w:rPr>
        <w:pict>
          <v:shape id="_x0000_i1031" type="#_x0000_t75" style="width:451.55pt;height:224.75pt;visibility:visible">
            <v:imagedata r:id="rId26" o:title=""/>
          </v:shape>
        </w:pict>
      </w:r>
    </w:p>
    <w:p w:rsidR="00987FD1" w:rsidRDefault="00987FD1" w:rsidP="00987FD1">
      <w:pPr>
        <w:jc w:val="both"/>
        <w:rPr>
          <w:noProof/>
        </w:rPr>
      </w:pPr>
    </w:p>
    <w:p w:rsidR="00987FD1" w:rsidRDefault="00987FD1" w:rsidP="00987FD1">
      <w:pPr>
        <w:pStyle w:val="AERbodytext"/>
      </w:pPr>
      <w:r>
        <w:t>There were no warnings issued d</w:t>
      </w:r>
      <w:r w:rsidRPr="00950C37">
        <w:t xml:space="preserve">uring the </w:t>
      </w:r>
      <w:r w:rsidR="00510E79">
        <w:t>September</w:t>
      </w:r>
      <w:r w:rsidR="00510E79" w:rsidRPr="00950C37">
        <w:t xml:space="preserve"> </w:t>
      </w:r>
      <w:r w:rsidRPr="00950C37">
        <w:t>quarter</w:t>
      </w:r>
      <w:r>
        <w:t xml:space="preserve">. The AER received 11 </w:t>
      </w:r>
      <w:r w:rsidR="00F54E24">
        <w:t>self-reporting</w:t>
      </w:r>
      <w:r>
        <w:t xml:space="preserve"> n</w:t>
      </w:r>
      <w:r w:rsidR="00F54E24">
        <w:t>o</w:t>
      </w:r>
      <w:r>
        <w:t xml:space="preserve">tices from participants regarding </w:t>
      </w:r>
      <w:r w:rsidRPr="00950C37">
        <w:t>error</w:t>
      </w:r>
      <w:r>
        <w:t>s</w:t>
      </w:r>
      <w:r w:rsidRPr="00950C37">
        <w:t xml:space="preserve"> in their rebids </w:t>
      </w:r>
      <w:r>
        <w:t xml:space="preserve">during the quarter and two participants had their warning counts reset to zero. </w:t>
      </w:r>
    </w:p>
    <w:p w:rsidR="00881E7C" w:rsidRDefault="00FE77EF" w:rsidP="00A74D4B">
      <w:pPr>
        <w:pStyle w:val="AERheading2"/>
        <w:numPr>
          <w:ilvl w:val="1"/>
          <w:numId w:val="13"/>
        </w:numPr>
        <w:tabs>
          <w:tab w:val="clear" w:pos="641"/>
        </w:tabs>
        <w:ind w:left="0" w:hanging="709"/>
        <w:jc w:val="both"/>
      </w:pPr>
      <w:bookmarkStart w:id="85" w:name="_Toc401344240"/>
      <w:bookmarkStart w:id="86" w:name="_Toc401350823"/>
      <w:bookmarkStart w:id="87" w:name="_Toc403477276"/>
      <w:bookmarkEnd w:id="85"/>
      <w:bookmarkEnd w:id="86"/>
      <w:r>
        <w:t xml:space="preserve">Hydro Tasmania </w:t>
      </w:r>
      <w:r w:rsidR="00051CAD">
        <w:t>– management of dam levels</w:t>
      </w:r>
      <w:bookmarkEnd w:id="87"/>
    </w:p>
    <w:p w:rsidR="00C935CB" w:rsidRPr="00F4580F" w:rsidRDefault="00881E7C" w:rsidP="00A74D4B">
      <w:pPr>
        <w:pStyle w:val="AERbodytext"/>
      </w:pPr>
      <w:r w:rsidRPr="00F4580F">
        <w:t>In late June 2014</w:t>
      </w:r>
      <w:r w:rsidR="00401E9B">
        <w:t>,</w:t>
      </w:r>
      <w:r w:rsidRPr="00F4580F">
        <w:t xml:space="preserve"> Hydro Tasmania </w:t>
      </w:r>
      <w:r w:rsidR="00401E9B">
        <w:t xml:space="preserve">raised </w:t>
      </w:r>
      <w:r w:rsidRPr="00F4580F">
        <w:t xml:space="preserve">a potential safety issue with one of the smaller dams in its portfolio. The issue related primarily to </w:t>
      </w:r>
      <w:r w:rsidR="009D13CA">
        <w:t>the possibility</w:t>
      </w:r>
      <w:r w:rsidRPr="00F4580F">
        <w:t xml:space="preserve"> of damage to assets if sufficient rain was received to </w:t>
      </w:r>
      <w:r w:rsidR="00EC5436" w:rsidRPr="00F4580F">
        <w:t>over</w:t>
      </w:r>
      <w:r w:rsidR="00EC5436">
        <w:t>top</w:t>
      </w:r>
      <w:r w:rsidR="00EC5436" w:rsidRPr="00F4580F">
        <w:t xml:space="preserve"> </w:t>
      </w:r>
      <w:r w:rsidRPr="00F4580F">
        <w:t xml:space="preserve">the dam wall.  This </w:t>
      </w:r>
      <w:r w:rsidR="00401E9B">
        <w:t>was</w:t>
      </w:r>
      <w:r w:rsidRPr="00F4580F">
        <w:t xml:space="preserve"> </w:t>
      </w:r>
      <w:r w:rsidR="00F4580F">
        <w:t xml:space="preserve">due to </w:t>
      </w:r>
      <w:r w:rsidR="001F3B81" w:rsidRPr="00F4580F">
        <w:t xml:space="preserve">a </w:t>
      </w:r>
      <w:r w:rsidRPr="00F4580F">
        <w:t>significant reduction in the operation of the embedded hydro generator</w:t>
      </w:r>
      <w:r w:rsidR="00990953" w:rsidRPr="00F4580F">
        <w:t>s</w:t>
      </w:r>
      <w:r w:rsidR="00401E9B">
        <w:t>, which led to</w:t>
      </w:r>
      <w:r w:rsidRPr="00F4580F">
        <w:t xml:space="preserve"> </w:t>
      </w:r>
      <w:r w:rsidR="00401E9B">
        <w:t xml:space="preserve">higher </w:t>
      </w:r>
      <w:r w:rsidR="00F4580F" w:rsidRPr="00F4580F">
        <w:t xml:space="preserve">dam </w:t>
      </w:r>
      <w:r w:rsidRPr="00F4580F">
        <w:t>water levels compared to normal</w:t>
      </w:r>
      <w:r w:rsidR="00F4580F">
        <w:t xml:space="preserve"> levels </w:t>
      </w:r>
      <w:r w:rsidR="00401E9B">
        <w:t>for</w:t>
      </w:r>
      <w:r w:rsidR="00401E9B" w:rsidRPr="00F4580F">
        <w:t xml:space="preserve"> </w:t>
      </w:r>
      <w:r w:rsidR="00F828C4" w:rsidRPr="00F4580F">
        <w:t xml:space="preserve">that </w:t>
      </w:r>
      <w:r w:rsidRPr="00F4580F">
        <w:t xml:space="preserve">point of the season.  With </w:t>
      </w:r>
      <w:r w:rsidR="00401E9B">
        <w:t>most of</w:t>
      </w:r>
      <w:r w:rsidRPr="00F4580F">
        <w:t xml:space="preserve"> winter remaining</w:t>
      </w:r>
      <w:r w:rsidR="00F828C4" w:rsidRPr="00F4580F">
        <w:t>,</w:t>
      </w:r>
      <w:r w:rsidRPr="00F4580F">
        <w:t xml:space="preserve"> </w:t>
      </w:r>
      <w:r w:rsidR="00F4580F" w:rsidRPr="00F4580F">
        <w:t xml:space="preserve">Hydro Tasmania </w:t>
      </w:r>
      <w:r w:rsidR="00F4580F">
        <w:t xml:space="preserve">considered there was a </w:t>
      </w:r>
      <w:r w:rsidR="009D13CA">
        <w:t>possibi</w:t>
      </w:r>
      <w:r w:rsidR="00F4580F">
        <w:t xml:space="preserve">lity </w:t>
      </w:r>
      <w:r w:rsidRPr="00F4580F">
        <w:t>of</w:t>
      </w:r>
      <w:r w:rsidR="00F4580F">
        <w:t xml:space="preserve"> sufficient</w:t>
      </w:r>
      <w:r w:rsidRPr="00F4580F">
        <w:t xml:space="preserve"> rain to</w:t>
      </w:r>
      <w:r w:rsidR="00F4580F">
        <w:t xml:space="preserve"> cause water to</w:t>
      </w:r>
      <w:r w:rsidRPr="00F4580F">
        <w:t xml:space="preserve"> </w:t>
      </w:r>
      <w:r w:rsidR="00FE77EF" w:rsidRPr="00F4580F">
        <w:t>over</w:t>
      </w:r>
      <w:r w:rsidR="00FE77EF">
        <w:t>top</w:t>
      </w:r>
      <w:r w:rsidR="00FE77EF" w:rsidRPr="00F4580F">
        <w:t xml:space="preserve"> </w:t>
      </w:r>
      <w:r w:rsidRPr="00F4580F">
        <w:t>the dam wall.</w:t>
      </w:r>
      <w:r w:rsidR="00C935CB">
        <w:t xml:space="preserve"> </w:t>
      </w:r>
    </w:p>
    <w:p w:rsidR="00DC5047" w:rsidRDefault="00881E7C" w:rsidP="00EC7B97">
      <w:pPr>
        <w:pStyle w:val="AERbodytext"/>
      </w:pPr>
      <w:r w:rsidRPr="00F4580F">
        <w:t xml:space="preserve">While Hydro Tasmania </w:t>
      </w:r>
      <w:r w:rsidR="00DC5047" w:rsidRPr="00F4580F">
        <w:t>was</w:t>
      </w:r>
      <w:r w:rsidRPr="00F4580F">
        <w:t xml:space="preserve"> pursuing a range of mitigation strategies to reduce </w:t>
      </w:r>
      <w:r w:rsidR="002A378F">
        <w:t>water</w:t>
      </w:r>
      <w:r w:rsidR="00401E9B">
        <w:t xml:space="preserve"> </w:t>
      </w:r>
      <w:r w:rsidRPr="00F4580F">
        <w:t>level</w:t>
      </w:r>
      <w:r w:rsidR="00401E9B">
        <w:t>s</w:t>
      </w:r>
      <w:r w:rsidR="001F3B81" w:rsidRPr="00F4580F">
        <w:t>,</w:t>
      </w:r>
      <w:r w:rsidRPr="00F4580F">
        <w:t xml:space="preserve"> these would not </w:t>
      </w:r>
      <w:r w:rsidR="00DC5047">
        <w:t>prevent</w:t>
      </w:r>
      <w:r w:rsidRPr="00F4580F">
        <w:t xml:space="preserve"> </w:t>
      </w:r>
      <w:r w:rsidR="00FE77EF" w:rsidRPr="00F4580F">
        <w:t>over</w:t>
      </w:r>
      <w:r w:rsidR="00FE77EF">
        <w:t xml:space="preserve">topping </w:t>
      </w:r>
      <w:r w:rsidR="002A378F">
        <w:t>in the event of</w:t>
      </w:r>
      <w:r w:rsidR="00275C66">
        <w:t xml:space="preserve"> high rainfall.</w:t>
      </w:r>
      <w:r w:rsidRPr="00F4580F">
        <w:t xml:space="preserve"> </w:t>
      </w:r>
      <w:r w:rsidR="00C935CB">
        <w:t xml:space="preserve">Hydro Tasmania </w:t>
      </w:r>
      <w:r w:rsidR="0012207E">
        <w:t xml:space="preserve">indicated </w:t>
      </w:r>
      <w:r w:rsidR="00401E9B">
        <w:t xml:space="preserve">the best way to manage dam levels was to </w:t>
      </w:r>
      <w:r w:rsidR="0012207E">
        <w:t>operat</w:t>
      </w:r>
      <w:r w:rsidR="00401E9B">
        <w:t>e</w:t>
      </w:r>
      <w:r w:rsidR="0012207E">
        <w:t xml:space="preserve"> </w:t>
      </w:r>
      <w:r w:rsidR="00C935CB">
        <w:t xml:space="preserve">the relevant hydro units </w:t>
      </w:r>
      <w:r w:rsidR="00DC5047">
        <w:t>and export</w:t>
      </w:r>
      <w:r w:rsidR="0012207E">
        <w:t xml:space="preserve"> the energy to the grid. </w:t>
      </w:r>
      <w:r w:rsidR="00EC7B97">
        <w:t xml:space="preserve">However, </w:t>
      </w:r>
      <w:r w:rsidR="00A712FE">
        <w:t xml:space="preserve">Hydro Tasmania did not have a </w:t>
      </w:r>
      <w:r w:rsidR="00965B2B">
        <w:t xml:space="preserve">direct </w:t>
      </w:r>
      <w:r w:rsidR="00C76CFE">
        <w:t xml:space="preserve">connection </w:t>
      </w:r>
      <w:r w:rsidR="00DC5047">
        <w:t>to the transmission network</w:t>
      </w:r>
      <w:r w:rsidR="002A378F">
        <w:t>;</w:t>
      </w:r>
      <w:r w:rsidR="00965B2B">
        <w:t xml:space="preserve"> the</w:t>
      </w:r>
      <w:r w:rsidR="00DC5047">
        <w:t xml:space="preserve"> </w:t>
      </w:r>
      <w:r w:rsidR="00FE77EF">
        <w:t>hydro</w:t>
      </w:r>
      <w:r w:rsidR="00DC5047">
        <w:t xml:space="preserve"> units </w:t>
      </w:r>
      <w:r w:rsidR="00965B2B">
        <w:t xml:space="preserve">were embedded units supplying </w:t>
      </w:r>
      <w:r w:rsidR="00FE77EF">
        <w:t>a load customer in Tasmania</w:t>
      </w:r>
      <w:r w:rsidR="00965B2B">
        <w:t>, who h</w:t>
      </w:r>
      <w:r w:rsidR="00DC5047">
        <w:t>el</w:t>
      </w:r>
      <w:r w:rsidR="006D33D8">
        <w:t>d the relevant</w:t>
      </w:r>
      <w:r w:rsidR="00965B2B">
        <w:t xml:space="preserve"> connection </w:t>
      </w:r>
      <w:r w:rsidR="006D33D8">
        <w:t>arrange</w:t>
      </w:r>
      <w:r w:rsidR="00965B2B">
        <w:t>ment</w:t>
      </w:r>
      <w:r w:rsidR="00DC5047">
        <w:t xml:space="preserve"> with TasNetworks</w:t>
      </w:r>
      <w:r w:rsidR="00EC7B97">
        <w:t xml:space="preserve">. </w:t>
      </w:r>
    </w:p>
    <w:p w:rsidR="00DC5047" w:rsidRDefault="00EC7B97" w:rsidP="00EC7B97">
      <w:pPr>
        <w:pStyle w:val="AERbodytext"/>
      </w:pPr>
      <w:r>
        <w:t>This raised a number of issues under the Rules</w:t>
      </w:r>
      <w:r w:rsidR="00DC5047">
        <w:t xml:space="preserve"> around:</w:t>
      </w:r>
    </w:p>
    <w:p w:rsidR="00965B2B" w:rsidRDefault="00541682" w:rsidP="00FD47A4">
      <w:pPr>
        <w:pStyle w:val="AERbulletlistsecondstyle"/>
      </w:pPr>
      <w:r>
        <w:t xml:space="preserve">Whether a connection arrangement would remain prescribed under clause 11.6.11 if the </w:t>
      </w:r>
      <w:r w:rsidRPr="00881E7C">
        <w:t>network service provider</w:t>
      </w:r>
      <w:r>
        <w:t xml:space="preserve"> requested </w:t>
      </w:r>
      <w:r w:rsidR="002A378F">
        <w:t>a</w:t>
      </w:r>
      <w:r>
        <w:t xml:space="preserve"> change to the arrangement</w:t>
      </w:r>
      <w:r w:rsidR="00473141">
        <w:t>, and</w:t>
      </w:r>
    </w:p>
    <w:p w:rsidR="00881E7C" w:rsidRPr="00881E7C" w:rsidRDefault="00B06D56" w:rsidP="00FD47A4">
      <w:pPr>
        <w:pStyle w:val="AERbulletlistsecondstyle"/>
      </w:pPr>
      <w:r>
        <w:t>Whether the units could export energy to the grid without a direct connection and contrary to the terms of the existing connection arrangement</w:t>
      </w:r>
      <w:r w:rsidR="00881E7C" w:rsidRPr="00881E7C">
        <w:t>.</w:t>
      </w:r>
    </w:p>
    <w:p w:rsidR="00881E7C" w:rsidRPr="00881E7C" w:rsidRDefault="00881E7C" w:rsidP="00A74D4B">
      <w:pPr>
        <w:pStyle w:val="AERbodytext"/>
      </w:pPr>
      <w:r w:rsidRPr="00881E7C">
        <w:lastRenderedPageBreak/>
        <w:t>After extensive discussion with AEMO, TasNetworks and Hydro Tasmania</w:t>
      </w:r>
      <w:r w:rsidR="00B06D56">
        <w:t>, we issued</w:t>
      </w:r>
      <w:r w:rsidRPr="00881E7C">
        <w:t xml:space="preserve"> letters of no action </w:t>
      </w:r>
      <w:r w:rsidR="00B06D56">
        <w:t xml:space="preserve">to allow </w:t>
      </w:r>
      <w:r w:rsidR="00B06D56" w:rsidRPr="00881E7C">
        <w:t>dispatch of the generation into the network without a formal connection agreement</w:t>
      </w:r>
      <w:r w:rsidR="00B06D56">
        <w:t>, subject to a perm</w:t>
      </w:r>
      <w:r w:rsidR="002B311D">
        <w:t>anent solution</w:t>
      </w:r>
      <w:r w:rsidRPr="00881E7C">
        <w:t xml:space="preserve">.  </w:t>
      </w:r>
      <w:r w:rsidR="00B06D56">
        <w:t>We</w:t>
      </w:r>
      <w:r w:rsidR="00473141">
        <w:t xml:space="preserve"> continue to</w:t>
      </w:r>
      <w:r w:rsidRPr="00881E7C">
        <w:t xml:space="preserve"> receive reports on the success of the water level management, developments with respect to a formal connection arrangement and overall arrangements to avoid a recurrence of </w:t>
      </w:r>
      <w:r w:rsidR="00473141">
        <w:t>similar issues</w:t>
      </w:r>
      <w:r w:rsidRPr="00881E7C">
        <w:t>. </w:t>
      </w:r>
    </w:p>
    <w:p w:rsidR="00987FD1" w:rsidRPr="007C5152" w:rsidRDefault="00987FD1" w:rsidP="00A74D4B">
      <w:pPr>
        <w:pStyle w:val="AERheading2"/>
        <w:numPr>
          <w:ilvl w:val="1"/>
          <w:numId w:val="13"/>
        </w:numPr>
        <w:tabs>
          <w:tab w:val="clear" w:pos="641"/>
        </w:tabs>
        <w:ind w:left="0" w:hanging="709"/>
        <w:jc w:val="both"/>
      </w:pPr>
      <w:bookmarkStart w:id="88" w:name="_Toc403477277"/>
      <w:r w:rsidRPr="007C5152">
        <w:t>Jurisdictional derogations</w:t>
      </w:r>
      <w:bookmarkEnd w:id="88"/>
    </w:p>
    <w:p w:rsidR="00987FD1" w:rsidRPr="00282302" w:rsidRDefault="00987FD1" w:rsidP="00987FD1">
      <w:pPr>
        <w:pStyle w:val="AERbodytext"/>
      </w:pPr>
      <w:r w:rsidRPr="00282302">
        <w:t xml:space="preserve">Chapter 9 derogations exempt Victorian smelter traders, </w:t>
      </w:r>
      <w:r w:rsidRPr="00233252">
        <w:t>New South Wales power traders</w:t>
      </w:r>
      <w:r w:rsidRPr="00282302">
        <w:t xml:space="preserve"> and Queensland nominated generators (for the purposes of exempted generator agreements) from complying with the Electricity Rules to the extent there exists: </w:t>
      </w:r>
    </w:p>
    <w:p w:rsidR="00987FD1" w:rsidRPr="00282302" w:rsidRDefault="00987FD1" w:rsidP="00987FD1">
      <w:pPr>
        <w:pStyle w:val="AERbulletlistsecondstyle"/>
      </w:pPr>
      <w:r w:rsidRPr="00282302">
        <w:t>any inconsistency between the Rules and a contractual requirement under the relevant agreement between the government and other entities</w:t>
      </w:r>
    </w:p>
    <w:p w:rsidR="00987FD1" w:rsidRPr="00282302" w:rsidRDefault="00987FD1" w:rsidP="00987FD1">
      <w:pPr>
        <w:pStyle w:val="AERbulletlistsecondstyle"/>
      </w:pPr>
      <w:proofErr w:type="gramStart"/>
      <w:r w:rsidRPr="00282302">
        <w:t>any</w:t>
      </w:r>
      <w:proofErr w:type="gramEnd"/>
      <w:r w:rsidRPr="00282302">
        <w:t xml:space="preserve"> other specified exemption in the jurisdictional derogations.</w:t>
      </w:r>
      <w:r w:rsidRPr="00282302">
        <w:rPr>
          <w:rStyle w:val="FootnoteReference"/>
          <w:lang w:eastAsia="en-AU"/>
        </w:rPr>
        <w:footnoteReference w:id="19"/>
      </w:r>
      <w:r w:rsidRPr="00282302">
        <w:t xml:space="preserve"> </w:t>
      </w:r>
    </w:p>
    <w:p w:rsidR="00987FD1" w:rsidRDefault="00987FD1" w:rsidP="00987FD1">
      <w:pPr>
        <w:pStyle w:val="AERbodytext"/>
      </w:pPr>
      <w:r w:rsidRPr="00282302">
        <w:rPr>
          <w:lang w:eastAsia="en-AU"/>
        </w:rPr>
        <w:t xml:space="preserve">The relevant participants must give </w:t>
      </w:r>
      <w:r>
        <w:rPr>
          <w:lang w:eastAsia="en-AU"/>
        </w:rPr>
        <w:t>us notice</w:t>
      </w:r>
      <w:r w:rsidRPr="00282302">
        <w:rPr>
          <w:lang w:eastAsia="en-AU"/>
        </w:rPr>
        <w:t xml:space="preserve"> of any act or omission which partly or wholly constitutes non-compliance with the Electricity Rules.</w:t>
      </w:r>
      <w:r w:rsidRPr="00282302">
        <w:t xml:space="preserve"> No instances of non-compliance were reported this quarter.</w:t>
      </w:r>
    </w:p>
    <w:p w:rsidR="00987FD1" w:rsidRDefault="00987FD1" w:rsidP="0008159A">
      <w:pPr>
        <w:pStyle w:val="AERheading2"/>
        <w:numPr>
          <w:ilvl w:val="1"/>
          <w:numId w:val="13"/>
        </w:numPr>
        <w:tabs>
          <w:tab w:val="clear" w:pos="641"/>
        </w:tabs>
        <w:ind w:left="0" w:hanging="709"/>
        <w:jc w:val="both"/>
      </w:pPr>
      <w:bookmarkStart w:id="89" w:name="_Toc403477278"/>
      <w:r w:rsidRPr="007C5152">
        <w:t>Current transformer testing</w:t>
      </w:r>
      <w:bookmarkEnd w:id="89"/>
    </w:p>
    <w:p w:rsidR="00987FD1" w:rsidRPr="00673EE0" w:rsidRDefault="00987FD1" w:rsidP="003102A2">
      <w:pPr>
        <w:pStyle w:val="AERbodytext"/>
      </w:pPr>
      <w:r w:rsidRPr="003102A2">
        <w:t xml:space="preserve">The Electricity Rules require current transformers </w:t>
      </w:r>
      <w:r w:rsidR="001F3B81" w:rsidRPr="003102A2">
        <w:t>(</w:t>
      </w:r>
      <w:r w:rsidR="001F3B81" w:rsidRPr="00A74D4B">
        <w:rPr>
          <w:b/>
        </w:rPr>
        <w:t>CTs</w:t>
      </w:r>
      <w:r w:rsidR="001F3B81" w:rsidRPr="003102A2">
        <w:t xml:space="preserve">) </w:t>
      </w:r>
      <w:r w:rsidRPr="00673EE0">
        <w:t xml:space="preserve">to be tested every 10 years, unless it is the subject of an asset management strategy </w:t>
      </w:r>
      <w:r w:rsidR="003102A2" w:rsidRPr="00A74D4B">
        <w:t>that defines an alternative testing practice (other than time</w:t>
      </w:r>
      <w:r w:rsidR="00141C62">
        <w:t>-</w:t>
      </w:r>
      <w:r w:rsidR="003102A2" w:rsidRPr="00A74D4B">
        <w:t xml:space="preserve">based) </w:t>
      </w:r>
      <w:r w:rsidRPr="003102A2">
        <w:t xml:space="preserve">which has been approved by </w:t>
      </w:r>
      <w:r w:rsidRPr="00673EE0">
        <w:t>AEMO.</w:t>
      </w:r>
      <w:r w:rsidR="00673EE0">
        <w:rPr>
          <w:rStyle w:val="FootnoteReference"/>
        </w:rPr>
        <w:footnoteReference w:id="20"/>
      </w:r>
      <w:r w:rsidRPr="00673EE0">
        <w:t xml:space="preserve"> </w:t>
      </w:r>
    </w:p>
    <w:p w:rsidR="00987FD1" w:rsidRPr="00D8084A" w:rsidRDefault="00987FD1" w:rsidP="00987FD1">
      <w:pPr>
        <w:pStyle w:val="AERbodytext"/>
      </w:pPr>
      <w:r w:rsidRPr="00C07829">
        <w:t xml:space="preserve">In 2011, </w:t>
      </w:r>
      <w:r>
        <w:t xml:space="preserve">AEMO alerted </w:t>
      </w:r>
      <w:r w:rsidRPr="00C07829">
        <w:t xml:space="preserve">the </w:t>
      </w:r>
      <w:r w:rsidRPr="00D8084A">
        <w:t xml:space="preserve">AER </w:t>
      </w:r>
      <w:r w:rsidRPr="00C07829">
        <w:t xml:space="preserve">to a widespread failure by </w:t>
      </w:r>
      <w:r>
        <w:t>Responsible Persons (</w:t>
      </w:r>
      <w:r w:rsidRPr="00A74D4B">
        <w:rPr>
          <w:b/>
        </w:rPr>
        <w:t>RPs</w:t>
      </w:r>
      <w:r>
        <w:t>)</w:t>
      </w:r>
      <w:r w:rsidRPr="00C07829">
        <w:t xml:space="preserve"> to test low voltage </w:t>
      </w:r>
      <w:r>
        <w:t>CTs</w:t>
      </w:r>
      <w:r w:rsidRPr="00C07829">
        <w:t xml:space="preserve"> in accordance with the Electricity Rules. In response we released a </w:t>
      </w:r>
      <w:hyperlink r:id="rId27" w:history="1">
        <w:r w:rsidRPr="00460EFA">
          <w:t>Compliance Bulletin</w:t>
        </w:r>
      </w:hyperlink>
      <w:r w:rsidRPr="00C07829">
        <w:t xml:space="preserve"> outlining </w:t>
      </w:r>
      <w:r w:rsidR="003102A2">
        <w:t xml:space="preserve">our interpretation of the Rules and </w:t>
      </w:r>
      <w:r w:rsidRPr="00C07829">
        <w:t xml:space="preserve">our expectations </w:t>
      </w:r>
      <w:r w:rsidR="003102A2">
        <w:t>that</w:t>
      </w:r>
      <w:r w:rsidRPr="00C07829">
        <w:t xml:space="preserve"> RPs comply with the testing requirements by testing a sample of their metering </w:t>
      </w:r>
      <w:r>
        <w:t>installations</w:t>
      </w:r>
      <w:r w:rsidRPr="00C07829">
        <w:t xml:space="preserve"> </w:t>
      </w:r>
      <w:r w:rsidR="00D80F52">
        <w:t>in accordance with an</w:t>
      </w:r>
      <w:r w:rsidR="00D80F52" w:rsidRPr="00D80F52">
        <w:t xml:space="preserve"> </w:t>
      </w:r>
      <w:r w:rsidR="00D80F52">
        <w:t xml:space="preserve">alternative testing practice or </w:t>
      </w:r>
      <w:r w:rsidR="00141C62">
        <w:t>10</w:t>
      </w:r>
      <w:r w:rsidR="00D80F52">
        <w:t>% of low voltage CTs per annum</w:t>
      </w:r>
      <w:r w:rsidR="00D80F52" w:rsidRPr="00D80F52">
        <w:t xml:space="preserve"> </w:t>
      </w:r>
      <w:r w:rsidR="00D80F52" w:rsidRPr="00C07829">
        <w:t>from 1 July 2012</w:t>
      </w:r>
      <w:r w:rsidRPr="00C07829">
        <w:t xml:space="preserve">. Following a review of testing </w:t>
      </w:r>
      <w:r>
        <w:t xml:space="preserve">undertaken </w:t>
      </w:r>
      <w:r w:rsidRPr="00C07829">
        <w:t>to 30 June 2013, we established that Red Energy did not complete the required testing.</w:t>
      </w:r>
      <w:r>
        <w:t xml:space="preserve"> In response, the AER issued an infringement penalty notice to Red Energy in February 2014.</w:t>
      </w:r>
      <w:r>
        <w:rPr>
          <w:rStyle w:val="FootnoteReference"/>
        </w:rPr>
        <w:footnoteReference w:id="21"/>
      </w:r>
      <w:r>
        <w:t xml:space="preserve"> </w:t>
      </w:r>
    </w:p>
    <w:p w:rsidR="00987FD1" w:rsidRDefault="00987FD1" w:rsidP="00987FD1">
      <w:pPr>
        <w:pStyle w:val="AERbodytext"/>
      </w:pPr>
      <w:r>
        <w:t>In the September quarter, AEMO provided the AER with an update regarding industry</w:t>
      </w:r>
      <w:r w:rsidRPr="00415075">
        <w:t xml:space="preserve"> </w:t>
      </w:r>
      <w:r w:rsidRPr="00C07829">
        <w:t>low voltage</w:t>
      </w:r>
      <w:r>
        <w:t xml:space="preserve"> CT testing levels</w:t>
      </w:r>
      <w:r w:rsidR="003102A2">
        <w:t xml:space="preserve"> in accordance with the </w:t>
      </w:r>
      <w:r w:rsidR="003102A2" w:rsidRPr="00304199">
        <w:t>asset management strategy</w:t>
      </w:r>
      <w:r>
        <w:t xml:space="preserve">. In particular, the update </w:t>
      </w:r>
      <w:r w:rsidR="00510E79">
        <w:t>highlighted a number of</w:t>
      </w:r>
      <w:r>
        <w:t xml:space="preserve"> RPs who had chosen, but were not meeting, the alternative testing practice prescribed for low voltage CT testing. The update did not include an assessment of RPs who </w:t>
      </w:r>
      <w:proofErr w:type="gramStart"/>
      <w:r>
        <w:t>have</w:t>
      </w:r>
      <w:proofErr w:type="gramEnd"/>
      <w:r>
        <w:t xml:space="preserve"> chosen to test 10% of low voltage CTs per year. AEMO will provide this information to the AER next year.</w:t>
      </w:r>
    </w:p>
    <w:p w:rsidR="00987FD1" w:rsidRDefault="00510E79" w:rsidP="00987FD1">
      <w:pPr>
        <w:pStyle w:val="AERbodytext"/>
      </w:pPr>
      <w:r>
        <w:t>The lack of</w:t>
      </w:r>
      <w:r w:rsidR="00987FD1">
        <w:t xml:space="preserve"> compliance presented in AEMO’s report</w:t>
      </w:r>
      <w:r>
        <w:t xml:space="preserve"> is of concern</w:t>
      </w:r>
      <w:r w:rsidR="00987FD1">
        <w:t xml:space="preserve">. </w:t>
      </w:r>
      <w:r>
        <w:t>We will, however,</w:t>
      </w:r>
      <w:r w:rsidR="00987FD1">
        <w:t xml:space="preserve"> review AEMO’s final compliance report to the AER regarding the RPs who test low voltage CTs in accordance with the alternative testing practice</w:t>
      </w:r>
      <w:r>
        <w:t xml:space="preserve">, which </w:t>
      </w:r>
      <w:r w:rsidR="00987FD1">
        <w:t>is due to the AER in early 2015</w:t>
      </w:r>
      <w:r>
        <w:t>, before determining what action if any is appropriate.</w:t>
      </w:r>
      <w:r w:rsidR="00987FD1">
        <w:t xml:space="preserve"> </w:t>
      </w:r>
    </w:p>
    <w:p w:rsidR="00CC583E" w:rsidRDefault="00C12985" w:rsidP="00DC7B00">
      <w:pPr>
        <w:pStyle w:val="AERunnumberedheading"/>
      </w:pPr>
      <w:bookmarkStart w:id="90" w:name="_Toc400973148"/>
      <w:bookmarkStart w:id="91" w:name="_Toc212011732"/>
      <w:bookmarkStart w:id="92" w:name="_Toc212011733"/>
      <w:bookmarkStart w:id="93" w:name="_Toc212011734"/>
      <w:bookmarkStart w:id="94" w:name="_Toc212011740"/>
      <w:bookmarkStart w:id="95" w:name="_Toc361240109"/>
      <w:bookmarkStart w:id="96" w:name="_Toc354138200"/>
      <w:bookmarkStart w:id="97" w:name="_Toc400973172"/>
      <w:bookmarkStart w:id="98" w:name="_Toc403477279"/>
      <w:bookmarkEnd w:id="26"/>
      <w:bookmarkEnd w:id="90"/>
      <w:bookmarkEnd w:id="91"/>
      <w:bookmarkEnd w:id="92"/>
      <w:bookmarkEnd w:id="93"/>
      <w:bookmarkEnd w:id="94"/>
      <w:bookmarkEnd w:id="95"/>
      <w:bookmarkEnd w:id="96"/>
      <w:r w:rsidRPr="00860DB5">
        <w:lastRenderedPageBreak/>
        <w:t xml:space="preserve">Appendix </w:t>
      </w:r>
      <w:r w:rsidR="00D70B3E">
        <w:t>A</w:t>
      </w:r>
      <w:r w:rsidR="00B64284">
        <w:t xml:space="preserve">:  </w:t>
      </w:r>
      <w:r>
        <w:t>Shortened forms</w:t>
      </w:r>
      <w:bookmarkEnd w:id="97"/>
      <w:bookmarkEnd w:id="98"/>
      <w:r w:rsidRPr="00860DB5">
        <w:t xml:space="preserve"> </w:t>
      </w:r>
    </w:p>
    <w:tbl>
      <w:tblPr>
        <w:tblStyle w:val="AERtable-text"/>
        <w:tblW w:w="0" w:type="auto"/>
        <w:tblLook w:val="01E0" w:firstRow="1" w:lastRow="1" w:firstColumn="1" w:lastColumn="1" w:noHBand="0" w:noVBand="0"/>
      </w:tblPr>
      <w:tblGrid>
        <w:gridCol w:w="2263"/>
        <w:gridCol w:w="6012"/>
      </w:tblGrid>
      <w:tr w:rsidR="00285EC2" w:rsidRPr="009A7BFC" w:rsidTr="00912C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097C53" w:rsidRDefault="00285EC2" w:rsidP="00097C53">
            <w:pPr>
              <w:pStyle w:val="AERtabletextheading"/>
              <w:rPr>
                <w:bCs w:val="0"/>
                <w:sz w:val="20"/>
                <w:szCs w:val="20"/>
              </w:rPr>
            </w:pPr>
            <w:r w:rsidRPr="00097C53">
              <w:rPr>
                <w:bCs w:val="0"/>
                <w:sz w:val="20"/>
                <w:szCs w:val="20"/>
              </w:rPr>
              <w:t>Shortened form</w:t>
            </w:r>
          </w:p>
        </w:tc>
        <w:tc>
          <w:tcPr>
            <w:tcW w:w="6012" w:type="dxa"/>
          </w:tcPr>
          <w:p w:rsidR="00285EC2" w:rsidRPr="00097C53" w:rsidRDefault="00285EC2" w:rsidP="00097C53">
            <w:pPr>
              <w:pStyle w:val="AERtabletextheading"/>
              <w:cnfStyle w:val="100000000000" w:firstRow="1" w:lastRow="0" w:firstColumn="0" w:lastColumn="0" w:oddVBand="0" w:evenVBand="0" w:oddHBand="0" w:evenHBand="0" w:firstRowFirstColumn="0" w:firstRowLastColumn="0" w:lastRowFirstColumn="0" w:lastRowLastColumn="0"/>
              <w:rPr>
                <w:bCs w:val="0"/>
                <w:sz w:val="20"/>
                <w:szCs w:val="20"/>
              </w:rPr>
            </w:pPr>
            <w:r w:rsidRPr="00097C53">
              <w:rPr>
                <w:bCs w:val="0"/>
                <w:sz w:val="20"/>
                <w:szCs w:val="20"/>
              </w:rPr>
              <w:t>Full title</w:t>
            </w:r>
          </w:p>
        </w:tc>
      </w:tr>
      <w:tr w:rsidR="00660D97" w:rsidRPr="00BA1378"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660D97" w:rsidRPr="00097C53" w:rsidRDefault="00660D97" w:rsidP="00097C53">
            <w:pPr>
              <w:pStyle w:val="AERtabletext"/>
              <w:spacing w:before="60" w:after="60"/>
              <w:rPr>
                <w:rFonts w:cs="Gautami"/>
                <w:sz w:val="20"/>
                <w:szCs w:val="20"/>
              </w:rPr>
            </w:pPr>
            <w:r w:rsidRPr="00097C53">
              <w:rPr>
                <w:rFonts w:cs="Gautami"/>
                <w:sz w:val="20"/>
                <w:szCs w:val="20"/>
              </w:rPr>
              <w:t xml:space="preserve">ACCC </w:t>
            </w:r>
          </w:p>
        </w:tc>
        <w:tc>
          <w:tcPr>
            <w:tcW w:w="6012" w:type="dxa"/>
          </w:tcPr>
          <w:p w:rsidR="00660D97" w:rsidRPr="00170D31" w:rsidRDefault="00D059AD" w:rsidP="00097C53">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hyperlink r:id="rId28" w:history="1">
              <w:r w:rsidR="00660D97" w:rsidRPr="00170D31">
                <w:rPr>
                  <w:rStyle w:val="Hyperlink"/>
                  <w:rFonts w:cs="Gautami"/>
                  <w:color w:val="auto"/>
                  <w:sz w:val="20"/>
                  <w:szCs w:val="20"/>
                  <w:u w:val="none"/>
                </w:rPr>
                <w:t>Australian Competition &amp; Consumer Commission</w:t>
              </w:r>
            </w:hyperlink>
            <w:r w:rsidR="00660D97" w:rsidRPr="00170D31">
              <w:rPr>
                <w:rFonts w:cs="Gautami"/>
                <w:sz w:val="20"/>
                <w:szCs w:val="20"/>
              </w:rPr>
              <w:t xml:space="preserve"> </w:t>
            </w:r>
          </w:p>
        </w:tc>
      </w:tr>
      <w:tr w:rsidR="00660D97" w:rsidRPr="00BA1378"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660D97" w:rsidRPr="00097C53" w:rsidRDefault="00660D97" w:rsidP="00097C53">
            <w:pPr>
              <w:pStyle w:val="AERtabletext"/>
              <w:spacing w:before="60" w:after="60"/>
              <w:rPr>
                <w:rFonts w:cs="Gautami"/>
                <w:sz w:val="20"/>
                <w:szCs w:val="20"/>
              </w:rPr>
            </w:pPr>
            <w:r w:rsidRPr="00097C53">
              <w:rPr>
                <w:rFonts w:cs="Gautami"/>
                <w:sz w:val="20"/>
                <w:szCs w:val="20"/>
              </w:rPr>
              <w:t>AEMO</w:t>
            </w:r>
          </w:p>
        </w:tc>
        <w:tc>
          <w:tcPr>
            <w:tcW w:w="6012" w:type="dxa"/>
          </w:tcPr>
          <w:p w:rsidR="00660D97" w:rsidRPr="00170D31" w:rsidRDefault="00D059AD" w:rsidP="00097C53">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hyperlink r:id="rId29" w:history="1">
              <w:r w:rsidR="00660D97" w:rsidRPr="00170D31">
                <w:rPr>
                  <w:rStyle w:val="Hyperlink"/>
                  <w:rFonts w:cs="Gautami"/>
                  <w:color w:val="auto"/>
                  <w:sz w:val="20"/>
                  <w:szCs w:val="20"/>
                  <w:u w:val="none"/>
                </w:rPr>
                <w:t>Australian Energy Market Operator</w:t>
              </w:r>
            </w:hyperlink>
          </w:p>
        </w:tc>
      </w:tr>
      <w:tr w:rsidR="00660D97" w:rsidRPr="00BA1378"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660D97" w:rsidRPr="00097C53" w:rsidRDefault="00660D97" w:rsidP="00097C53">
            <w:pPr>
              <w:pStyle w:val="AERtabletext"/>
              <w:spacing w:before="60" w:after="60"/>
              <w:rPr>
                <w:rFonts w:cs="Gautami"/>
                <w:sz w:val="20"/>
                <w:szCs w:val="20"/>
              </w:rPr>
            </w:pPr>
            <w:r w:rsidRPr="00097C53">
              <w:rPr>
                <w:rFonts w:cs="Gautami"/>
                <w:sz w:val="20"/>
                <w:szCs w:val="20"/>
              </w:rPr>
              <w:t xml:space="preserve">AER </w:t>
            </w:r>
          </w:p>
        </w:tc>
        <w:tc>
          <w:tcPr>
            <w:tcW w:w="6012" w:type="dxa"/>
          </w:tcPr>
          <w:p w:rsidR="00660D97" w:rsidRPr="00170D31" w:rsidRDefault="00D059AD" w:rsidP="00097C53">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hyperlink r:id="rId30" w:history="1">
              <w:r w:rsidR="00660D97" w:rsidRPr="00170D31">
                <w:rPr>
                  <w:rStyle w:val="Hyperlink"/>
                  <w:rFonts w:cs="Gautami"/>
                  <w:color w:val="auto"/>
                  <w:sz w:val="20"/>
                  <w:szCs w:val="20"/>
                  <w:u w:val="none"/>
                </w:rPr>
                <w:t>Australian Energy Regulator</w:t>
              </w:r>
            </w:hyperlink>
          </w:p>
        </w:tc>
      </w:tr>
      <w:tr w:rsidR="00EB11D1" w:rsidRPr="00BA1378"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097C53">
            <w:pPr>
              <w:pStyle w:val="AERtabletext"/>
              <w:spacing w:before="60" w:after="60"/>
              <w:rPr>
                <w:rFonts w:cs="Gautami"/>
                <w:sz w:val="20"/>
                <w:szCs w:val="20"/>
              </w:rPr>
            </w:pPr>
            <w:r>
              <w:rPr>
                <w:rFonts w:cs="Gautami"/>
                <w:sz w:val="20"/>
                <w:szCs w:val="20"/>
              </w:rPr>
              <w:t>BOD</w:t>
            </w:r>
          </w:p>
        </w:tc>
        <w:tc>
          <w:tcPr>
            <w:tcW w:w="6012" w:type="dxa"/>
          </w:tcPr>
          <w:p w:rsidR="00EB11D1" w:rsidRPr="00170D31" w:rsidRDefault="00EB11D1" w:rsidP="00097C53">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iCs/>
                <w:sz w:val="20"/>
                <w:szCs w:val="20"/>
              </w:rPr>
              <w:t>Balance-of-day</w:t>
            </w:r>
          </w:p>
        </w:tc>
      </w:tr>
      <w:tr w:rsidR="00EB11D1" w:rsidRPr="00BA1378"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097C53">
            <w:pPr>
              <w:pStyle w:val="AERtabletext"/>
              <w:spacing w:before="60" w:after="60"/>
              <w:rPr>
                <w:rFonts w:cs="Gautami"/>
                <w:sz w:val="20"/>
                <w:szCs w:val="20"/>
              </w:rPr>
            </w:pPr>
            <w:r>
              <w:rPr>
                <w:rFonts w:cs="Gautami"/>
                <w:sz w:val="20"/>
                <w:szCs w:val="20"/>
              </w:rPr>
              <w:t>Bulletin Board</w:t>
            </w:r>
            <w:r w:rsidRPr="00097C53" w:rsidDel="00660D97">
              <w:rPr>
                <w:rFonts w:cs="Gautami"/>
                <w:sz w:val="20"/>
                <w:szCs w:val="20"/>
              </w:rPr>
              <w:t xml:space="preserve"> </w:t>
            </w:r>
          </w:p>
        </w:tc>
        <w:tc>
          <w:tcPr>
            <w:tcW w:w="6012" w:type="dxa"/>
          </w:tcPr>
          <w:p w:rsidR="00EB11D1" w:rsidRPr="00170D31" w:rsidRDefault="00EB11D1" w:rsidP="00D861CC">
            <w:pPr>
              <w:pStyle w:val="AERtabletext"/>
              <w:tabs>
                <w:tab w:val="left" w:pos="1171"/>
              </w:tabs>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Pr>
                <w:rFonts w:cs="Gautami"/>
                <w:sz w:val="20"/>
                <w:szCs w:val="20"/>
              </w:rPr>
              <w:t>Natural Gas Service Bulletin Board</w:t>
            </w:r>
            <w:r>
              <w:rPr>
                <w:rFonts w:cs="Gautami"/>
                <w:sz w:val="20"/>
                <w:szCs w:val="20"/>
              </w:rPr>
              <w:tab/>
            </w:r>
          </w:p>
        </w:tc>
      </w:tr>
      <w:tr w:rsidR="00EB11D1" w:rsidRPr="00BA1378"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097C53">
            <w:pPr>
              <w:pStyle w:val="AERtabletext"/>
              <w:spacing w:before="60" w:after="60"/>
              <w:rPr>
                <w:rFonts w:cs="Gautami"/>
                <w:sz w:val="20"/>
                <w:szCs w:val="20"/>
              </w:rPr>
            </w:pPr>
            <w:r>
              <w:rPr>
                <w:rFonts w:cs="Gautami"/>
                <w:sz w:val="20"/>
                <w:szCs w:val="20"/>
              </w:rPr>
              <w:t>CT</w:t>
            </w:r>
          </w:p>
        </w:tc>
        <w:tc>
          <w:tcPr>
            <w:tcW w:w="6012" w:type="dxa"/>
          </w:tcPr>
          <w:p w:rsidR="00EB11D1" w:rsidRPr="00170D31" w:rsidRDefault="00EB11D1" w:rsidP="00097C53">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Current Transformer</w:t>
            </w:r>
          </w:p>
        </w:tc>
      </w:tr>
      <w:tr w:rsidR="00EB11D1" w:rsidRPr="00170D31"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Pr>
                <w:rFonts w:cs="Gautami"/>
                <w:sz w:val="20"/>
                <w:szCs w:val="20"/>
              </w:rPr>
              <w:t>DTS</w:t>
            </w:r>
          </w:p>
        </w:tc>
        <w:tc>
          <w:tcPr>
            <w:tcW w:w="6012" w:type="dxa"/>
          </w:tcPr>
          <w:p w:rsidR="00EB11D1" w:rsidRPr="00170D31" w:rsidRDefault="00EB11D1" w:rsidP="00283860">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Pr>
                <w:rFonts w:cs="Gautami"/>
                <w:sz w:val="20"/>
                <w:szCs w:val="20"/>
              </w:rPr>
              <w:t>Declared Transmission System</w:t>
            </w:r>
          </w:p>
        </w:tc>
      </w:tr>
      <w:tr w:rsidR="00EB11D1" w:rsidRPr="00170D31"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 xml:space="preserve">Electricity Law </w:t>
            </w:r>
          </w:p>
        </w:tc>
        <w:tc>
          <w:tcPr>
            <w:tcW w:w="6012" w:type="dxa"/>
          </w:tcPr>
          <w:p w:rsidR="00EB11D1" w:rsidRPr="00170D31" w:rsidRDefault="00EB11D1" w:rsidP="00283860">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170D31">
              <w:rPr>
                <w:rFonts w:cs="Gautami"/>
                <w:sz w:val="20"/>
                <w:szCs w:val="20"/>
              </w:rPr>
              <w:t>National Electricity Law (Schedule to the National Electricity Act)</w:t>
            </w:r>
          </w:p>
        </w:tc>
      </w:tr>
      <w:tr w:rsidR="00EB11D1" w:rsidRPr="00170D31"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 xml:space="preserve">Electricity Rules </w:t>
            </w:r>
          </w:p>
        </w:tc>
        <w:tc>
          <w:tcPr>
            <w:tcW w:w="6012" w:type="dxa"/>
          </w:tcPr>
          <w:p w:rsidR="00EB11D1" w:rsidRPr="00170D31" w:rsidRDefault="00EB11D1" w:rsidP="00283860">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170D31">
              <w:rPr>
                <w:rFonts w:cs="Gautami"/>
                <w:sz w:val="20"/>
                <w:szCs w:val="20"/>
              </w:rPr>
              <w:t xml:space="preserve">The </w:t>
            </w:r>
            <w:hyperlink r:id="rId31" w:history="1">
              <w:r w:rsidRPr="00D861CC">
                <w:rPr>
                  <w:rStyle w:val="Hyperlink"/>
                  <w:rFonts w:cs="Gautami"/>
                  <w:sz w:val="20"/>
                  <w:szCs w:val="20"/>
                </w:rPr>
                <w:t>National Electricity Rules</w:t>
              </w:r>
            </w:hyperlink>
            <w:r w:rsidRPr="00170D31">
              <w:rPr>
                <w:rFonts w:cs="Gautami"/>
                <w:sz w:val="20"/>
                <w:szCs w:val="20"/>
              </w:rPr>
              <w:t xml:space="preserve"> made under Part 7 of the Electricity Law </w:t>
            </w:r>
          </w:p>
        </w:tc>
      </w:tr>
      <w:tr w:rsidR="00EB11D1" w:rsidRPr="00170D31"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 xml:space="preserve">Gas Law </w:t>
            </w:r>
          </w:p>
        </w:tc>
        <w:tc>
          <w:tcPr>
            <w:tcW w:w="6012" w:type="dxa"/>
          </w:tcPr>
          <w:p w:rsidR="00EB11D1" w:rsidRPr="00170D31" w:rsidRDefault="00EB11D1" w:rsidP="00283860">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170D31">
              <w:rPr>
                <w:rFonts w:cs="Gautami"/>
                <w:sz w:val="20"/>
                <w:szCs w:val="20"/>
              </w:rPr>
              <w:t>National Gas Law (Schedule to the National Gas Act)</w:t>
            </w:r>
          </w:p>
        </w:tc>
      </w:tr>
      <w:tr w:rsidR="00EB11D1" w:rsidRPr="00170D31"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Gas Regulations</w:t>
            </w:r>
          </w:p>
        </w:tc>
        <w:tc>
          <w:tcPr>
            <w:tcW w:w="6012" w:type="dxa"/>
          </w:tcPr>
          <w:p w:rsidR="00EB11D1" w:rsidRPr="00170D31" w:rsidRDefault="00EB11D1" w:rsidP="00283860">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D861CC">
              <w:rPr>
                <w:rFonts w:cs="Gautami"/>
                <w:sz w:val="20"/>
                <w:szCs w:val="20"/>
              </w:rPr>
              <w:t xml:space="preserve">The </w:t>
            </w:r>
            <w:hyperlink r:id="rId32" w:history="1">
              <w:r w:rsidRPr="00D861CC">
                <w:rPr>
                  <w:rStyle w:val="Hyperlink"/>
                  <w:rFonts w:cs="Gautami"/>
                  <w:sz w:val="20"/>
                  <w:szCs w:val="20"/>
                </w:rPr>
                <w:t>National Gas (South Australia) Regulations</w:t>
              </w:r>
            </w:hyperlink>
            <w:r w:rsidRPr="00D861CC">
              <w:rPr>
                <w:rFonts w:cs="Gautami"/>
                <w:sz w:val="20"/>
                <w:szCs w:val="20"/>
              </w:rPr>
              <w:t xml:space="preserve"> made under the National Gas Act</w:t>
            </w:r>
          </w:p>
        </w:tc>
      </w:tr>
      <w:tr w:rsidR="00EB11D1" w:rsidRPr="00170D31"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 xml:space="preserve">Gas Rules </w:t>
            </w:r>
          </w:p>
        </w:tc>
        <w:tc>
          <w:tcPr>
            <w:tcW w:w="6012" w:type="dxa"/>
          </w:tcPr>
          <w:p w:rsidR="00EB11D1" w:rsidRPr="00170D31" w:rsidRDefault="00EB11D1" w:rsidP="00283860">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170D31">
              <w:rPr>
                <w:rFonts w:cs="Gautami"/>
                <w:sz w:val="20"/>
                <w:szCs w:val="20"/>
              </w:rPr>
              <w:t xml:space="preserve">The </w:t>
            </w:r>
            <w:hyperlink r:id="rId33" w:history="1">
              <w:r w:rsidRPr="00D861CC">
                <w:rPr>
                  <w:rStyle w:val="Hyperlink"/>
                  <w:rFonts w:cs="Gautami"/>
                  <w:sz w:val="20"/>
                  <w:szCs w:val="20"/>
                </w:rPr>
                <w:t>National Gas Rules</w:t>
              </w:r>
            </w:hyperlink>
            <w:r w:rsidRPr="00170D31">
              <w:rPr>
                <w:rFonts w:cs="Gautami"/>
                <w:sz w:val="20"/>
                <w:szCs w:val="20"/>
              </w:rPr>
              <w:t xml:space="preserve"> made under Part 9 of the Gas Law</w:t>
            </w:r>
          </w:p>
        </w:tc>
      </w:tr>
      <w:tr w:rsidR="00EB11D1" w:rsidRPr="00170D31"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Pr>
                <w:rFonts w:cs="Gautami"/>
                <w:sz w:val="20"/>
                <w:szCs w:val="20"/>
              </w:rPr>
              <w:t>GSH</w:t>
            </w:r>
          </w:p>
        </w:tc>
        <w:tc>
          <w:tcPr>
            <w:tcW w:w="6012" w:type="dxa"/>
          </w:tcPr>
          <w:p w:rsidR="00EB11D1" w:rsidRPr="00170D31" w:rsidRDefault="00EB11D1" w:rsidP="00283860">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Pr>
                <w:rFonts w:cs="Gautami"/>
                <w:sz w:val="20"/>
                <w:szCs w:val="20"/>
              </w:rPr>
              <w:t>Gas Supply Hub</w:t>
            </w:r>
          </w:p>
        </w:tc>
      </w:tr>
      <w:tr w:rsidR="00EB11D1" w:rsidRPr="00170D31"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GJ</w:t>
            </w:r>
          </w:p>
        </w:tc>
        <w:tc>
          <w:tcPr>
            <w:tcW w:w="6012" w:type="dxa"/>
          </w:tcPr>
          <w:p w:rsidR="00EB11D1" w:rsidRPr="00170D31" w:rsidRDefault="00EB11D1" w:rsidP="00283860">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170D31">
              <w:rPr>
                <w:rFonts w:cs="Gautami"/>
                <w:sz w:val="20"/>
                <w:szCs w:val="20"/>
              </w:rPr>
              <w:t>Gigajoule</w:t>
            </w:r>
          </w:p>
        </w:tc>
      </w:tr>
      <w:tr w:rsidR="00EB11D1" w:rsidRPr="00170D31"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MAP</w:t>
            </w:r>
          </w:p>
        </w:tc>
        <w:tc>
          <w:tcPr>
            <w:tcW w:w="6012" w:type="dxa"/>
          </w:tcPr>
          <w:p w:rsidR="00EB11D1" w:rsidRPr="00170D31" w:rsidRDefault="00EB11D1" w:rsidP="00283860">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170D31">
              <w:rPr>
                <w:rFonts w:cs="Gautami"/>
                <w:sz w:val="20"/>
                <w:szCs w:val="20"/>
              </w:rPr>
              <w:t>Moomba to Adelaide pipeline</w:t>
            </w:r>
          </w:p>
        </w:tc>
      </w:tr>
      <w:tr w:rsidR="00EB11D1" w:rsidRPr="00170D31"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MOS</w:t>
            </w:r>
          </w:p>
        </w:tc>
        <w:tc>
          <w:tcPr>
            <w:tcW w:w="6012" w:type="dxa"/>
          </w:tcPr>
          <w:p w:rsidR="00EB11D1" w:rsidRPr="00170D31" w:rsidRDefault="00EB11D1" w:rsidP="00283860">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170D31">
              <w:rPr>
                <w:rFonts w:cs="Gautami"/>
                <w:sz w:val="20"/>
                <w:szCs w:val="20"/>
              </w:rPr>
              <w:t>Market Operator Service</w:t>
            </w:r>
          </w:p>
        </w:tc>
      </w:tr>
      <w:tr w:rsidR="00EB11D1" w:rsidRPr="00170D31"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 xml:space="preserve">MW </w:t>
            </w:r>
          </w:p>
        </w:tc>
        <w:tc>
          <w:tcPr>
            <w:tcW w:w="6012" w:type="dxa"/>
          </w:tcPr>
          <w:p w:rsidR="00EB11D1" w:rsidRPr="00170D31" w:rsidRDefault="00EB11D1" w:rsidP="00283860">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170D31">
              <w:rPr>
                <w:rFonts w:cs="Gautami"/>
                <w:sz w:val="20"/>
                <w:szCs w:val="20"/>
              </w:rPr>
              <w:t>Megawatt</w:t>
            </w:r>
          </w:p>
        </w:tc>
      </w:tr>
      <w:tr w:rsidR="00EB11D1" w:rsidRPr="00170D31"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 xml:space="preserve">MWh </w:t>
            </w:r>
          </w:p>
        </w:tc>
        <w:tc>
          <w:tcPr>
            <w:tcW w:w="6012" w:type="dxa"/>
          </w:tcPr>
          <w:p w:rsidR="00EB11D1" w:rsidRPr="00170D31" w:rsidRDefault="00EB11D1" w:rsidP="00283860">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170D31">
              <w:rPr>
                <w:rFonts w:cs="Gautami"/>
                <w:sz w:val="20"/>
                <w:szCs w:val="20"/>
              </w:rPr>
              <w:t>Megawatt hour</w:t>
            </w:r>
          </w:p>
        </w:tc>
      </w:tr>
      <w:tr w:rsidR="00EB11D1" w:rsidRPr="00170D31"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 xml:space="preserve">National Electricity Act </w:t>
            </w:r>
          </w:p>
        </w:tc>
        <w:tc>
          <w:tcPr>
            <w:tcW w:w="6012" w:type="dxa"/>
          </w:tcPr>
          <w:p w:rsidR="00EB11D1" w:rsidRPr="00170D31" w:rsidRDefault="00D059AD" w:rsidP="00283860">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hyperlink r:id="rId34" w:history="1">
              <w:r w:rsidR="00EB11D1" w:rsidRPr="00D861CC">
                <w:rPr>
                  <w:rStyle w:val="Hyperlink"/>
                  <w:rFonts w:cs="Gautami"/>
                  <w:sz w:val="20"/>
                  <w:szCs w:val="20"/>
                </w:rPr>
                <w:t>National Electricity (South Australia) Act 1996 (South Australia)</w:t>
              </w:r>
            </w:hyperlink>
          </w:p>
        </w:tc>
      </w:tr>
      <w:tr w:rsidR="00EB11D1" w:rsidRPr="00170D31"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 xml:space="preserve">National Gas Act </w:t>
            </w:r>
          </w:p>
        </w:tc>
        <w:tc>
          <w:tcPr>
            <w:tcW w:w="6012" w:type="dxa"/>
          </w:tcPr>
          <w:p w:rsidR="00EB11D1" w:rsidRPr="00170D31" w:rsidRDefault="00D059AD" w:rsidP="00283860">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hyperlink r:id="rId35" w:history="1">
              <w:r w:rsidR="00EB11D1" w:rsidRPr="00D861CC">
                <w:rPr>
                  <w:rStyle w:val="Hyperlink"/>
                  <w:rFonts w:cs="Gautami"/>
                  <w:sz w:val="20"/>
                  <w:szCs w:val="20"/>
                </w:rPr>
                <w:t>National Gas (South Australia) Act 2008 (South Australia)</w:t>
              </w:r>
            </w:hyperlink>
          </w:p>
        </w:tc>
      </w:tr>
      <w:tr w:rsidR="00EB11D1" w:rsidRPr="00170D31"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 xml:space="preserve">NEM </w:t>
            </w:r>
          </w:p>
        </w:tc>
        <w:tc>
          <w:tcPr>
            <w:tcW w:w="6012" w:type="dxa"/>
          </w:tcPr>
          <w:p w:rsidR="00EB11D1" w:rsidRPr="00170D31" w:rsidRDefault="00EB11D1" w:rsidP="00283860">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170D31">
              <w:rPr>
                <w:rFonts w:cs="Gautami"/>
                <w:sz w:val="20"/>
                <w:szCs w:val="20"/>
              </w:rPr>
              <w:t>National Electricity Market</w:t>
            </w:r>
          </w:p>
        </w:tc>
      </w:tr>
      <w:tr w:rsidR="00EB11D1" w:rsidRPr="00170D31"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Pr>
                <w:rFonts w:cs="Gautami"/>
                <w:sz w:val="20"/>
                <w:szCs w:val="20"/>
              </w:rPr>
              <w:t>PWC</w:t>
            </w:r>
          </w:p>
        </w:tc>
        <w:tc>
          <w:tcPr>
            <w:tcW w:w="6012" w:type="dxa"/>
          </w:tcPr>
          <w:p w:rsidR="00EB11D1" w:rsidRPr="00D861CC" w:rsidRDefault="00EB11D1" w:rsidP="00D861CC">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DC2EFF">
              <w:rPr>
                <w:rFonts w:cs="Gautami"/>
                <w:sz w:val="20"/>
                <w:szCs w:val="20"/>
              </w:rPr>
              <w:t>Pricewaterhouse Coopers</w:t>
            </w:r>
          </w:p>
        </w:tc>
      </w:tr>
      <w:tr w:rsidR="00EB11D1" w:rsidRPr="00170D31"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QCR</w:t>
            </w:r>
          </w:p>
        </w:tc>
        <w:tc>
          <w:tcPr>
            <w:tcW w:w="6012" w:type="dxa"/>
          </w:tcPr>
          <w:p w:rsidR="00EB11D1" w:rsidRPr="00170D31" w:rsidRDefault="00EB11D1" w:rsidP="00283860">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170D31">
              <w:rPr>
                <w:rFonts w:cs="Gautami"/>
                <w:sz w:val="20"/>
                <w:szCs w:val="20"/>
              </w:rPr>
              <w:t>The AER’s quarterly compliance report</w:t>
            </w:r>
          </w:p>
        </w:tc>
      </w:tr>
      <w:tr w:rsidR="00EB11D1" w:rsidRPr="00170D31"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Pr>
                <w:rFonts w:cs="Gautami"/>
                <w:sz w:val="20"/>
                <w:szCs w:val="20"/>
              </w:rPr>
              <w:t>QGP</w:t>
            </w:r>
          </w:p>
        </w:tc>
        <w:tc>
          <w:tcPr>
            <w:tcW w:w="6012" w:type="dxa"/>
          </w:tcPr>
          <w:p w:rsidR="00EB11D1" w:rsidRPr="00170D31" w:rsidRDefault="00EB11D1" w:rsidP="00C07ECA">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Queensland Gas Pipeline</w:t>
            </w:r>
          </w:p>
        </w:tc>
      </w:tr>
      <w:tr w:rsidR="00EB11D1" w:rsidRPr="00170D31"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Pr>
                <w:rFonts w:cs="Gautami"/>
                <w:sz w:val="20"/>
                <w:szCs w:val="20"/>
              </w:rPr>
              <w:t>RBP</w:t>
            </w:r>
          </w:p>
        </w:tc>
        <w:tc>
          <w:tcPr>
            <w:tcW w:w="6012" w:type="dxa"/>
          </w:tcPr>
          <w:p w:rsidR="00EB11D1" w:rsidRPr="00170D31" w:rsidRDefault="00EB11D1" w:rsidP="00283860">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Pr>
                <w:rFonts w:cs="Gautami"/>
                <w:sz w:val="20"/>
                <w:szCs w:val="20"/>
              </w:rPr>
              <w:t>Roma-to-Brisbane Pipeline</w:t>
            </w:r>
          </w:p>
        </w:tc>
      </w:tr>
      <w:tr w:rsidR="00EB11D1" w:rsidRPr="00170D31"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EB11D1" w:rsidRPr="00097C53" w:rsidRDefault="00EB11D1" w:rsidP="00283860">
            <w:pPr>
              <w:pStyle w:val="AERtabletext"/>
              <w:spacing w:before="60" w:after="60"/>
              <w:rPr>
                <w:rFonts w:cs="Gautami"/>
                <w:sz w:val="20"/>
                <w:szCs w:val="20"/>
              </w:rPr>
            </w:pPr>
            <w:r w:rsidRPr="00097C53">
              <w:rPr>
                <w:rFonts w:cs="Gautami"/>
                <w:sz w:val="20"/>
                <w:szCs w:val="20"/>
              </w:rPr>
              <w:t>RP</w:t>
            </w:r>
          </w:p>
        </w:tc>
        <w:tc>
          <w:tcPr>
            <w:tcW w:w="6012" w:type="dxa"/>
          </w:tcPr>
          <w:p w:rsidR="00EB11D1" w:rsidRPr="00170D31" w:rsidRDefault="00EB11D1" w:rsidP="00283860">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170D31">
              <w:rPr>
                <w:rFonts w:cs="Gautami"/>
                <w:sz w:val="20"/>
                <w:szCs w:val="20"/>
              </w:rPr>
              <w:t>Responsible Person</w:t>
            </w:r>
          </w:p>
        </w:tc>
      </w:tr>
      <w:tr w:rsidR="00B63E4C" w:rsidRPr="00170D31"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B63E4C" w:rsidRPr="00097C53" w:rsidRDefault="00B63E4C" w:rsidP="00283860">
            <w:pPr>
              <w:pStyle w:val="AERtabletext"/>
              <w:spacing w:before="60" w:after="60"/>
              <w:rPr>
                <w:rFonts w:cs="Gautami"/>
                <w:sz w:val="20"/>
                <w:szCs w:val="20"/>
              </w:rPr>
            </w:pPr>
            <w:r>
              <w:rPr>
                <w:rFonts w:cs="Gautami"/>
                <w:sz w:val="20"/>
                <w:szCs w:val="20"/>
              </w:rPr>
              <w:t>SPV</w:t>
            </w:r>
          </w:p>
        </w:tc>
        <w:tc>
          <w:tcPr>
            <w:tcW w:w="6012" w:type="dxa"/>
          </w:tcPr>
          <w:p w:rsidR="00B63E4C" w:rsidRPr="00170D31" w:rsidRDefault="00B63E4C" w:rsidP="00283860">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Pr>
                <w:rFonts w:cs="Gautami"/>
                <w:sz w:val="20"/>
                <w:szCs w:val="20"/>
              </w:rPr>
              <w:t>Significant Price Variation</w:t>
            </w:r>
          </w:p>
        </w:tc>
      </w:tr>
      <w:tr w:rsidR="00B63E4C" w:rsidRPr="00170D31"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B63E4C" w:rsidRPr="00097C53" w:rsidRDefault="00B63E4C" w:rsidP="00283860">
            <w:pPr>
              <w:pStyle w:val="AERtabletext"/>
              <w:spacing w:before="60" w:after="60"/>
              <w:rPr>
                <w:rFonts w:cs="Gautami"/>
                <w:sz w:val="20"/>
                <w:szCs w:val="20"/>
              </w:rPr>
            </w:pPr>
            <w:r w:rsidRPr="00097C53">
              <w:rPr>
                <w:rFonts w:cs="Gautami"/>
                <w:sz w:val="20"/>
                <w:szCs w:val="20"/>
              </w:rPr>
              <w:t>STTM</w:t>
            </w:r>
          </w:p>
        </w:tc>
        <w:tc>
          <w:tcPr>
            <w:tcW w:w="6012" w:type="dxa"/>
          </w:tcPr>
          <w:p w:rsidR="00B63E4C" w:rsidRPr="00170D31" w:rsidRDefault="00B63E4C" w:rsidP="00283860">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170D31">
              <w:rPr>
                <w:rFonts w:cs="Gautami"/>
                <w:sz w:val="20"/>
                <w:szCs w:val="20"/>
              </w:rPr>
              <w:t>Short Term Trading Market</w:t>
            </w:r>
          </w:p>
        </w:tc>
      </w:tr>
      <w:tr w:rsidR="00B63E4C" w:rsidRPr="00170D31" w:rsidTr="00912CC3">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B63E4C" w:rsidRPr="00097C53" w:rsidRDefault="00B63E4C" w:rsidP="00283860">
            <w:pPr>
              <w:pStyle w:val="AERtabletext"/>
              <w:spacing w:before="60" w:after="60"/>
              <w:rPr>
                <w:rFonts w:cs="Gautami"/>
                <w:sz w:val="20"/>
                <w:szCs w:val="20"/>
              </w:rPr>
            </w:pPr>
            <w:r>
              <w:rPr>
                <w:rFonts w:cs="Gautami"/>
                <w:sz w:val="20"/>
                <w:szCs w:val="20"/>
              </w:rPr>
              <w:t>SWQP</w:t>
            </w:r>
          </w:p>
        </w:tc>
        <w:tc>
          <w:tcPr>
            <w:tcW w:w="6012" w:type="dxa"/>
          </w:tcPr>
          <w:p w:rsidR="00B63E4C" w:rsidRPr="00170D31" w:rsidRDefault="00B63E4C" w:rsidP="00283860">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Pr>
                <w:rFonts w:cs="Gautami"/>
                <w:sz w:val="20"/>
                <w:szCs w:val="20"/>
              </w:rPr>
              <w:t>South West Queensland Pipeline</w:t>
            </w:r>
          </w:p>
        </w:tc>
      </w:tr>
      <w:tr w:rsidR="00B63E4C" w:rsidRPr="00170D31" w:rsidTr="0091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B63E4C" w:rsidRDefault="00B63E4C" w:rsidP="00283860">
            <w:pPr>
              <w:pStyle w:val="AERtabletext"/>
              <w:spacing w:before="60" w:after="60"/>
              <w:rPr>
                <w:rFonts w:cs="Gautami"/>
                <w:sz w:val="20"/>
                <w:szCs w:val="20"/>
              </w:rPr>
            </w:pPr>
            <w:r>
              <w:rPr>
                <w:rFonts w:cs="Gautami"/>
                <w:sz w:val="20"/>
                <w:szCs w:val="20"/>
              </w:rPr>
              <w:t>TJ</w:t>
            </w:r>
          </w:p>
        </w:tc>
        <w:tc>
          <w:tcPr>
            <w:tcW w:w="6012" w:type="dxa"/>
          </w:tcPr>
          <w:p w:rsidR="00B63E4C" w:rsidRPr="00170D31" w:rsidRDefault="00B63E4C" w:rsidP="00283860">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Terajoules</w:t>
            </w:r>
          </w:p>
        </w:tc>
      </w:tr>
    </w:tbl>
    <w:p w:rsidR="000A4B26" w:rsidRPr="00495191" w:rsidRDefault="000A4B26" w:rsidP="00495191">
      <w:pPr>
        <w:pStyle w:val="AERbodytext"/>
        <w:rPr>
          <w:b/>
          <w:sz w:val="16"/>
          <w:szCs w:val="16"/>
          <w:lang w:eastAsia="en-AU"/>
        </w:rPr>
      </w:pPr>
    </w:p>
    <w:sectPr w:rsidR="000A4B26" w:rsidRPr="00495191" w:rsidSect="0091486D">
      <w:footerReference w:type="default" r:id="rId36"/>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FBE" w:rsidRDefault="00326FBE" w:rsidP="00BB640B">
      <w:r>
        <w:separator/>
      </w:r>
    </w:p>
    <w:p w:rsidR="00326FBE" w:rsidRDefault="00326FBE"/>
    <w:p w:rsidR="00326FBE" w:rsidRDefault="00326FBE"/>
  </w:endnote>
  <w:endnote w:type="continuationSeparator" w:id="0">
    <w:p w:rsidR="00326FBE" w:rsidRDefault="00326FBE" w:rsidP="00BB640B">
      <w:r>
        <w:continuationSeparator/>
      </w:r>
    </w:p>
    <w:p w:rsidR="00326FBE" w:rsidRDefault="00326FBE"/>
    <w:p w:rsidR="00326FBE" w:rsidRDefault="00326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ヒラギノ角ゴ Pro W3">
    <w:charset w:val="00"/>
    <w:family w:val="roman"/>
    <w:pitch w:val="default"/>
  </w:font>
  <w:font w:name="HelveticaNeueLT St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FBE" w:rsidRDefault="00326FBE" w:rsidP="009F68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6FBE" w:rsidRDefault="00326FBE" w:rsidP="007842F1">
    <w:pPr>
      <w:ind w:right="360"/>
    </w:pPr>
    <w:r>
      <w:rPr>
        <w:rStyle w:val="PageNumber"/>
      </w:rPr>
      <w:tab/>
    </w:r>
  </w:p>
  <w:p w:rsidR="00326FBE" w:rsidRDefault="00326FBE"/>
  <w:p w:rsidR="00326FBE" w:rsidRDefault="00326F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FBE" w:rsidRPr="007842F1" w:rsidRDefault="00326FBE" w:rsidP="009F6871">
    <w:pPr>
      <w:pStyle w:val="Footer"/>
      <w:framePr w:wrap="around" w:vAnchor="text" w:hAnchor="margin" w:xAlign="right" w:y="1"/>
      <w:rPr>
        <w:rStyle w:val="PageNumber"/>
      </w:rPr>
    </w:pPr>
  </w:p>
  <w:p w:rsidR="00326FBE" w:rsidRDefault="00326FBE" w:rsidP="00AA1DED">
    <w:pPr>
      <w:pStyle w:val="FootnoteText"/>
      <w:ind w:left="0"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8A" w:rsidRDefault="002171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FBE" w:rsidRPr="0097256D" w:rsidRDefault="00326FBE" w:rsidP="00BB5A97">
    <w:pPr>
      <w:pStyle w:val="FootnoteText"/>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FBE" w:rsidRDefault="00326FBE">
    <w:pPr>
      <w:pStyle w:val="Footer"/>
      <w:jc w:val="right"/>
    </w:pPr>
    <w:r>
      <w:fldChar w:fldCharType="begin"/>
    </w:r>
    <w:r>
      <w:instrText xml:space="preserve"> PAGE   \* MERGEFORMAT </w:instrText>
    </w:r>
    <w:r>
      <w:fldChar w:fldCharType="separate"/>
    </w:r>
    <w:r w:rsidR="00D059AD">
      <w:rPr>
        <w:noProof/>
      </w:rPr>
      <w:t>18</w:t>
    </w:r>
    <w:r>
      <w:rPr>
        <w:noProof/>
      </w:rPr>
      <w:fldChar w:fldCharType="end"/>
    </w:r>
  </w:p>
  <w:p w:rsidR="00326FBE" w:rsidRPr="0097256D" w:rsidRDefault="00326FBE" w:rsidP="00BB5A97">
    <w:pPr>
      <w:pStyle w:val="FootnoteTex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FBE" w:rsidRDefault="00326FBE">
      <w:r>
        <w:separator/>
      </w:r>
    </w:p>
  </w:footnote>
  <w:footnote w:type="continuationSeparator" w:id="0">
    <w:p w:rsidR="00326FBE" w:rsidRDefault="00326FBE" w:rsidP="00A54F7E">
      <w:r>
        <w:continuationSeparator/>
      </w:r>
    </w:p>
  </w:footnote>
  <w:footnote w:id="1">
    <w:p w:rsidR="00326FBE" w:rsidRPr="00102642" w:rsidRDefault="00326FBE" w:rsidP="002E03F7">
      <w:pPr>
        <w:pStyle w:val="FootnoteText"/>
        <w:tabs>
          <w:tab w:val="clear" w:pos="454"/>
          <w:tab w:val="left" w:pos="284"/>
        </w:tabs>
        <w:spacing w:after="120"/>
        <w:ind w:left="284" w:hanging="284"/>
        <w:jc w:val="both"/>
      </w:pPr>
      <w:r w:rsidRPr="00E42CCD">
        <w:rPr>
          <w:rStyle w:val="FootnoteReference"/>
          <w:rFonts w:ascii="Gautami" w:hAnsi="Gautami" w:cs="Gautami"/>
        </w:rPr>
        <w:footnoteRef/>
      </w:r>
      <w:r>
        <w:t xml:space="preserve"> </w:t>
      </w:r>
      <w:r>
        <w:tab/>
      </w:r>
      <w:r w:rsidRPr="00102642">
        <w:t>Entities registered by AEMO under Chapter 2 of the Electricity Rules or in accordance with Part 15A of the Gas Rules.</w:t>
      </w:r>
    </w:p>
  </w:footnote>
  <w:footnote w:id="2">
    <w:p w:rsidR="00326FBE" w:rsidRPr="00102642" w:rsidRDefault="00326FBE" w:rsidP="00102642">
      <w:pPr>
        <w:pStyle w:val="FootnoteText"/>
        <w:tabs>
          <w:tab w:val="clear" w:pos="454"/>
          <w:tab w:val="left" w:pos="284"/>
        </w:tabs>
        <w:spacing w:after="120"/>
        <w:ind w:left="284" w:hanging="284"/>
        <w:jc w:val="both"/>
      </w:pPr>
      <w:r>
        <w:rPr>
          <w:rStyle w:val="FootnoteReference"/>
        </w:rPr>
        <w:footnoteRef/>
      </w:r>
      <w:r>
        <w:t xml:space="preserve"> </w:t>
      </w:r>
      <w:r>
        <w:tab/>
      </w:r>
      <w:r w:rsidRPr="002E03F7">
        <w:t>I</w:t>
      </w:r>
      <w:r w:rsidRPr="00102642">
        <w:t>n April 2014</w:t>
      </w:r>
      <w:r>
        <w:t>,</w:t>
      </w:r>
      <w:r w:rsidRPr="00102642">
        <w:t xml:space="preserve"> the AER released a combined Enforcement and Compliance Statement of Approach covering our functions under the Gas Law, Electricity Law and National Energy Retail Law. The document reflects the consistent approach taken by the AER to enforcing the energy laws across all markets. </w:t>
      </w:r>
    </w:p>
  </w:footnote>
  <w:footnote w:id="3">
    <w:p w:rsidR="00326FBE" w:rsidRDefault="00326FBE">
      <w:pPr>
        <w:pStyle w:val="FootnoteText"/>
      </w:pPr>
      <w:r>
        <w:rPr>
          <w:rStyle w:val="FootnoteReference"/>
        </w:rPr>
        <w:footnoteRef/>
      </w:r>
      <w:r>
        <w:t xml:space="preserve"> </w:t>
      </w:r>
      <w:r>
        <w:tab/>
      </w:r>
      <w:proofErr w:type="gramStart"/>
      <w:r>
        <w:t>Rule 545 of the National Gas Rules</w:t>
      </w:r>
      <w:r w:rsidR="00051CAD">
        <w:t>.</w:t>
      </w:r>
      <w:proofErr w:type="gramEnd"/>
    </w:p>
  </w:footnote>
  <w:footnote w:id="4">
    <w:p w:rsidR="00326FBE" w:rsidRDefault="00326FBE">
      <w:pPr>
        <w:pStyle w:val="FootnoteText"/>
      </w:pPr>
      <w:r>
        <w:rPr>
          <w:rStyle w:val="FootnoteReference"/>
        </w:rPr>
        <w:footnoteRef/>
      </w:r>
      <w:r>
        <w:t xml:space="preserve"> </w:t>
      </w:r>
      <w:r>
        <w:tab/>
        <w:t xml:space="preserve">Clause 14.3 of the GSH Exchange Agreement places obligations on trading participants around the delivery and acceptance of gas under physical gas transactions. </w:t>
      </w:r>
    </w:p>
  </w:footnote>
  <w:footnote w:id="5">
    <w:p w:rsidR="00326FBE" w:rsidRPr="00102642" w:rsidRDefault="00326FBE" w:rsidP="00102642">
      <w:pPr>
        <w:pStyle w:val="FootnoteText"/>
      </w:pPr>
      <w:r w:rsidRPr="00102642">
        <w:rPr>
          <w:rStyle w:val="FootnoteReference"/>
          <w:rFonts w:ascii="Gautami" w:hAnsi="Gautami" w:cs="Gautami"/>
        </w:rPr>
        <w:footnoteRef/>
      </w:r>
      <w:r>
        <w:tab/>
      </w:r>
      <w:r w:rsidRPr="00102642">
        <w:t xml:space="preserve">Clause 15.3 of the </w:t>
      </w:r>
      <w:r>
        <w:t xml:space="preserve">GSH </w:t>
      </w:r>
      <w:r w:rsidRPr="00102642">
        <w:t>Exchange Agreement provides that AEMO will assume that the delivery quantity was made available for delivery and accepted by the receiving participant, unless otherwise notified in accordance with clause 15.2.</w:t>
      </w:r>
    </w:p>
  </w:footnote>
  <w:footnote w:id="6">
    <w:p w:rsidR="00326FBE" w:rsidRPr="0091486D" w:rsidRDefault="00326FBE" w:rsidP="00102642">
      <w:pPr>
        <w:pStyle w:val="FootnoteText"/>
        <w:rPr>
          <w:rStyle w:val="FootnoteTextChar"/>
          <w:rFonts w:ascii="Calibri" w:eastAsia="Calibri" w:hAnsi="Calibri"/>
        </w:rPr>
      </w:pPr>
      <w:r w:rsidRPr="0091486D">
        <w:rPr>
          <w:rStyle w:val="FootnoteReference"/>
          <w:rFonts w:ascii="Gautami" w:hAnsi="Gautami" w:cs="Gautami"/>
          <w:szCs w:val="16"/>
        </w:rPr>
        <w:footnoteRef/>
      </w:r>
      <w:r w:rsidRPr="0091486D">
        <w:rPr>
          <w:rFonts w:ascii="Gautami" w:hAnsi="Gautami" w:cs="Gautami"/>
          <w:szCs w:val="16"/>
        </w:rPr>
        <w:t xml:space="preserve"> </w:t>
      </w:r>
      <w:r w:rsidRPr="00102642">
        <w:tab/>
      </w:r>
      <w:r w:rsidRPr="0091486D">
        <w:rPr>
          <w:rStyle w:val="FootnoteTextChar"/>
          <w:rFonts w:ascii="Calibri" w:eastAsia="Calibri" w:hAnsi="Calibri"/>
        </w:rPr>
        <w:t>As currently being considered by the GSH reference group.</w:t>
      </w:r>
    </w:p>
  </w:footnote>
  <w:footnote w:id="7">
    <w:p w:rsidR="00326FBE" w:rsidRDefault="00326FBE">
      <w:pPr>
        <w:pStyle w:val="FootnoteText"/>
      </w:pPr>
      <w:r>
        <w:rPr>
          <w:rStyle w:val="FootnoteReference"/>
        </w:rPr>
        <w:footnoteRef/>
      </w:r>
      <w:r>
        <w:t xml:space="preserve"> </w:t>
      </w:r>
      <w:r>
        <w:tab/>
        <w:t xml:space="preserve">The </w:t>
      </w:r>
      <w:r w:rsidR="009B5DF7">
        <w:t xml:space="preserve">volume weighted average (VWA) </w:t>
      </w:r>
      <w:r>
        <w:t>price is the average of all products traded on a trade day. The VWA price for each separate pipeline uses the price for products traded on that pipeline, volume weighted by the pipeline’s traded quantity.</w:t>
      </w:r>
    </w:p>
  </w:footnote>
  <w:footnote w:id="8">
    <w:p w:rsidR="00326FBE" w:rsidRDefault="00326FBE">
      <w:pPr>
        <w:pStyle w:val="FootnoteText"/>
      </w:pPr>
      <w:r>
        <w:rPr>
          <w:rStyle w:val="FootnoteReference"/>
        </w:rPr>
        <w:footnoteRef/>
      </w:r>
      <w:r>
        <w:t xml:space="preserve"> </w:t>
      </w:r>
      <w:r>
        <w:tab/>
        <w:t>The volume shown for each product is the total volume of gas to be delivered though each trade cleared on a given trading day. Weekly product volumes appearing in the figure show the total volume traded (over each of the seven gas days) depicted on the day the trade took place. Balance</w:t>
      </w:r>
      <w:r>
        <w:noBreakHyphen/>
        <w:t>of</w:t>
      </w:r>
      <w:r>
        <w:noBreakHyphen/>
        <w:t xml:space="preserve">day (B.O.D) products are intra-day trades. </w:t>
      </w:r>
    </w:p>
  </w:footnote>
  <w:footnote w:id="9">
    <w:p w:rsidR="00326FBE" w:rsidRDefault="00326FBE" w:rsidP="00987FD1">
      <w:pPr>
        <w:pStyle w:val="FootnoteText"/>
      </w:pPr>
      <w:r>
        <w:rPr>
          <w:rStyle w:val="FootnoteReference"/>
        </w:rPr>
        <w:footnoteRef/>
      </w:r>
      <w:r>
        <w:t xml:space="preserve"> </w:t>
      </w:r>
      <w:r>
        <w:tab/>
      </w:r>
      <w:proofErr w:type="gramStart"/>
      <w:r>
        <w:t>Clause 429 of the Gas Rules</w:t>
      </w:r>
      <w:r w:rsidR="00051CAD">
        <w:t>.</w:t>
      </w:r>
      <w:proofErr w:type="gramEnd"/>
    </w:p>
  </w:footnote>
  <w:footnote w:id="10">
    <w:p w:rsidR="00326FBE" w:rsidRDefault="00326FBE" w:rsidP="00987FD1">
      <w:pPr>
        <w:pStyle w:val="FootnoteText"/>
      </w:pPr>
      <w:r>
        <w:rPr>
          <w:rStyle w:val="FootnoteReference"/>
        </w:rPr>
        <w:footnoteRef/>
      </w:r>
      <w:r>
        <w:t xml:space="preserve"> </w:t>
      </w:r>
      <w:r>
        <w:tab/>
        <w:t>Section 91G of the National Gas Law.</w:t>
      </w:r>
    </w:p>
  </w:footnote>
  <w:footnote w:id="11">
    <w:p w:rsidR="00326FBE" w:rsidRDefault="00326FBE" w:rsidP="00987FD1">
      <w:pPr>
        <w:pStyle w:val="FootnoteText"/>
      </w:pPr>
      <w:r>
        <w:rPr>
          <w:rStyle w:val="FootnoteReference"/>
        </w:rPr>
        <w:footnoteRef/>
      </w:r>
      <w:r>
        <w:t xml:space="preserve"> </w:t>
      </w:r>
      <w:r>
        <w:tab/>
        <w:t xml:space="preserve">Where there is </w:t>
      </w:r>
      <w:r w:rsidRPr="001D00EB">
        <w:t xml:space="preserve">increase MOS on the </w:t>
      </w:r>
      <w:r>
        <w:t>Moomba-to-Adelaide Pipeline</w:t>
      </w:r>
      <w:r w:rsidRPr="001D00EB">
        <w:t xml:space="preserve"> and decrease MOS on the SEAGas pipeline well in excess of what is required to balance hub deviations</w:t>
      </w:r>
      <w:r>
        <w:t>.</w:t>
      </w:r>
    </w:p>
  </w:footnote>
  <w:footnote w:id="12">
    <w:p w:rsidR="00326FBE" w:rsidRDefault="00326FBE" w:rsidP="00987FD1">
      <w:pPr>
        <w:pStyle w:val="FootnoteText"/>
      </w:pPr>
      <w:r>
        <w:rPr>
          <w:rStyle w:val="FootnoteReference"/>
        </w:rPr>
        <w:footnoteRef/>
      </w:r>
      <w:r>
        <w:t xml:space="preserve"> </w:t>
      </w:r>
      <w:r>
        <w:tab/>
      </w:r>
      <w:proofErr w:type="gramStart"/>
      <w:r w:rsidRPr="006B6CAB">
        <w:t>Rule 410(1)</w:t>
      </w:r>
      <w:r>
        <w:t xml:space="preserve"> of the Gas Rules</w:t>
      </w:r>
      <w:r w:rsidR="00051CAD">
        <w:t>.</w:t>
      </w:r>
      <w:proofErr w:type="gramEnd"/>
    </w:p>
  </w:footnote>
  <w:footnote w:id="13">
    <w:p w:rsidR="00326FBE" w:rsidRDefault="00326FBE">
      <w:pPr>
        <w:pStyle w:val="FootnoteText"/>
      </w:pPr>
      <w:r>
        <w:rPr>
          <w:rStyle w:val="FootnoteReference"/>
        </w:rPr>
        <w:footnoteRef/>
      </w:r>
      <w:r>
        <w:t xml:space="preserve"> </w:t>
      </w:r>
      <w:r w:rsidR="00051CAD">
        <w:tab/>
      </w:r>
      <w:proofErr w:type="gramStart"/>
      <w:r>
        <w:t>Rule 221 (4)</w:t>
      </w:r>
      <w:r w:rsidR="00051CAD">
        <w:t xml:space="preserve"> of the Gas Rules.</w:t>
      </w:r>
      <w:proofErr w:type="gramEnd"/>
    </w:p>
  </w:footnote>
  <w:footnote w:id="14">
    <w:p w:rsidR="00326FBE" w:rsidRDefault="00326FBE" w:rsidP="008963FE">
      <w:pPr>
        <w:pStyle w:val="FootnoteText"/>
      </w:pPr>
      <w:r>
        <w:rPr>
          <w:rStyle w:val="FootnoteReference"/>
        </w:rPr>
        <w:footnoteRef/>
      </w:r>
      <w:r>
        <w:t xml:space="preserve"> </w:t>
      </w:r>
      <w:r>
        <w:tab/>
        <w:t>Rules 213(2</w:t>
      </w:r>
      <w:proofErr w:type="gramStart"/>
      <w:r>
        <w:t>)(</w:t>
      </w:r>
      <w:proofErr w:type="gramEnd"/>
      <w:r>
        <w:t>b)&amp;(c)</w:t>
      </w:r>
      <w:r w:rsidR="00051CAD">
        <w:t>.</w:t>
      </w:r>
    </w:p>
  </w:footnote>
  <w:footnote w:id="15">
    <w:p w:rsidR="00326FBE" w:rsidRDefault="00326FBE" w:rsidP="00987FD1">
      <w:pPr>
        <w:pStyle w:val="FootnoteText"/>
      </w:pPr>
      <w:r>
        <w:rPr>
          <w:rStyle w:val="FootnoteReference"/>
        </w:rPr>
        <w:footnoteRef/>
      </w:r>
      <w:r>
        <w:t xml:space="preserve"> </w:t>
      </w:r>
      <w:r>
        <w:tab/>
      </w:r>
      <w:proofErr w:type="gramStart"/>
      <w:r>
        <w:t>Rule</w:t>
      </w:r>
      <w:r w:rsidRPr="00B50425">
        <w:t> 173</w:t>
      </w:r>
      <w:r>
        <w:t xml:space="preserve"> of the Gas Rules</w:t>
      </w:r>
      <w:r w:rsidR="00051CAD">
        <w:t>.</w:t>
      </w:r>
      <w:proofErr w:type="gramEnd"/>
      <w:r>
        <w:t xml:space="preserve"> </w:t>
      </w:r>
    </w:p>
  </w:footnote>
  <w:footnote w:id="16">
    <w:p w:rsidR="00326FBE" w:rsidRDefault="00326FBE" w:rsidP="00987FD1">
      <w:pPr>
        <w:pStyle w:val="FootnoteText"/>
      </w:pPr>
      <w:r>
        <w:rPr>
          <w:rStyle w:val="FootnoteReference"/>
        </w:rPr>
        <w:footnoteRef/>
      </w:r>
      <w:r>
        <w:t xml:space="preserve"> </w:t>
      </w:r>
      <w:r>
        <w:tab/>
      </w:r>
      <w:proofErr w:type="gramStart"/>
      <w:r>
        <w:t>R</w:t>
      </w:r>
      <w:r w:rsidRPr="00B50425">
        <w:t>ules 166 and 174</w:t>
      </w:r>
      <w:r>
        <w:t xml:space="preserve"> of the Gas Rules</w:t>
      </w:r>
      <w:r w:rsidR="00051CAD">
        <w:t>.</w:t>
      </w:r>
      <w:proofErr w:type="gramEnd"/>
    </w:p>
  </w:footnote>
  <w:footnote w:id="17">
    <w:p w:rsidR="00326FBE" w:rsidRPr="0035087E" w:rsidRDefault="00326FBE" w:rsidP="00987FD1">
      <w:pPr>
        <w:pStyle w:val="FootnoteText"/>
        <w:spacing w:after="120"/>
        <w:jc w:val="both"/>
        <w:rPr>
          <w:rFonts w:ascii="Gautami" w:hAnsi="Gautami" w:cs="Gautami"/>
        </w:rPr>
      </w:pPr>
      <w:r w:rsidRPr="0035087E">
        <w:rPr>
          <w:rStyle w:val="FootnoteReference"/>
          <w:rFonts w:cs="Gautami"/>
        </w:rPr>
        <w:footnoteRef/>
      </w:r>
      <w:r w:rsidRPr="0035087E">
        <w:rPr>
          <w:rStyle w:val="FootnoteReference"/>
          <w:rFonts w:cs="Gautami"/>
        </w:rPr>
        <w:t xml:space="preserve"> </w:t>
      </w:r>
      <w:r w:rsidRPr="0035087E">
        <w:rPr>
          <w:rFonts w:ascii="Gautami" w:hAnsi="Gautami" w:cs="Gautami"/>
        </w:rPr>
        <w:tab/>
        <w:t>Market participants must provide to AEMO, at the same time as a rebid is made, a brief, verifiable and specific reason for the rebid, plus the time at which the reason for the rebid occurred. Equivalent requirements apply where AEMO is advised, under clause 3.8.19 of the Electricity Rules, that a unit, service or load is inflexible. Clause 3.8.22A of the Electricity Rules requires that dispatch offers, dispatch bids and rebids are made in ‘good faith’.</w:t>
      </w:r>
    </w:p>
  </w:footnote>
  <w:footnote w:id="18">
    <w:p w:rsidR="00326FBE" w:rsidRPr="0035087E" w:rsidRDefault="00326FBE" w:rsidP="00987FD1">
      <w:pPr>
        <w:pStyle w:val="FootnoteText"/>
        <w:jc w:val="both"/>
        <w:rPr>
          <w:rFonts w:ascii="Gautami" w:hAnsi="Gautami" w:cs="Gautami"/>
        </w:rPr>
      </w:pPr>
      <w:r w:rsidRPr="0035087E">
        <w:rPr>
          <w:rStyle w:val="FootnoteReference"/>
          <w:rFonts w:cs="Gautami"/>
        </w:rPr>
        <w:footnoteRef/>
      </w:r>
      <w:r w:rsidRPr="0035087E">
        <w:rPr>
          <w:rStyle w:val="FootnoteReference"/>
          <w:rFonts w:cs="Gautami"/>
        </w:rPr>
        <w:t xml:space="preserve"> </w:t>
      </w:r>
      <w:r w:rsidRPr="0035087E">
        <w:rPr>
          <w:rFonts w:ascii="Gautami" w:hAnsi="Gautami" w:cs="Gautami"/>
        </w:rPr>
        <w:tab/>
        <w:t>In June 2012</w:t>
      </w:r>
      <w:r>
        <w:rPr>
          <w:rFonts w:ascii="Gautami" w:hAnsi="Gautami" w:cs="Gautami"/>
        </w:rPr>
        <w:t>,</w:t>
      </w:r>
      <w:r w:rsidRPr="0035087E">
        <w:rPr>
          <w:rFonts w:ascii="Gautami" w:hAnsi="Gautami" w:cs="Gautami"/>
        </w:rPr>
        <w:t xml:space="preserve"> </w:t>
      </w:r>
      <w:r>
        <w:rPr>
          <w:rFonts w:ascii="Gautami" w:hAnsi="Gautami" w:cs="Gautami"/>
        </w:rPr>
        <w:t>we</w:t>
      </w:r>
      <w:r w:rsidRPr="0035087E">
        <w:rPr>
          <w:rFonts w:ascii="Gautami" w:hAnsi="Gautami" w:cs="Gautami"/>
        </w:rPr>
        <w:t xml:space="preserve"> published an up</w:t>
      </w:r>
      <w:r>
        <w:rPr>
          <w:rFonts w:ascii="Gautami" w:hAnsi="Gautami" w:cs="Gautami"/>
        </w:rPr>
        <w:t xml:space="preserve">dated </w:t>
      </w:r>
      <w:hyperlink r:id="rId1" w:history="1">
        <w:r w:rsidRPr="00543C9B">
          <w:rPr>
            <w:rStyle w:val="Hyperlink"/>
            <w:rFonts w:cs="Gautami"/>
          </w:rPr>
          <w:t>Compliance Bulletin No. 3</w:t>
        </w:r>
      </w:hyperlink>
      <w:r>
        <w:rPr>
          <w:rStyle w:val="Hyperlink"/>
          <w:rFonts w:cs="Gautami"/>
        </w:rPr>
        <w:t xml:space="preserve"> </w:t>
      </w:r>
      <w:r w:rsidRPr="0035087E">
        <w:rPr>
          <w:rFonts w:ascii="Gautami" w:hAnsi="Gautami" w:cs="Gautami"/>
        </w:rPr>
        <w:t xml:space="preserve">to make it clear that, for the purposes of administering the three stage process and issuing warnings, </w:t>
      </w:r>
      <w:r>
        <w:rPr>
          <w:rFonts w:ascii="Gautami" w:hAnsi="Gautami" w:cs="Gautami"/>
        </w:rPr>
        <w:t>we</w:t>
      </w:r>
      <w:r w:rsidRPr="0035087E">
        <w:rPr>
          <w:rFonts w:ascii="Gautami" w:hAnsi="Gautami" w:cs="Gautami"/>
        </w:rPr>
        <w:t xml:space="preserve"> will rely on the cumulative count of non-compliant bids for all generating units under the same portfolio. In other words, where a parent company employs a common trading team for the bidding of multiple generating units in its portfolio, irrespective of whether these generators are different </w:t>
      </w:r>
      <w:r>
        <w:rPr>
          <w:rFonts w:ascii="Gautami" w:hAnsi="Gautami" w:cs="Gautami"/>
        </w:rPr>
        <w:t>registered participants, we</w:t>
      </w:r>
      <w:r w:rsidRPr="0035087E">
        <w:rPr>
          <w:rFonts w:ascii="Gautami" w:hAnsi="Gautami" w:cs="Gautami"/>
        </w:rPr>
        <w:t xml:space="preserve"> will count any non-compliant bids by that trading team together.</w:t>
      </w:r>
    </w:p>
  </w:footnote>
  <w:footnote w:id="19">
    <w:p w:rsidR="00326FBE" w:rsidRPr="00565CE6" w:rsidRDefault="00326FBE" w:rsidP="00987FD1">
      <w:pPr>
        <w:pStyle w:val="FootnoteText"/>
        <w:jc w:val="both"/>
        <w:rPr>
          <w:rFonts w:ascii="Gautami" w:hAnsi="Gautami" w:cs="Gautami"/>
        </w:rPr>
      </w:pPr>
      <w:r w:rsidRPr="00565CE6">
        <w:rPr>
          <w:rStyle w:val="FootnoteReference"/>
          <w:rFonts w:ascii="Gautami" w:hAnsi="Gautami" w:cs="Gautami"/>
        </w:rPr>
        <w:footnoteRef/>
      </w:r>
      <w:r w:rsidRPr="00565CE6">
        <w:rPr>
          <w:rFonts w:ascii="Gautami" w:hAnsi="Gautami" w:cs="Gautami"/>
        </w:rPr>
        <w:t xml:space="preserve"> </w:t>
      </w:r>
      <w:r w:rsidRPr="00565CE6">
        <w:rPr>
          <w:rFonts w:ascii="Gautami" w:hAnsi="Gautami" w:cs="Gautami"/>
        </w:rPr>
        <w:tab/>
      </w:r>
      <w:r w:rsidRPr="00D861CC">
        <w:t>Refer to Electricity Rules clauses 9.4.3, 9.12.3</w:t>
      </w:r>
      <w:r w:rsidR="00FD016F">
        <w:t xml:space="preserve"> </w:t>
      </w:r>
      <w:r w:rsidRPr="00D861CC">
        <w:t>and 9.34.6.</w:t>
      </w:r>
    </w:p>
  </w:footnote>
  <w:footnote w:id="20">
    <w:p w:rsidR="00326FBE" w:rsidRDefault="00326FBE">
      <w:pPr>
        <w:pStyle w:val="FootnoteText"/>
      </w:pPr>
      <w:r>
        <w:rPr>
          <w:rStyle w:val="FootnoteReference"/>
        </w:rPr>
        <w:footnoteRef/>
      </w:r>
      <w:r>
        <w:t xml:space="preserve"> </w:t>
      </w:r>
      <w:r>
        <w:tab/>
        <w:t>Clause 7.2.5(1)(d) and schedule 7.3.1(a) and 7.3.1(c) of the Electricity Rules.</w:t>
      </w:r>
    </w:p>
  </w:footnote>
  <w:footnote w:id="21">
    <w:p w:rsidR="00326FBE" w:rsidRDefault="00326FBE" w:rsidP="00987FD1">
      <w:pPr>
        <w:pStyle w:val="FootnoteText"/>
      </w:pPr>
      <w:r>
        <w:rPr>
          <w:rStyle w:val="FootnoteReference"/>
        </w:rPr>
        <w:footnoteRef/>
      </w:r>
      <w:r>
        <w:t xml:space="preserve"> </w:t>
      </w:r>
      <w:r>
        <w:tab/>
        <w:t>Red Energy paid the infringement notice penalty on 21 March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FBE" w:rsidRDefault="00326FBE"/>
  <w:p w:rsidR="00326FBE" w:rsidRDefault="00326FBE"/>
  <w:p w:rsidR="00326FBE" w:rsidRDefault="00326FBE"/>
  <w:p w:rsidR="00326FBE" w:rsidRDefault="00326FBE"/>
  <w:p w:rsidR="00326FBE" w:rsidRDefault="00326FBE"/>
  <w:p w:rsidR="00326FBE" w:rsidRDefault="00326FBE"/>
  <w:p w:rsidR="00326FBE" w:rsidRDefault="00326FB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8A" w:rsidRDefault="002171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8A" w:rsidRDefault="002171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9CA2986"/>
    <w:multiLevelType w:val="hybridMultilevel"/>
    <w:tmpl w:val="CB7CF586"/>
    <w:lvl w:ilvl="0" w:tplc="6C50A454">
      <w:numFmt w:val="bullet"/>
      <w:lvlText w:val=""/>
      <w:lvlJc w:val="left"/>
      <w:pPr>
        <w:ind w:left="1080" w:hanging="360"/>
      </w:pPr>
      <w:rPr>
        <w:rFonts w:ascii="Symbol" w:eastAsia="Calibri" w:hAnsi="Symbol" w:cs="Times New Roman" w:hint="default"/>
      </w:rPr>
    </w:lvl>
    <w:lvl w:ilvl="1" w:tplc="0C09000F">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nsid w:val="0D517D24"/>
    <w:multiLevelType w:val="hybridMultilevel"/>
    <w:tmpl w:val="66B0C8D4"/>
    <w:lvl w:ilvl="0" w:tplc="A05C8C1C">
      <w:start w:val="1"/>
      <w:numFmt w:val="lowerRoman"/>
      <w:pStyle w:val="AERnumberedlistthirdstyle"/>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3">
    <w:nsid w:val="13597CF9"/>
    <w:multiLevelType w:val="multilevel"/>
    <w:tmpl w:val="B478DFE6"/>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43A163D"/>
    <w:multiLevelType w:val="hybridMultilevel"/>
    <w:tmpl w:val="CEAE9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CD10F7"/>
    <w:multiLevelType w:val="hybridMultilevel"/>
    <w:tmpl w:val="EEEC7CF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nsid w:val="18EB1A38"/>
    <w:multiLevelType w:val="hybridMultilevel"/>
    <w:tmpl w:val="0574A54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3A6266"/>
    <w:multiLevelType w:val="multilevel"/>
    <w:tmpl w:val="4FAAC634"/>
    <w:lvl w:ilvl="0">
      <w:start w:val="1"/>
      <w:numFmt w:val="bullet"/>
      <w:pStyle w:val="AERbulletlistsecondstyle"/>
      <w:lvlText w:val=""/>
      <w:lvlJc w:val="left"/>
      <w:pPr>
        <w:ind w:left="717" w:hanging="360"/>
      </w:pPr>
      <w:rPr>
        <w:rFonts w:ascii="Wingdings 2" w:hAnsi="Wingdings 2" w:hint="default"/>
        <w:b w:val="0"/>
        <w:bCs w:val="0"/>
        <w:i w:val="0"/>
        <w:iCs w:val="0"/>
        <w:caps w:val="0"/>
        <w:strike w:val="0"/>
        <w:dstrike w:val="0"/>
        <w:outline w:val="0"/>
        <w:shadow w:val="0"/>
        <w:emboss w:val="0"/>
        <w:imprint w:val="0"/>
        <w:vanish w:val="0"/>
        <w:spacing w:val="0"/>
        <w:kern w:val="0"/>
        <w:position w:val="0"/>
        <w:sz w:val="18"/>
        <w:u w:val="none"/>
        <w:vertAlign w:val="baseline"/>
        <w:em w:val="none"/>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
    <w:nsid w:val="1F5A6947"/>
    <w:multiLevelType w:val="hybridMultilevel"/>
    <w:tmpl w:val="30BAD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0EF1705"/>
    <w:multiLevelType w:val="hybridMultilevel"/>
    <w:tmpl w:val="AA061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0B69EC"/>
    <w:multiLevelType w:val="hybridMultilevel"/>
    <w:tmpl w:val="8214E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5DA5505"/>
    <w:multiLevelType w:val="hybridMultilevel"/>
    <w:tmpl w:val="F3441FF0"/>
    <w:lvl w:ilvl="0" w:tplc="1AC68B5C">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E1A661E"/>
    <w:multiLevelType w:val="hybridMultilevel"/>
    <w:tmpl w:val="9A7C3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4B3525"/>
    <w:multiLevelType w:val="hybridMultilevel"/>
    <w:tmpl w:val="0F708FA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5">
    <w:nsid w:val="2FB612CC"/>
    <w:multiLevelType w:val="multilevel"/>
    <w:tmpl w:val="1492709C"/>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01B31FF"/>
    <w:multiLevelType w:val="multilevel"/>
    <w:tmpl w:val="6B1233FC"/>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0F5549F"/>
    <w:multiLevelType w:val="hybridMultilevel"/>
    <w:tmpl w:val="3530E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385601F8"/>
    <w:multiLevelType w:val="hybridMultilevel"/>
    <w:tmpl w:val="53E4E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98E44B3"/>
    <w:multiLevelType w:val="hybridMultilevel"/>
    <w:tmpl w:val="96A831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721288"/>
    <w:multiLevelType w:val="multilevel"/>
    <w:tmpl w:val="1492709C"/>
    <w:numStyleLink w:val="AERHeadings"/>
  </w:abstractNum>
  <w:abstractNum w:abstractNumId="22">
    <w:nsid w:val="443F74CB"/>
    <w:multiLevelType w:val="hybridMultilevel"/>
    <w:tmpl w:val="550AFBE6"/>
    <w:lvl w:ilvl="0" w:tplc="D4F0A01E">
      <w:start w:val="1"/>
      <w:numFmt w:val="decimal"/>
      <w:pStyle w:val="AERnumberedlistfirststyle"/>
      <w:lvlText w:val="%1."/>
      <w:lvlJc w:val="left"/>
      <w:pPr>
        <w:tabs>
          <w:tab w:val="num" w:pos="357"/>
        </w:tabs>
        <w:ind w:left="357" w:hanging="357"/>
      </w:pPr>
      <w:rPr>
        <w:rFonts w:ascii="Gautami" w:hAnsi="Gautami" w:hint="default"/>
        <w:b w:val="0"/>
        <w:i w:val="0"/>
        <w:sz w:val="22"/>
      </w:rPr>
    </w:lvl>
    <w:lvl w:ilvl="1" w:tplc="32F652EA">
      <w:start w:val="1"/>
      <w:numFmt w:val="bullet"/>
      <w:lvlText w:val=""/>
      <w:lvlJc w:val="left"/>
      <w:pPr>
        <w:tabs>
          <w:tab w:val="num" w:pos="4498"/>
        </w:tabs>
        <w:ind w:left="4498" w:hanging="358"/>
      </w:pPr>
      <w:rPr>
        <w:rFonts w:ascii="Wingdings" w:hAnsi="Wingdings" w:hint="default"/>
        <w:b w:val="0"/>
        <w:i w:val="0"/>
        <w:sz w:val="22"/>
      </w:rPr>
    </w:lvl>
    <w:lvl w:ilvl="2" w:tplc="5ABC4262" w:tentative="1">
      <w:start w:val="1"/>
      <w:numFmt w:val="lowerRoman"/>
      <w:lvlText w:val="%3."/>
      <w:lvlJc w:val="right"/>
      <w:pPr>
        <w:tabs>
          <w:tab w:val="num" w:pos="5220"/>
        </w:tabs>
        <w:ind w:left="5220" w:hanging="180"/>
      </w:pPr>
    </w:lvl>
    <w:lvl w:ilvl="3" w:tplc="268C5056" w:tentative="1">
      <w:start w:val="1"/>
      <w:numFmt w:val="decimal"/>
      <w:lvlText w:val="%4."/>
      <w:lvlJc w:val="left"/>
      <w:pPr>
        <w:tabs>
          <w:tab w:val="num" w:pos="5940"/>
        </w:tabs>
        <w:ind w:left="5940" w:hanging="360"/>
      </w:pPr>
    </w:lvl>
    <w:lvl w:ilvl="4" w:tplc="42CAC7D0">
      <w:start w:val="1"/>
      <w:numFmt w:val="lowerLetter"/>
      <w:lvlText w:val="%5."/>
      <w:lvlJc w:val="left"/>
      <w:pPr>
        <w:tabs>
          <w:tab w:val="num" w:pos="6660"/>
        </w:tabs>
        <w:ind w:left="6660" w:hanging="360"/>
      </w:pPr>
    </w:lvl>
    <w:lvl w:ilvl="5" w:tplc="EB7EE31A">
      <w:start w:val="1"/>
      <w:numFmt w:val="lowerRoman"/>
      <w:lvlText w:val="%6."/>
      <w:lvlJc w:val="right"/>
      <w:pPr>
        <w:tabs>
          <w:tab w:val="num" w:pos="7380"/>
        </w:tabs>
        <w:ind w:left="7380" w:hanging="180"/>
      </w:pPr>
    </w:lvl>
    <w:lvl w:ilvl="6" w:tplc="E6D86F90" w:tentative="1">
      <w:start w:val="1"/>
      <w:numFmt w:val="decimal"/>
      <w:lvlText w:val="%7."/>
      <w:lvlJc w:val="left"/>
      <w:pPr>
        <w:tabs>
          <w:tab w:val="num" w:pos="8100"/>
        </w:tabs>
        <w:ind w:left="8100" w:hanging="360"/>
      </w:pPr>
    </w:lvl>
    <w:lvl w:ilvl="7" w:tplc="882C84EC" w:tentative="1">
      <w:start w:val="1"/>
      <w:numFmt w:val="lowerLetter"/>
      <w:lvlText w:val="%8."/>
      <w:lvlJc w:val="left"/>
      <w:pPr>
        <w:tabs>
          <w:tab w:val="num" w:pos="8820"/>
        </w:tabs>
        <w:ind w:left="8820" w:hanging="360"/>
      </w:pPr>
    </w:lvl>
    <w:lvl w:ilvl="8" w:tplc="DD3E2D30" w:tentative="1">
      <w:start w:val="1"/>
      <w:numFmt w:val="lowerRoman"/>
      <w:lvlText w:val="%9."/>
      <w:lvlJc w:val="right"/>
      <w:pPr>
        <w:tabs>
          <w:tab w:val="num" w:pos="9540"/>
        </w:tabs>
        <w:ind w:left="9540" w:hanging="180"/>
      </w:pPr>
    </w:lvl>
  </w:abstractNum>
  <w:abstractNum w:abstractNumId="23">
    <w:nsid w:val="451D3C6C"/>
    <w:multiLevelType w:val="hybridMultilevel"/>
    <w:tmpl w:val="6974F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1487971"/>
    <w:multiLevelType w:val="multilevel"/>
    <w:tmpl w:val="B1FCC85A"/>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623405A"/>
    <w:multiLevelType w:val="hybridMultilevel"/>
    <w:tmpl w:val="11E6E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8DB0BC9"/>
    <w:multiLevelType w:val="hybridMultilevel"/>
    <w:tmpl w:val="84D68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B726949"/>
    <w:multiLevelType w:val="hybridMultilevel"/>
    <w:tmpl w:val="A558962E"/>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8">
    <w:nsid w:val="5E786627"/>
    <w:multiLevelType w:val="hybridMultilevel"/>
    <w:tmpl w:val="E75AFF92"/>
    <w:lvl w:ilvl="0" w:tplc="0C09000F">
      <w:start w:val="1"/>
      <w:numFmt w:val="decimal"/>
      <w:lvlText w:val="%1."/>
      <w:lvlJc w:val="left"/>
      <w:pPr>
        <w:ind w:left="720" w:hanging="360"/>
      </w:pPr>
    </w:lvl>
    <w:lvl w:ilvl="1" w:tplc="27BCAF46">
      <w:start w:val="1"/>
      <w:numFmt w:val="lowerLetter"/>
      <w:lvlText w:val="%2."/>
      <w:lvlJc w:val="left"/>
      <w:pPr>
        <w:ind w:left="1440" w:hanging="360"/>
      </w:pPr>
      <w:rPr>
        <w:rFonts w:ascii="Arial" w:hAnsi="Arial" w:cs="Arial" w:hint="default"/>
        <w:b/>
        <w:sz w:val="20"/>
        <w:szCs w:val="2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nsid w:val="62BF0570"/>
    <w:multiLevelType w:val="hybridMultilevel"/>
    <w:tmpl w:val="2C38EE7E"/>
    <w:lvl w:ilvl="0" w:tplc="0C090001">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0">
    <w:nsid w:val="6559576E"/>
    <w:multiLevelType w:val="hybridMultilevel"/>
    <w:tmpl w:val="D8B2DEDA"/>
    <w:lvl w:ilvl="0" w:tplc="FFFFFFFF">
      <w:start w:val="91"/>
      <w:numFmt w:val="decimal"/>
      <w:pStyle w:val="ListBullet"/>
      <w:lvlText w:val="%1."/>
      <w:lvlJc w:val="left"/>
      <w:pPr>
        <w:tabs>
          <w:tab w:val="num" w:pos="360"/>
        </w:tabs>
        <w:ind w:left="360" w:hanging="36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1">
    <w:nsid w:val="66D55237"/>
    <w:multiLevelType w:val="hybridMultilevel"/>
    <w:tmpl w:val="7E32D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DF931BD"/>
    <w:multiLevelType w:val="hybridMultilevel"/>
    <w:tmpl w:val="56D6D808"/>
    <w:lvl w:ilvl="0" w:tplc="FF10A68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F317E15"/>
    <w:multiLevelType w:val="hybridMultilevel"/>
    <w:tmpl w:val="92EAC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6A149FE"/>
    <w:multiLevelType w:val="multilevel"/>
    <w:tmpl w:val="16E8FFBE"/>
    <w:lvl w:ilvl="0">
      <w:start w:val="1"/>
      <w:numFmt w:val="decimal"/>
      <w:pStyle w:val="AERheading1"/>
      <w:lvlText w:val="%1"/>
      <w:lvlJc w:val="left"/>
      <w:pPr>
        <w:tabs>
          <w:tab w:val="num" w:pos="357"/>
        </w:tabs>
        <w:ind w:left="1071" w:hanging="1071"/>
      </w:pPr>
      <w:rPr>
        <w:rFonts w:hint="default"/>
      </w:rPr>
    </w:lvl>
    <w:lvl w:ilvl="1">
      <w:start w:val="1"/>
      <w:numFmt w:val="decimal"/>
      <w:pStyle w:val="AERheading2"/>
      <w:lvlText w:val="%1.%2"/>
      <w:lvlJc w:val="left"/>
      <w:pPr>
        <w:tabs>
          <w:tab w:val="num" w:pos="641"/>
        </w:tabs>
        <w:ind w:left="641" w:hanging="357"/>
      </w:pPr>
      <w:rPr>
        <w:rFonts w:hint="default"/>
        <w:b/>
        <w:color w:val="E36C0A"/>
        <w:sz w:val="28"/>
        <w:szCs w:val="28"/>
      </w:rPr>
    </w:lvl>
    <w:lvl w:ilvl="2">
      <w:start w:val="1"/>
      <w:numFmt w:val="decimal"/>
      <w:pStyle w:val="AERheading3"/>
      <w:lvlText w:val="%1.%2.%3"/>
      <w:lvlJc w:val="left"/>
      <w:pPr>
        <w:tabs>
          <w:tab w:val="num" w:pos="357"/>
        </w:tabs>
        <w:ind w:left="357" w:hanging="35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Restart w:val="1"/>
      <w:pStyle w:val="AERfigureheading"/>
      <w:lvlText w:val="Figure %1.%4"/>
      <w:lvlJc w:val="left"/>
      <w:pPr>
        <w:tabs>
          <w:tab w:val="num" w:pos="6169"/>
        </w:tabs>
        <w:ind w:left="6169" w:hanging="35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lvlText w:val="Table %1.%5"/>
      <w:lvlJc w:val="left"/>
      <w:pPr>
        <w:tabs>
          <w:tab w:val="num" w:pos="357"/>
        </w:tabs>
        <w:ind w:left="357" w:hanging="35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nsid w:val="78B75593"/>
    <w:multiLevelType w:val="multilevel"/>
    <w:tmpl w:val="979A7758"/>
    <w:lvl w:ilvl="0">
      <w:start w:val="1"/>
      <w:numFmt w:val="decimal"/>
      <w:pStyle w:val="LegalFirstLevel"/>
      <w:lvlText w:val="%1."/>
      <w:lvlJc w:val="left"/>
      <w:pPr>
        <w:tabs>
          <w:tab w:val="num" w:pos="567"/>
        </w:tabs>
        <w:ind w:left="567" w:hanging="567"/>
      </w:pPr>
      <w:rPr>
        <w:rFonts w:hint="default"/>
      </w:rPr>
    </w:lvl>
    <w:lvl w:ilvl="1">
      <w:start w:val="1"/>
      <w:numFmt w:val="lowerLetter"/>
      <w:pStyle w:val="LegalSecondLevel"/>
      <w:lvlText w:val="(%2)"/>
      <w:lvlJc w:val="left"/>
      <w:pPr>
        <w:tabs>
          <w:tab w:val="num" w:pos="1134"/>
        </w:tabs>
        <w:ind w:left="1134" w:hanging="567"/>
      </w:pPr>
      <w:rPr>
        <w:rFonts w:hint="default"/>
      </w:rPr>
    </w:lvl>
    <w:lvl w:ilvl="2">
      <w:start w:val="1"/>
      <w:numFmt w:val="lowerRoman"/>
      <w:pStyle w:val="LegalThirdLevel"/>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AEF67FF"/>
    <w:multiLevelType w:val="multilevel"/>
    <w:tmpl w:val="AACE20AA"/>
    <w:lvl w:ilvl="0">
      <w:start w:val="1"/>
      <w:numFmt w:val="bullet"/>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ECC3D02"/>
    <w:multiLevelType w:val="hybridMultilevel"/>
    <w:tmpl w:val="68448A2E"/>
    <w:lvl w:ilvl="0" w:tplc="DE5883B0">
      <w:start w:val="1"/>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2"/>
  </w:num>
  <w:num w:numId="4">
    <w:abstractNumId w:val="22"/>
  </w:num>
  <w:num w:numId="5">
    <w:abstractNumId w:val="16"/>
  </w:num>
  <w:num w:numId="6">
    <w:abstractNumId w:val="30"/>
  </w:num>
  <w:num w:numId="7">
    <w:abstractNumId w:val="34"/>
  </w:num>
  <w:num w:numId="8">
    <w:abstractNumId w:val="35"/>
  </w:num>
  <w:num w:numId="9">
    <w:abstractNumId w:val="11"/>
  </w:num>
  <w:num w:numId="10">
    <w:abstractNumId w:val="15"/>
  </w:num>
  <w:num w:numId="11">
    <w:abstractNumId w:val="24"/>
  </w:num>
  <w:num w:numId="12">
    <w:abstractNumId w:val="21"/>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4"/>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12"/>
  </w:num>
  <w:num w:numId="20">
    <w:abstractNumId w:val="34"/>
  </w:num>
  <w:num w:numId="21">
    <w:abstractNumId w:val="34"/>
  </w:num>
  <w:num w:numId="22">
    <w:abstractNumId w:val="37"/>
  </w:num>
  <w:num w:numId="23">
    <w:abstractNumId w:val="27"/>
  </w:num>
  <w:num w:numId="24">
    <w:abstractNumId w:val="1"/>
  </w:num>
  <w:num w:numId="25">
    <w:abstractNumId w:val="28"/>
  </w:num>
  <w:num w:numId="26">
    <w:abstractNumId w:val="23"/>
  </w:num>
  <w:num w:numId="27">
    <w:abstractNumId w:val="9"/>
  </w:num>
  <w:num w:numId="28">
    <w:abstractNumId w:val="26"/>
  </w:num>
  <w:num w:numId="29">
    <w:abstractNumId w:val="13"/>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7"/>
  </w:num>
  <w:num w:numId="33">
    <w:abstractNumId w:val="7"/>
  </w:num>
  <w:num w:numId="34">
    <w:abstractNumId w:val="7"/>
  </w:num>
  <w:num w:numId="35">
    <w:abstractNumId w:val="7"/>
  </w:num>
  <w:num w:numId="36">
    <w:abstractNumId w:val="34"/>
  </w:num>
  <w:num w:numId="37">
    <w:abstractNumId w:val="25"/>
  </w:num>
  <w:num w:numId="38">
    <w:abstractNumId w:val="33"/>
  </w:num>
  <w:num w:numId="39">
    <w:abstractNumId w:val="34"/>
  </w:num>
  <w:num w:numId="40">
    <w:abstractNumId w:val="5"/>
  </w:num>
  <w:num w:numId="41">
    <w:abstractNumId w:val="8"/>
  </w:num>
  <w:num w:numId="42">
    <w:abstractNumId w:val="7"/>
  </w:num>
  <w:num w:numId="43">
    <w:abstractNumId w:val="7"/>
  </w:num>
  <w:num w:numId="44">
    <w:abstractNumId w:val="7"/>
  </w:num>
  <w:num w:numId="45">
    <w:abstractNumId w:val="34"/>
  </w:num>
  <w:num w:numId="46">
    <w:abstractNumId w:val="34"/>
  </w:num>
  <w:num w:numId="47">
    <w:abstractNumId w:val="34"/>
  </w:num>
  <w:num w:numId="48">
    <w:abstractNumId w:val="10"/>
  </w:num>
  <w:num w:numId="49">
    <w:abstractNumId w:val="38"/>
  </w:num>
  <w:num w:numId="50">
    <w:abstractNumId w:val="34"/>
  </w:num>
  <w:num w:numId="51">
    <w:abstractNumId w:val="34"/>
  </w:num>
  <w:num w:numId="52">
    <w:abstractNumId w:val="34"/>
  </w:num>
  <w:num w:numId="53">
    <w:abstractNumId w:val="34"/>
  </w:num>
  <w:num w:numId="54">
    <w:abstractNumId w:val="34"/>
  </w:num>
  <w:num w:numId="55">
    <w:abstractNumId w:val="34"/>
  </w:num>
  <w:num w:numId="56">
    <w:abstractNumId w:val="34"/>
  </w:num>
  <w:num w:numId="57">
    <w:abstractNumId w:val="34"/>
  </w:num>
  <w:num w:numId="58">
    <w:abstractNumId w:val="34"/>
  </w:num>
  <w:num w:numId="59">
    <w:abstractNumId w:val="34"/>
  </w:num>
  <w:num w:numId="60">
    <w:abstractNumId w:val="34"/>
  </w:num>
  <w:num w:numId="61">
    <w:abstractNumId w:val="34"/>
  </w:num>
  <w:num w:numId="62">
    <w:abstractNumId w:val="34"/>
  </w:num>
  <w:num w:numId="63">
    <w:abstractNumId w:val="34"/>
  </w:num>
  <w:num w:numId="64">
    <w:abstractNumId w:val="34"/>
  </w:num>
  <w:num w:numId="65">
    <w:abstractNumId w:val="34"/>
  </w:num>
  <w:num w:numId="66">
    <w:abstractNumId w:val="34"/>
  </w:num>
  <w:num w:numId="67">
    <w:abstractNumId w:val="34"/>
  </w:num>
  <w:num w:numId="68">
    <w:abstractNumId w:val="34"/>
  </w:num>
  <w:num w:numId="69">
    <w:abstractNumId w:val="34"/>
  </w:num>
  <w:num w:numId="70">
    <w:abstractNumId w:val="34"/>
  </w:num>
  <w:num w:numId="71">
    <w:abstractNumId w:val="34"/>
  </w:num>
  <w:num w:numId="72">
    <w:abstractNumId w:val="34"/>
  </w:num>
  <w:num w:numId="73">
    <w:abstractNumId w:val="34"/>
  </w:num>
  <w:num w:numId="74">
    <w:abstractNumId w:val="34"/>
  </w:num>
  <w:num w:numId="75">
    <w:abstractNumId w:val="34"/>
  </w:num>
  <w:num w:numId="76">
    <w:abstractNumId w:val="34"/>
  </w:num>
  <w:num w:numId="77">
    <w:abstractNumId w:val="34"/>
  </w:num>
  <w:num w:numId="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4"/>
  </w:num>
  <w:num w:numId="8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num>
  <w:num w:numId="83">
    <w:abstractNumId w:val="34"/>
  </w:num>
  <w:num w:numId="84">
    <w:abstractNumId w:val="34"/>
  </w:num>
  <w:num w:numId="85">
    <w:abstractNumId w:val="34"/>
  </w:num>
  <w:num w:numId="86">
    <w:abstractNumId w:val="34"/>
  </w:num>
  <w:num w:numId="87">
    <w:abstractNumId w:val="34"/>
  </w:num>
  <w:num w:numId="88">
    <w:abstractNumId w:val="0"/>
  </w:num>
  <w:num w:numId="89">
    <w:abstractNumId w:val="3"/>
  </w:num>
  <w:num w:numId="90">
    <w:abstractNumId w:val="34"/>
  </w:num>
  <w:num w:numId="91">
    <w:abstractNumId w:val="34"/>
  </w:num>
  <w:num w:numId="92">
    <w:abstractNumId w:val="34"/>
  </w:num>
  <w:num w:numId="93">
    <w:abstractNumId w:val="34"/>
  </w:num>
  <w:num w:numId="94">
    <w:abstractNumId w:val="34"/>
  </w:num>
  <w:num w:numId="95">
    <w:abstractNumId w:val="18"/>
  </w:num>
  <w:num w:numId="96">
    <w:abstractNumId w:val="4"/>
  </w:num>
  <w:num w:numId="97">
    <w:abstractNumId w:val="31"/>
  </w:num>
  <w:num w:numId="98">
    <w:abstractNumId w:val="34"/>
  </w:num>
  <w:num w:numId="99">
    <w:abstractNumId w:val="34"/>
  </w:num>
  <w:num w:numId="100">
    <w:abstractNumId w:val="34"/>
  </w:num>
  <w:num w:numId="101">
    <w:abstractNumId w:val="34"/>
  </w:num>
  <w:num w:numId="102">
    <w:abstractNumId w:val="17"/>
  </w:num>
  <w:num w:numId="103">
    <w:abstractNumId w:val="32"/>
  </w:num>
  <w:num w:numId="10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4"/>
  </w:num>
  <w:num w:numId="106">
    <w:abstractNumId w:val="36"/>
  </w:num>
  <w:num w:numId="107">
    <w:abstractNumId w:val="34"/>
  </w:num>
  <w:num w:numId="108">
    <w:abstractNumId w:val="34"/>
  </w:num>
  <w:num w:numId="109">
    <w:abstractNumId w:val="34"/>
  </w:num>
  <w:num w:numId="110">
    <w:abstractNumId w:val="34"/>
  </w:num>
  <w:num w:numId="111">
    <w:abstractNumId w:val="34"/>
  </w:num>
  <w:num w:numId="112">
    <w:abstractNumId w:val="34"/>
  </w:num>
  <w:num w:numId="113">
    <w:abstractNumId w:val="34"/>
  </w:num>
  <w:num w:numId="114">
    <w:abstractNumId w:val="34"/>
  </w:num>
  <w:num w:numId="115">
    <w:abstractNumId w:val="34"/>
  </w:num>
  <w:num w:numId="116">
    <w:abstractNumId w:val="34"/>
  </w:num>
  <w:num w:numId="117">
    <w:abstractNumId w:val="34"/>
  </w:num>
  <w:num w:numId="118">
    <w:abstractNumId w:val="34"/>
  </w:num>
  <w:num w:numId="119">
    <w:abstractNumId w:val="34"/>
  </w:num>
  <w:num w:numId="120">
    <w:abstractNumId w:val="34"/>
  </w:num>
  <w:num w:numId="121">
    <w:abstractNumId w:val="34"/>
  </w:num>
  <w:num w:numId="122">
    <w:abstractNumId w:val="34"/>
  </w:num>
  <w:num w:numId="123">
    <w:abstractNumId w:val="34"/>
  </w:num>
  <w:num w:numId="124">
    <w:abstractNumId w:val="34"/>
  </w:num>
  <w:num w:numId="125">
    <w:abstractNumId w:val="34"/>
  </w:num>
  <w:num w:numId="126">
    <w:abstractNumId w:val="34"/>
  </w:num>
  <w:num w:numId="127">
    <w:abstractNumId w:val="34"/>
  </w:num>
  <w:num w:numId="128">
    <w:abstractNumId w:val="34"/>
  </w:num>
  <w:num w:numId="129">
    <w:abstractNumId w:val="34"/>
  </w:num>
  <w:num w:numId="130">
    <w:abstractNumId w:val="34"/>
  </w:num>
  <w:num w:numId="131">
    <w:abstractNumId w:val="34"/>
  </w:num>
  <w:num w:numId="132">
    <w:abstractNumId w:val="34"/>
  </w:num>
  <w:num w:numId="133">
    <w:abstractNumId w:val="34"/>
  </w:num>
  <w:num w:numId="134">
    <w:abstractNumId w:val="34"/>
  </w:num>
  <w:num w:numId="135">
    <w:abstractNumId w:val="34"/>
  </w:num>
  <w:num w:numId="136">
    <w:abstractNumId w:val="34"/>
  </w:num>
  <w:num w:numId="137">
    <w:abstractNumId w:val="34"/>
  </w:num>
  <w:num w:numId="138">
    <w:abstractNumId w:val="34"/>
  </w:num>
  <w:num w:numId="139">
    <w:abstractNumId w:val="20"/>
  </w:num>
  <w:num w:numId="140">
    <w:abstractNumId w:val="34"/>
  </w:num>
  <w:num w:numId="141">
    <w:abstractNumId w:val="34"/>
  </w:num>
  <w:num w:numId="142">
    <w:abstractNumId w:val="34"/>
  </w:num>
  <w:num w:numId="143">
    <w:abstractNumId w:val="34"/>
  </w:num>
  <w:num w:numId="144">
    <w:abstractNumId w:val="34"/>
  </w:num>
  <w:num w:numId="145">
    <w:abstractNumId w:val="34"/>
  </w:num>
  <w:num w:numId="146">
    <w:abstractNumId w:val="34"/>
  </w:num>
  <w:num w:numId="147">
    <w:abstractNumId w:val="34"/>
  </w:num>
  <w:num w:numId="148">
    <w:abstractNumId w:val="34"/>
  </w:num>
  <w:num w:numId="149">
    <w:abstractNumId w:val="34"/>
  </w:num>
  <w:num w:numId="150">
    <w:abstractNumId w:val="34"/>
  </w:num>
  <w:num w:numId="151">
    <w:abstractNumId w:val="34"/>
  </w:num>
  <w:num w:numId="152">
    <w:abstractNumId w:val="34"/>
  </w:num>
  <w:num w:numId="153">
    <w:abstractNumId w:val="34"/>
  </w:num>
  <w:num w:numId="154">
    <w:abstractNumId w:val="34"/>
  </w:num>
  <w:num w:numId="155">
    <w:abstractNumId w:val="34"/>
  </w:num>
  <w:num w:numId="156">
    <w:abstractNumId w:val="34"/>
  </w:num>
  <w:num w:numId="157">
    <w:abstractNumId w:val="34"/>
  </w:num>
  <w:num w:numId="158">
    <w:abstractNumId w:val="34"/>
  </w:num>
  <w:num w:numId="159">
    <w:abstractNumId w:val="34"/>
  </w:num>
  <w:num w:numId="160">
    <w:abstractNumId w:val="34"/>
  </w:num>
  <w:num w:numId="161">
    <w:abstractNumId w:val="34"/>
  </w:num>
  <w:num w:numId="162">
    <w:abstractNumId w:val="34"/>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removePersonalInformation/>
  <w:removeDateAndTime/>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trackRevisions/>
  <w:doNotTrackMoves/>
  <w:documentProtection w:edit="readOnly" w:formatting="1" w:enforcement="0"/>
  <w:styleLockTheme/>
  <w:styleLockQFSet/>
  <w:defaultTabStop w:val="720"/>
  <w:drawingGridHorizontalSpacing w:val="100"/>
  <w:displayHorizontalDrawingGridEvery w:val="2"/>
  <w:characterSpacingControl w:val="doNotCompress"/>
  <w:hdrShapeDefaults>
    <o:shapedefaults v:ext="edit" spidmax="5447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2568\D14 137195  20141110 - 3.10.1 - attachment 1 - Quarterly Compliance Report  National Electricity and Gas Laws.DOCX"/>
  </w:docVars>
  <w:rsids>
    <w:rsidRoot w:val="00F75FBD"/>
    <w:rsid w:val="00000080"/>
    <w:rsid w:val="000008B3"/>
    <w:rsid w:val="00000E09"/>
    <w:rsid w:val="000014D2"/>
    <w:rsid w:val="000018CD"/>
    <w:rsid w:val="0000194E"/>
    <w:rsid w:val="00001FB5"/>
    <w:rsid w:val="00001FCA"/>
    <w:rsid w:val="000020FB"/>
    <w:rsid w:val="00002829"/>
    <w:rsid w:val="00002A76"/>
    <w:rsid w:val="00003B0A"/>
    <w:rsid w:val="00003B8C"/>
    <w:rsid w:val="00003E22"/>
    <w:rsid w:val="000042BF"/>
    <w:rsid w:val="00004578"/>
    <w:rsid w:val="0000468D"/>
    <w:rsid w:val="00004867"/>
    <w:rsid w:val="00004C36"/>
    <w:rsid w:val="00004F2E"/>
    <w:rsid w:val="00005725"/>
    <w:rsid w:val="000059FF"/>
    <w:rsid w:val="00005DB1"/>
    <w:rsid w:val="000060ED"/>
    <w:rsid w:val="00006183"/>
    <w:rsid w:val="00006681"/>
    <w:rsid w:val="000066D8"/>
    <w:rsid w:val="000068EC"/>
    <w:rsid w:val="00006D55"/>
    <w:rsid w:val="00006E63"/>
    <w:rsid w:val="00006E66"/>
    <w:rsid w:val="000070D2"/>
    <w:rsid w:val="00007451"/>
    <w:rsid w:val="000076C5"/>
    <w:rsid w:val="000078B2"/>
    <w:rsid w:val="00007A05"/>
    <w:rsid w:val="00007DEC"/>
    <w:rsid w:val="00010C72"/>
    <w:rsid w:val="00010E2A"/>
    <w:rsid w:val="000110D5"/>
    <w:rsid w:val="000115F6"/>
    <w:rsid w:val="00011751"/>
    <w:rsid w:val="00011913"/>
    <w:rsid w:val="00011B17"/>
    <w:rsid w:val="00011C65"/>
    <w:rsid w:val="0001232D"/>
    <w:rsid w:val="0001277E"/>
    <w:rsid w:val="00012C8B"/>
    <w:rsid w:val="0001307D"/>
    <w:rsid w:val="000137F1"/>
    <w:rsid w:val="000139F3"/>
    <w:rsid w:val="00014B8F"/>
    <w:rsid w:val="00015040"/>
    <w:rsid w:val="000158C2"/>
    <w:rsid w:val="00015FFE"/>
    <w:rsid w:val="000161BF"/>
    <w:rsid w:val="00016709"/>
    <w:rsid w:val="00016924"/>
    <w:rsid w:val="00016DEF"/>
    <w:rsid w:val="00016E96"/>
    <w:rsid w:val="0001754A"/>
    <w:rsid w:val="00017634"/>
    <w:rsid w:val="00017C33"/>
    <w:rsid w:val="00017FAD"/>
    <w:rsid w:val="000201DE"/>
    <w:rsid w:val="000204F0"/>
    <w:rsid w:val="00020AD8"/>
    <w:rsid w:val="00020D13"/>
    <w:rsid w:val="000213B6"/>
    <w:rsid w:val="00021891"/>
    <w:rsid w:val="00021990"/>
    <w:rsid w:val="00021DE4"/>
    <w:rsid w:val="00022810"/>
    <w:rsid w:val="000228BB"/>
    <w:rsid w:val="00022A77"/>
    <w:rsid w:val="00022C3F"/>
    <w:rsid w:val="00023487"/>
    <w:rsid w:val="00023543"/>
    <w:rsid w:val="000237D8"/>
    <w:rsid w:val="00023E55"/>
    <w:rsid w:val="00023F1D"/>
    <w:rsid w:val="00024271"/>
    <w:rsid w:val="000242AC"/>
    <w:rsid w:val="00024853"/>
    <w:rsid w:val="00024ECD"/>
    <w:rsid w:val="00025D45"/>
    <w:rsid w:val="00025E0E"/>
    <w:rsid w:val="0002602A"/>
    <w:rsid w:val="000260E2"/>
    <w:rsid w:val="000261A3"/>
    <w:rsid w:val="0002626E"/>
    <w:rsid w:val="00026564"/>
    <w:rsid w:val="000267ED"/>
    <w:rsid w:val="00026C3A"/>
    <w:rsid w:val="0002765A"/>
    <w:rsid w:val="000277D9"/>
    <w:rsid w:val="00027DAF"/>
    <w:rsid w:val="0003080B"/>
    <w:rsid w:val="000308EE"/>
    <w:rsid w:val="0003098E"/>
    <w:rsid w:val="000318FE"/>
    <w:rsid w:val="00031AA8"/>
    <w:rsid w:val="00031CC9"/>
    <w:rsid w:val="00031D7C"/>
    <w:rsid w:val="000328A5"/>
    <w:rsid w:val="00032A56"/>
    <w:rsid w:val="00032BCA"/>
    <w:rsid w:val="00032C54"/>
    <w:rsid w:val="00032F9C"/>
    <w:rsid w:val="00033316"/>
    <w:rsid w:val="0003339C"/>
    <w:rsid w:val="0003345D"/>
    <w:rsid w:val="000335CA"/>
    <w:rsid w:val="00033718"/>
    <w:rsid w:val="00033B09"/>
    <w:rsid w:val="00033EA7"/>
    <w:rsid w:val="00034017"/>
    <w:rsid w:val="0003429E"/>
    <w:rsid w:val="00034438"/>
    <w:rsid w:val="000344DF"/>
    <w:rsid w:val="0003457A"/>
    <w:rsid w:val="000345D3"/>
    <w:rsid w:val="00034DF0"/>
    <w:rsid w:val="00034F0A"/>
    <w:rsid w:val="000353A5"/>
    <w:rsid w:val="000356D8"/>
    <w:rsid w:val="000357CD"/>
    <w:rsid w:val="0003586E"/>
    <w:rsid w:val="00035C9F"/>
    <w:rsid w:val="000360CE"/>
    <w:rsid w:val="0003617E"/>
    <w:rsid w:val="000361EA"/>
    <w:rsid w:val="0003626E"/>
    <w:rsid w:val="0003632C"/>
    <w:rsid w:val="00036810"/>
    <w:rsid w:val="00036ABD"/>
    <w:rsid w:val="00037322"/>
    <w:rsid w:val="000373B0"/>
    <w:rsid w:val="00037541"/>
    <w:rsid w:val="000375EE"/>
    <w:rsid w:val="00037690"/>
    <w:rsid w:val="00037AE2"/>
    <w:rsid w:val="00040414"/>
    <w:rsid w:val="000407B3"/>
    <w:rsid w:val="000413B3"/>
    <w:rsid w:val="00041D07"/>
    <w:rsid w:val="00041E93"/>
    <w:rsid w:val="00042733"/>
    <w:rsid w:val="000427C9"/>
    <w:rsid w:val="00042ADE"/>
    <w:rsid w:val="00042F04"/>
    <w:rsid w:val="00043239"/>
    <w:rsid w:val="00043981"/>
    <w:rsid w:val="0004398F"/>
    <w:rsid w:val="00043CB9"/>
    <w:rsid w:val="00044126"/>
    <w:rsid w:val="00044949"/>
    <w:rsid w:val="00044A13"/>
    <w:rsid w:val="00044DAB"/>
    <w:rsid w:val="0004540E"/>
    <w:rsid w:val="000456D1"/>
    <w:rsid w:val="00045A65"/>
    <w:rsid w:val="00045BEA"/>
    <w:rsid w:val="00045E9E"/>
    <w:rsid w:val="00046146"/>
    <w:rsid w:val="00046779"/>
    <w:rsid w:val="00046866"/>
    <w:rsid w:val="00046986"/>
    <w:rsid w:val="00046A92"/>
    <w:rsid w:val="00046C2F"/>
    <w:rsid w:val="00046DA1"/>
    <w:rsid w:val="00046FFD"/>
    <w:rsid w:val="000474B8"/>
    <w:rsid w:val="00047CAE"/>
    <w:rsid w:val="00050086"/>
    <w:rsid w:val="00050394"/>
    <w:rsid w:val="00050A33"/>
    <w:rsid w:val="00050C6C"/>
    <w:rsid w:val="00050D72"/>
    <w:rsid w:val="00050E80"/>
    <w:rsid w:val="00051106"/>
    <w:rsid w:val="000513D6"/>
    <w:rsid w:val="0005174C"/>
    <w:rsid w:val="0005191C"/>
    <w:rsid w:val="00051B5E"/>
    <w:rsid w:val="00051CA2"/>
    <w:rsid w:val="00051CAD"/>
    <w:rsid w:val="00051EA8"/>
    <w:rsid w:val="00052039"/>
    <w:rsid w:val="000528A5"/>
    <w:rsid w:val="00052936"/>
    <w:rsid w:val="00052C31"/>
    <w:rsid w:val="00052EA4"/>
    <w:rsid w:val="000534E9"/>
    <w:rsid w:val="000536D4"/>
    <w:rsid w:val="00054470"/>
    <w:rsid w:val="000546B3"/>
    <w:rsid w:val="0005475B"/>
    <w:rsid w:val="00054A64"/>
    <w:rsid w:val="00054D3E"/>
    <w:rsid w:val="00054D66"/>
    <w:rsid w:val="00054DBF"/>
    <w:rsid w:val="00055154"/>
    <w:rsid w:val="00055C37"/>
    <w:rsid w:val="00056061"/>
    <w:rsid w:val="000561AA"/>
    <w:rsid w:val="000563E3"/>
    <w:rsid w:val="00056665"/>
    <w:rsid w:val="00056BE0"/>
    <w:rsid w:val="00056C66"/>
    <w:rsid w:val="00057320"/>
    <w:rsid w:val="000579A7"/>
    <w:rsid w:val="000579EA"/>
    <w:rsid w:val="00057A0F"/>
    <w:rsid w:val="00057A4B"/>
    <w:rsid w:val="00060300"/>
    <w:rsid w:val="00060369"/>
    <w:rsid w:val="000603B4"/>
    <w:rsid w:val="00060A54"/>
    <w:rsid w:val="00060F51"/>
    <w:rsid w:val="00061148"/>
    <w:rsid w:val="00061BFD"/>
    <w:rsid w:val="00061D58"/>
    <w:rsid w:val="00061E11"/>
    <w:rsid w:val="00061EBD"/>
    <w:rsid w:val="00062147"/>
    <w:rsid w:val="000629AD"/>
    <w:rsid w:val="00062A21"/>
    <w:rsid w:val="00062B23"/>
    <w:rsid w:val="00062B49"/>
    <w:rsid w:val="00062B82"/>
    <w:rsid w:val="0006305A"/>
    <w:rsid w:val="0006356C"/>
    <w:rsid w:val="0006366F"/>
    <w:rsid w:val="00063ACB"/>
    <w:rsid w:val="000645D3"/>
    <w:rsid w:val="000647B2"/>
    <w:rsid w:val="00064CD0"/>
    <w:rsid w:val="00064CDD"/>
    <w:rsid w:val="00064E6D"/>
    <w:rsid w:val="00064F93"/>
    <w:rsid w:val="000650CD"/>
    <w:rsid w:val="000653D0"/>
    <w:rsid w:val="0006556C"/>
    <w:rsid w:val="00065B65"/>
    <w:rsid w:val="00065F42"/>
    <w:rsid w:val="0006638F"/>
    <w:rsid w:val="0006649B"/>
    <w:rsid w:val="000665EF"/>
    <w:rsid w:val="000673B3"/>
    <w:rsid w:val="00067C4A"/>
    <w:rsid w:val="00067D27"/>
    <w:rsid w:val="0007008A"/>
    <w:rsid w:val="000702B7"/>
    <w:rsid w:val="0007067D"/>
    <w:rsid w:val="00070B59"/>
    <w:rsid w:val="00070D16"/>
    <w:rsid w:val="00070F58"/>
    <w:rsid w:val="00071615"/>
    <w:rsid w:val="00071AB5"/>
    <w:rsid w:val="00071B60"/>
    <w:rsid w:val="000727FF"/>
    <w:rsid w:val="00072A1F"/>
    <w:rsid w:val="00072A32"/>
    <w:rsid w:val="00072B95"/>
    <w:rsid w:val="00073174"/>
    <w:rsid w:val="000733BC"/>
    <w:rsid w:val="0007368B"/>
    <w:rsid w:val="00073A99"/>
    <w:rsid w:val="00073E73"/>
    <w:rsid w:val="00073EDA"/>
    <w:rsid w:val="00073F8A"/>
    <w:rsid w:val="0007401A"/>
    <w:rsid w:val="0007469B"/>
    <w:rsid w:val="00074F55"/>
    <w:rsid w:val="000751E3"/>
    <w:rsid w:val="00075262"/>
    <w:rsid w:val="0007589D"/>
    <w:rsid w:val="00075962"/>
    <w:rsid w:val="00075A85"/>
    <w:rsid w:val="00075BD0"/>
    <w:rsid w:val="00076423"/>
    <w:rsid w:val="000764FA"/>
    <w:rsid w:val="000766DD"/>
    <w:rsid w:val="00076D80"/>
    <w:rsid w:val="00076E5E"/>
    <w:rsid w:val="00077199"/>
    <w:rsid w:val="000773C3"/>
    <w:rsid w:val="00077915"/>
    <w:rsid w:val="00077FBB"/>
    <w:rsid w:val="00080370"/>
    <w:rsid w:val="0008044E"/>
    <w:rsid w:val="0008060E"/>
    <w:rsid w:val="0008159A"/>
    <w:rsid w:val="00081D6B"/>
    <w:rsid w:val="00081DB5"/>
    <w:rsid w:val="000820D3"/>
    <w:rsid w:val="00082328"/>
    <w:rsid w:val="000825A8"/>
    <w:rsid w:val="0008294E"/>
    <w:rsid w:val="00082AD7"/>
    <w:rsid w:val="00082EA7"/>
    <w:rsid w:val="00082F32"/>
    <w:rsid w:val="00082FA8"/>
    <w:rsid w:val="00083030"/>
    <w:rsid w:val="000831D9"/>
    <w:rsid w:val="00083645"/>
    <w:rsid w:val="00083706"/>
    <w:rsid w:val="00083947"/>
    <w:rsid w:val="00083B2D"/>
    <w:rsid w:val="000841E6"/>
    <w:rsid w:val="00084457"/>
    <w:rsid w:val="000849AF"/>
    <w:rsid w:val="00085894"/>
    <w:rsid w:val="00085C27"/>
    <w:rsid w:val="00086527"/>
    <w:rsid w:val="0008677A"/>
    <w:rsid w:val="00086F1D"/>
    <w:rsid w:val="00087248"/>
    <w:rsid w:val="0008724D"/>
    <w:rsid w:val="00087974"/>
    <w:rsid w:val="00087AB5"/>
    <w:rsid w:val="00087B72"/>
    <w:rsid w:val="00087C4F"/>
    <w:rsid w:val="00087E76"/>
    <w:rsid w:val="00087F3F"/>
    <w:rsid w:val="00090235"/>
    <w:rsid w:val="00090394"/>
    <w:rsid w:val="000906F1"/>
    <w:rsid w:val="000906F4"/>
    <w:rsid w:val="0009081C"/>
    <w:rsid w:val="00090EF3"/>
    <w:rsid w:val="0009118A"/>
    <w:rsid w:val="000911BD"/>
    <w:rsid w:val="000913F5"/>
    <w:rsid w:val="00091D14"/>
    <w:rsid w:val="00091D9E"/>
    <w:rsid w:val="00091DAD"/>
    <w:rsid w:val="00091F5F"/>
    <w:rsid w:val="00093537"/>
    <w:rsid w:val="0009394B"/>
    <w:rsid w:val="00094268"/>
    <w:rsid w:val="00094494"/>
    <w:rsid w:val="0009492F"/>
    <w:rsid w:val="00095248"/>
    <w:rsid w:val="00095BD8"/>
    <w:rsid w:val="00095FC2"/>
    <w:rsid w:val="0009623B"/>
    <w:rsid w:val="00096516"/>
    <w:rsid w:val="000967CF"/>
    <w:rsid w:val="00097065"/>
    <w:rsid w:val="00097455"/>
    <w:rsid w:val="00097A82"/>
    <w:rsid w:val="00097C53"/>
    <w:rsid w:val="000A015D"/>
    <w:rsid w:val="000A040B"/>
    <w:rsid w:val="000A048C"/>
    <w:rsid w:val="000A0B02"/>
    <w:rsid w:val="000A0E1A"/>
    <w:rsid w:val="000A105F"/>
    <w:rsid w:val="000A1444"/>
    <w:rsid w:val="000A15A7"/>
    <w:rsid w:val="000A1E5F"/>
    <w:rsid w:val="000A1FF0"/>
    <w:rsid w:val="000A241E"/>
    <w:rsid w:val="000A25BF"/>
    <w:rsid w:val="000A2744"/>
    <w:rsid w:val="000A2CFE"/>
    <w:rsid w:val="000A3580"/>
    <w:rsid w:val="000A3673"/>
    <w:rsid w:val="000A36AD"/>
    <w:rsid w:val="000A37F9"/>
    <w:rsid w:val="000A394D"/>
    <w:rsid w:val="000A4B26"/>
    <w:rsid w:val="000A5343"/>
    <w:rsid w:val="000A555E"/>
    <w:rsid w:val="000A5694"/>
    <w:rsid w:val="000A5783"/>
    <w:rsid w:val="000A57A6"/>
    <w:rsid w:val="000A647A"/>
    <w:rsid w:val="000A6520"/>
    <w:rsid w:val="000A6580"/>
    <w:rsid w:val="000A695F"/>
    <w:rsid w:val="000A6AF2"/>
    <w:rsid w:val="000A6B8D"/>
    <w:rsid w:val="000A7A40"/>
    <w:rsid w:val="000A7DCC"/>
    <w:rsid w:val="000B006E"/>
    <w:rsid w:val="000B00AB"/>
    <w:rsid w:val="000B062A"/>
    <w:rsid w:val="000B0735"/>
    <w:rsid w:val="000B076A"/>
    <w:rsid w:val="000B08BB"/>
    <w:rsid w:val="000B0A17"/>
    <w:rsid w:val="000B11E9"/>
    <w:rsid w:val="000B1799"/>
    <w:rsid w:val="000B1D95"/>
    <w:rsid w:val="000B1D98"/>
    <w:rsid w:val="000B1F1D"/>
    <w:rsid w:val="000B21DF"/>
    <w:rsid w:val="000B27B0"/>
    <w:rsid w:val="000B2BE1"/>
    <w:rsid w:val="000B35D6"/>
    <w:rsid w:val="000B3900"/>
    <w:rsid w:val="000B3D0E"/>
    <w:rsid w:val="000B410E"/>
    <w:rsid w:val="000B4334"/>
    <w:rsid w:val="000B4421"/>
    <w:rsid w:val="000B45D1"/>
    <w:rsid w:val="000B4610"/>
    <w:rsid w:val="000B4684"/>
    <w:rsid w:val="000B4779"/>
    <w:rsid w:val="000B4834"/>
    <w:rsid w:val="000B4E11"/>
    <w:rsid w:val="000B5491"/>
    <w:rsid w:val="000B5C06"/>
    <w:rsid w:val="000B61D2"/>
    <w:rsid w:val="000B6221"/>
    <w:rsid w:val="000B6448"/>
    <w:rsid w:val="000B68A7"/>
    <w:rsid w:val="000B6CDB"/>
    <w:rsid w:val="000B6E40"/>
    <w:rsid w:val="000B76DA"/>
    <w:rsid w:val="000B7FD3"/>
    <w:rsid w:val="000C0570"/>
    <w:rsid w:val="000C0A21"/>
    <w:rsid w:val="000C10AE"/>
    <w:rsid w:val="000C13DF"/>
    <w:rsid w:val="000C179C"/>
    <w:rsid w:val="000C1A2C"/>
    <w:rsid w:val="000C203D"/>
    <w:rsid w:val="000C2649"/>
    <w:rsid w:val="000C26A7"/>
    <w:rsid w:val="000C2907"/>
    <w:rsid w:val="000C29D4"/>
    <w:rsid w:val="000C2C4F"/>
    <w:rsid w:val="000C2E64"/>
    <w:rsid w:val="000C3095"/>
    <w:rsid w:val="000C3290"/>
    <w:rsid w:val="000C3780"/>
    <w:rsid w:val="000C3CF9"/>
    <w:rsid w:val="000C4083"/>
    <w:rsid w:val="000C419B"/>
    <w:rsid w:val="000C43E3"/>
    <w:rsid w:val="000C4615"/>
    <w:rsid w:val="000C4616"/>
    <w:rsid w:val="000C475D"/>
    <w:rsid w:val="000C4787"/>
    <w:rsid w:val="000C47A8"/>
    <w:rsid w:val="000C4CDB"/>
    <w:rsid w:val="000C4DC3"/>
    <w:rsid w:val="000C561A"/>
    <w:rsid w:val="000C5D23"/>
    <w:rsid w:val="000C606D"/>
    <w:rsid w:val="000C6180"/>
    <w:rsid w:val="000C65BC"/>
    <w:rsid w:val="000C6B8F"/>
    <w:rsid w:val="000C6CB7"/>
    <w:rsid w:val="000C6E81"/>
    <w:rsid w:val="000C7C7F"/>
    <w:rsid w:val="000D0000"/>
    <w:rsid w:val="000D00E7"/>
    <w:rsid w:val="000D039C"/>
    <w:rsid w:val="000D03EF"/>
    <w:rsid w:val="000D0503"/>
    <w:rsid w:val="000D0913"/>
    <w:rsid w:val="000D097E"/>
    <w:rsid w:val="000D16BF"/>
    <w:rsid w:val="000D1AD4"/>
    <w:rsid w:val="000D1FAC"/>
    <w:rsid w:val="000D205E"/>
    <w:rsid w:val="000D230F"/>
    <w:rsid w:val="000D28FF"/>
    <w:rsid w:val="000D2D9C"/>
    <w:rsid w:val="000D2EC0"/>
    <w:rsid w:val="000D3510"/>
    <w:rsid w:val="000D3769"/>
    <w:rsid w:val="000D3D28"/>
    <w:rsid w:val="000D436F"/>
    <w:rsid w:val="000D50E4"/>
    <w:rsid w:val="000D52AE"/>
    <w:rsid w:val="000D556E"/>
    <w:rsid w:val="000D5859"/>
    <w:rsid w:val="000D59C5"/>
    <w:rsid w:val="000D605D"/>
    <w:rsid w:val="000D621F"/>
    <w:rsid w:val="000D65A7"/>
    <w:rsid w:val="000D6784"/>
    <w:rsid w:val="000D752A"/>
    <w:rsid w:val="000D756E"/>
    <w:rsid w:val="000E0840"/>
    <w:rsid w:val="000E0AF5"/>
    <w:rsid w:val="000E0BF3"/>
    <w:rsid w:val="000E0C64"/>
    <w:rsid w:val="000E0C8E"/>
    <w:rsid w:val="000E1384"/>
    <w:rsid w:val="000E1820"/>
    <w:rsid w:val="000E1B63"/>
    <w:rsid w:val="000E2105"/>
    <w:rsid w:val="000E2529"/>
    <w:rsid w:val="000E2577"/>
    <w:rsid w:val="000E2AD1"/>
    <w:rsid w:val="000E2F62"/>
    <w:rsid w:val="000E3710"/>
    <w:rsid w:val="000E373B"/>
    <w:rsid w:val="000E3EF2"/>
    <w:rsid w:val="000E43EC"/>
    <w:rsid w:val="000E442F"/>
    <w:rsid w:val="000E4A4E"/>
    <w:rsid w:val="000E4BF3"/>
    <w:rsid w:val="000E4EC1"/>
    <w:rsid w:val="000E4F4D"/>
    <w:rsid w:val="000E54B5"/>
    <w:rsid w:val="000E5716"/>
    <w:rsid w:val="000E574E"/>
    <w:rsid w:val="000E59B0"/>
    <w:rsid w:val="000E5AF9"/>
    <w:rsid w:val="000E5F32"/>
    <w:rsid w:val="000E61F7"/>
    <w:rsid w:val="000E670F"/>
    <w:rsid w:val="000E6760"/>
    <w:rsid w:val="000E68D4"/>
    <w:rsid w:val="000E6A08"/>
    <w:rsid w:val="000E6CEE"/>
    <w:rsid w:val="000E6FC7"/>
    <w:rsid w:val="000E70EF"/>
    <w:rsid w:val="000E7327"/>
    <w:rsid w:val="000E76AC"/>
    <w:rsid w:val="000E78F3"/>
    <w:rsid w:val="000F01AE"/>
    <w:rsid w:val="000F0386"/>
    <w:rsid w:val="000F0828"/>
    <w:rsid w:val="000F0869"/>
    <w:rsid w:val="000F0BB8"/>
    <w:rsid w:val="000F0C89"/>
    <w:rsid w:val="000F0DE0"/>
    <w:rsid w:val="000F0FCE"/>
    <w:rsid w:val="000F0FEE"/>
    <w:rsid w:val="000F1295"/>
    <w:rsid w:val="000F1E4C"/>
    <w:rsid w:val="000F23F1"/>
    <w:rsid w:val="000F2731"/>
    <w:rsid w:val="000F29C0"/>
    <w:rsid w:val="000F2EFE"/>
    <w:rsid w:val="000F3331"/>
    <w:rsid w:val="000F3781"/>
    <w:rsid w:val="000F38C9"/>
    <w:rsid w:val="000F3D90"/>
    <w:rsid w:val="000F3F37"/>
    <w:rsid w:val="000F47A4"/>
    <w:rsid w:val="000F480F"/>
    <w:rsid w:val="000F4845"/>
    <w:rsid w:val="000F486F"/>
    <w:rsid w:val="000F4A6C"/>
    <w:rsid w:val="000F4AB7"/>
    <w:rsid w:val="000F50E2"/>
    <w:rsid w:val="000F51C8"/>
    <w:rsid w:val="000F524C"/>
    <w:rsid w:val="000F5E10"/>
    <w:rsid w:val="000F6848"/>
    <w:rsid w:val="000F6AC6"/>
    <w:rsid w:val="000F6C9E"/>
    <w:rsid w:val="000F6F6F"/>
    <w:rsid w:val="000F7093"/>
    <w:rsid w:val="000F713F"/>
    <w:rsid w:val="000F72A4"/>
    <w:rsid w:val="000F790F"/>
    <w:rsid w:val="000F7CC6"/>
    <w:rsid w:val="000F7FFD"/>
    <w:rsid w:val="00100118"/>
    <w:rsid w:val="00100288"/>
    <w:rsid w:val="00100299"/>
    <w:rsid w:val="001002C5"/>
    <w:rsid w:val="001005F2"/>
    <w:rsid w:val="00100D7C"/>
    <w:rsid w:val="00100E58"/>
    <w:rsid w:val="001011D5"/>
    <w:rsid w:val="0010147A"/>
    <w:rsid w:val="00101A76"/>
    <w:rsid w:val="00101C15"/>
    <w:rsid w:val="00101FB4"/>
    <w:rsid w:val="001020CD"/>
    <w:rsid w:val="00102195"/>
    <w:rsid w:val="00102642"/>
    <w:rsid w:val="001026C8"/>
    <w:rsid w:val="0010330E"/>
    <w:rsid w:val="0010334F"/>
    <w:rsid w:val="001038E3"/>
    <w:rsid w:val="00103911"/>
    <w:rsid w:val="00103B70"/>
    <w:rsid w:val="00103BB6"/>
    <w:rsid w:val="00103CD7"/>
    <w:rsid w:val="00103E59"/>
    <w:rsid w:val="00103F58"/>
    <w:rsid w:val="0010434C"/>
    <w:rsid w:val="00104575"/>
    <w:rsid w:val="001051D2"/>
    <w:rsid w:val="001054E2"/>
    <w:rsid w:val="001055D7"/>
    <w:rsid w:val="00105AD5"/>
    <w:rsid w:val="00105E53"/>
    <w:rsid w:val="00106BFC"/>
    <w:rsid w:val="00106D97"/>
    <w:rsid w:val="00106ED7"/>
    <w:rsid w:val="00107208"/>
    <w:rsid w:val="001073C7"/>
    <w:rsid w:val="001075EB"/>
    <w:rsid w:val="00107771"/>
    <w:rsid w:val="001077A8"/>
    <w:rsid w:val="00107900"/>
    <w:rsid w:val="00107DAB"/>
    <w:rsid w:val="001102A2"/>
    <w:rsid w:val="00110339"/>
    <w:rsid w:val="001106B3"/>
    <w:rsid w:val="00110AC8"/>
    <w:rsid w:val="00110AD8"/>
    <w:rsid w:val="00111A2C"/>
    <w:rsid w:val="00111D4C"/>
    <w:rsid w:val="00111DB3"/>
    <w:rsid w:val="00112145"/>
    <w:rsid w:val="0011224D"/>
    <w:rsid w:val="0011274A"/>
    <w:rsid w:val="00112875"/>
    <w:rsid w:val="00112CE9"/>
    <w:rsid w:val="001131A0"/>
    <w:rsid w:val="001135A8"/>
    <w:rsid w:val="001136D8"/>
    <w:rsid w:val="00113CC2"/>
    <w:rsid w:val="00114256"/>
    <w:rsid w:val="0011426F"/>
    <w:rsid w:val="00114459"/>
    <w:rsid w:val="0011452E"/>
    <w:rsid w:val="00114583"/>
    <w:rsid w:val="00114BCF"/>
    <w:rsid w:val="00114D18"/>
    <w:rsid w:val="001152D7"/>
    <w:rsid w:val="00115549"/>
    <w:rsid w:val="00115B04"/>
    <w:rsid w:val="001163F2"/>
    <w:rsid w:val="00116526"/>
    <w:rsid w:val="001165D7"/>
    <w:rsid w:val="00116BB7"/>
    <w:rsid w:val="00116DFA"/>
    <w:rsid w:val="00116E85"/>
    <w:rsid w:val="00117401"/>
    <w:rsid w:val="001174B7"/>
    <w:rsid w:val="00117B58"/>
    <w:rsid w:val="00117B72"/>
    <w:rsid w:val="00117E78"/>
    <w:rsid w:val="001201E1"/>
    <w:rsid w:val="0012073E"/>
    <w:rsid w:val="001207F7"/>
    <w:rsid w:val="00120CB1"/>
    <w:rsid w:val="00120E17"/>
    <w:rsid w:val="00120EF0"/>
    <w:rsid w:val="00120F4B"/>
    <w:rsid w:val="00121252"/>
    <w:rsid w:val="0012126C"/>
    <w:rsid w:val="00121727"/>
    <w:rsid w:val="00121AD5"/>
    <w:rsid w:val="00122036"/>
    <w:rsid w:val="0012207E"/>
    <w:rsid w:val="001222FB"/>
    <w:rsid w:val="001224F5"/>
    <w:rsid w:val="00122577"/>
    <w:rsid w:val="001225DF"/>
    <w:rsid w:val="001231FC"/>
    <w:rsid w:val="00123318"/>
    <w:rsid w:val="00123AEE"/>
    <w:rsid w:val="0012429F"/>
    <w:rsid w:val="0012437D"/>
    <w:rsid w:val="001247CC"/>
    <w:rsid w:val="001248C9"/>
    <w:rsid w:val="00124923"/>
    <w:rsid w:val="00124A90"/>
    <w:rsid w:val="00125429"/>
    <w:rsid w:val="001255DD"/>
    <w:rsid w:val="00125663"/>
    <w:rsid w:val="00125DEA"/>
    <w:rsid w:val="00126101"/>
    <w:rsid w:val="0012671B"/>
    <w:rsid w:val="001267BC"/>
    <w:rsid w:val="00126D4F"/>
    <w:rsid w:val="00127064"/>
    <w:rsid w:val="00127405"/>
    <w:rsid w:val="00127A0E"/>
    <w:rsid w:val="00127B5A"/>
    <w:rsid w:val="001300CB"/>
    <w:rsid w:val="00130177"/>
    <w:rsid w:val="001312C2"/>
    <w:rsid w:val="0013135E"/>
    <w:rsid w:val="00131478"/>
    <w:rsid w:val="0013171F"/>
    <w:rsid w:val="0013177C"/>
    <w:rsid w:val="0013182E"/>
    <w:rsid w:val="00131B81"/>
    <w:rsid w:val="00131C51"/>
    <w:rsid w:val="00131CD2"/>
    <w:rsid w:val="00132005"/>
    <w:rsid w:val="001322A8"/>
    <w:rsid w:val="00132392"/>
    <w:rsid w:val="001324E0"/>
    <w:rsid w:val="001326AA"/>
    <w:rsid w:val="0013272B"/>
    <w:rsid w:val="001336AB"/>
    <w:rsid w:val="0013388F"/>
    <w:rsid w:val="00133B9D"/>
    <w:rsid w:val="001348EC"/>
    <w:rsid w:val="00134E16"/>
    <w:rsid w:val="00134FA5"/>
    <w:rsid w:val="001350B6"/>
    <w:rsid w:val="001357F8"/>
    <w:rsid w:val="00135DD6"/>
    <w:rsid w:val="0013687A"/>
    <w:rsid w:val="001370FE"/>
    <w:rsid w:val="00137174"/>
    <w:rsid w:val="0013782D"/>
    <w:rsid w:val="00137A9C"/>
    <w:rsid w:val="00137B64"/>
    <w:rsid w:val="00137B65"/>
    <w:rsid w:val="00137F91"/>
    <w:rsid w:val="0014048C"/>
    <w:rsid w:val="001407EA"/>
    <w:rsid w:val="00140976"/>
    <w:rsid w:val="001409E1"/>
    <w:rsid w:val="00140EBA"/>
    <w:rsid w:val="0014105A"/>
    <w:rsid w:val="0014105B"/>
    <w:rsid w:val="0014129D"/>
    <w:rsid w:val="001412A8"/>
    <w:rsid w:val="00141302"/>
    <w:rsid w:val="001417F2"/>
    <w:rsid w:val="00141B3C"/>
    <w:rsid w:val="00141C62"/>
    <w:rsid w:val="00141D6A"/>
    <w:rsid w:val="00142002"/>
    <w:rsid w:val="001423BC"/>
    <w:rsid w:val="0014251E"/>
    <w:rsid w:val="00142980"/>
    <w:rsid w:val="0014299B"/>
    <w:rsid w:val="00142A29"/>
    <w:rsid w:val="00142B06"/>
    <w:rsid w:val="00142E66"/>
    <w:rsid w:val="00143063"/>
    <w:rsid w:val="00143500"/>
    <w:rsid w:val="001439C1"/>
    <w:rsid w:val="00143DFE"/>
    <w:rsid w:val="00144535"/>
    <w:rsid w:val="00144732"/>
    <w:rsid w:val="001449F1"/>
    <w:rsid w:val="00144BB3"/>
    <w:rsid w:val="00145212"/>
    <w:rsid w:val="001452A1"/>
    <w:rsid w:val="00145702"/>
    <w:rsid w:val="00145D00"/>
    <w:rsid w:val="00145D36"/>
    <w:rsid w:val="00145E8A"/>
    <w:rsid w:val="00145FE5"/>
    <w:rsid w:val="00146536"/>
    <w:rsid w:val="00146C40"/>
    <w:rsid w:val="00146ED0"/>
    <w:rsid w:val="0014721E"/>
    <w:rsid w:val="001472F9"/>
    <w:rsid w:val="00147350"/>
    <w:rsid w:val="0014743E"/>
    <w:rsid w:val="00147563"/>
    <w:rsid w:val="00147A1E"/>
    <w:rsid w:val="00147D9F"/>
    <w:rsid w:val="0015008D"/>
    <w:rsid w:val="00150528"/>
    <w:rsid w:val="001508E3"/>
    <w:rsid w:val="00150E23"/>
    <w:rsid w:val="00151442"/>
    <w:rsid w:val="00151513"/>
    <w:rsid w:val="00151AD6"/>
    <w:rsid w:val="00152392"/>
    <w:rsid w:val="00152708"/>
    <w:rsid w:val="001528C3"/>
    <w:rsid w:val="00152EEA"/>
    <w:rsid w:val="00152EFB"/>
    <w:rsid w:val="0015340F"/>
    <w:rsid w:val="001535CE"/>
    <w:rsid w:val="00153655"/>
    <w:rsid w:val="00153EE5"/>
    <w:rsid w:val="00154192"/>
    <w:rsid w:val="00154A8C"/>
    <w:rsid w:val="00154FE1"/>
    <w:rsid w:val="0015597D"/>
    <w:rsid w:val="00155B20"/>
    <w:rsid w:val="00155B70"/>
    <w:rsid w:val="00155CDE"/>
    <w:rsid w:val="001560A8"/>
    <w:rsid w:val="00156276"/>
    <w:rsid w:val="0015629C"/>
    <w:rsid w:val="00156896"/>
    <w:rsid w:val="00156C2E"/>
    <w:rsid w:val="00156CF1"/>
    <w:rsid w:val="00156D3B"/>
    <w:rsid w:val="0015720F"/>
    <w:rsid w:val="00157860"/>
    <w:rsid w:val="001578EC"/>
    <w:rsid w:val="001579C8"/>
    <w:rsid w:val="00157B2C"/>
    <w:rsid w:val="00157CBF"/>
    <w:rsid w:val="00157D45"/>
    <w:rsid w:val="001601CF"/>
    <w:rsid w:val="001601E3"/>
    <w:rsid w:val="00160330"/>
    <w:rsid w:val="00160F77"/>
    <w:rsid w:val="001618FD"/>
    <w:rsid w:val="001619B0"/>
    <w:rsid w:val="00161B17"/>
    <w:rsid w:val="00161CF0"/>
    <w:rsid w:val="00161DC9"/>
    <w:rsid w:val="001620F2"/>
    <w:rsid w:val="00162156"/>
    <w:rsid w:val="00162981"/>
    <w:rsid w:val="00162A10"/>
    <w:rsid w:val="00162A5C"/>
    <w:rsid w:val="00162B31"/>
    <w:rsid w:val="00162BC3"/>
    <w:rsid w:val="001630F0"/>
    <w:rsid w:val="001631FB"/>
    <w:rsid w:val="001638E9"/>
    <w:rsid w:val="00163B60"/>
    <w:rsid w:val="0016419A"/>
    <w:rsid w:val="00164C1F"/>
    <w:rsid w:val="00164F22"/>
    <w:rsid w:val="00164FA8"/>
    <w:rsid w:val="0016502F"/>
    <w:rsid w:val="00165561"/>
    <w:rsid w:val="0016567F"/>
    <w:rsid w:val="001658FA"/>
    <w:rsid w:val="0016653B"/>
    <w:rsid w:val="0016682A"/>
    <w:rsid w:val="00166A5A"/>
    <w:rsid w:val="00166F4E"/>
    <w:rsid w:val="00167657"/>
    <w:rsid w:val="001702D5"/>
    <w:rsid w:val="00170C56"/>
    <w:rsid w:val="00170CA6"/>
    <w:rsid w:val="00170CDF"/>
    <w:rsid w:val="00170D31"/>
    <w:rsid w:val="00170D58"/>
    <w:rsid w:val="001710EA"/>
    <w:rsid w:val="0017185E"/>
    <w:rsid w:val="001719F2"/>
    <w:rsid w:val="00171AA3"/>
    <w:rsid w:val="00171AA4"/>
    <w:rsid w:val="00171E6C"/>
    <w:rsid w:val="001720C0"/>
    <w:rsid w:val="00172215"/>
    <w:rsid w:val="001722BC"/>
    <w:rsid w:val="001723CF"/>
    <w:rsid w:val="001725B4"/>
    <w:rsid w:val="00172DB5"/>
    <w:rsid w:val="00172FFB"/>
    <w:rsid w:val="00173239"/>
    <w:rsid w:val="0017336B"/>
    <w:rsid w:val="00173428"/>
    <w:rsid w:val="001737E7"/>
    <w:rsid w:val="001743B2"/>
    <w:rsid w:val="001743B7"/>
    <w:rsid w:val="0017447D"/>
    <w:rsid w:val="00174538"/>
    <w:rsid w:val="00174785"/>
    <w:rsid w:val="0017493D"/>
    <w:rsid w:val="00174BF8"/>
    <w:rsid w:val="001755E1"/>
    <w:rsid w:val="0017577B"/>
    <w:rsid w:val="001757A1"/>
    <w:rsid w:val="00175B89"/>
    <w:rsid w:val="00175B91"/>
    <w:rsid w:val="00175C28"/>
    <w:rsid w:val="00175CC8"/>
    <w:rsid w:val="00176188"/>
    <w:rsid w:val="001762F5"/>
    <w:rsid w:val="001765B8"/>
    <w:rsid w:val="00176717"/>
    <w:rsid w:val="00176C27"/>
    <w:rsid w:val="00176C54"/>
    <w:rsid w:val="00177263"/>
    <w:rsid w:val="001774FE"/>
    <w:rsid w:val="001775FB"/>
    <w:rsid w:val="0017761D"/>
    <w:rsid w:val="00177D2A"/>
    <w:rsid w:val="00177E7E"/>
    <w:rsid w:val="0018009A"/>
    <w:rsid w:val="00180576"/>
    <w:rsid w:val="001807B0"/>
    <w:rsid w:val="00180A9B"/>
    <w:rsid w:val="00180D5D"/>
    <w:rsid w:val="00180ED9"/>
    <w:rsid w:val="0018181B"/>
    <w:rsid w:val="001819F9"/>
    <w:rsid w:val="00181D9A"/>
    <w:rsid w:val="00182208"/>
    <w:rsid w:val="001823CE"/>
    <w:rsid w:val="00182B53"/>
    <w:rsid w:val="001833F5"/>
    <w:rsid w:val="00183AF9"/>
    <w:rsid w:val="00183CE5"/>
    <w:rsid w:val="00183DE7"/>
    <w:rsid w:val="00183E77"/>
    <w:rsid w:val="00183EA6"/>
    <w:rsid w:val="00184859"/>
    <w:rsid w:val="001853DD"/>
    <w:rsid w:val="0018595D"/>
    <w:rsid w:val="00185A4B"/>
    <w:rsid w:val="00185A50"/>
    <w:rsid w:val="0018635A"/>
    <w:rsid w:val="00186513"/>
    <w:rsid w:val="0018678D"/>
    <w:rsid w:val="001868EC"/>
    <w:rsid w:val="001869DB"/>
    <w:rsid w:val="00187189"/>
    <w:rsid w:val="00187456"/>
    <w:rsid w:val="00187511"/>
    <w:rsid w:val="001877AC"/>
    <w:rsid w:val="00187982"/>
    <w:rsid w:val="00187A33"/>
    <w:rsid w:val="00187D86"/>
    <w:rsid w:val="00187D92"/>
    <w:rsid w:val="0019026A"/>
    <w:rsid w:val="001911A0"/>
    <w:rsid w:val="00191462"/>
    <w:rsid w:val="00191BD2"/>
    <w:rsid w:val="00191E9B"/>
    <w:rsid w:val="00191FF4"/>
    <w:rsid w:val="00191FF9"/>
    <w:rsid w:val="00191FFB"/>
    <w:rsid w:val="00192163"/>
    <w:rsid w:val="00192CED"/>
    <w:rsid w:val="00192DCD"/>
    <w:rsid w:val="00192FC5"/>
    <w:rsid w:val="00193254"/>
    <w:rsid w:val="001932D9"/>
    <w:rsid w:val="00193504"/>
    <w:rsid w:val="001936A2"/>
    <w:rsid w:val="00193956"/>
    <w:rsid w:val="00193A59"/>
    <w:rsid w:val="00193ABA"/>
    <w:rsid w:val="00193D0B"/>
    <w:rsid w:val="001941EF"/>
    <w:rsid w:val="001941FE"/>
    <w:rsid w:val="0019426F"/>
    <w:rsid w:val="001945A9"/>
    <w:rsid w:val="001947C7"/>
    <w:rsid w:val="00194842"/>
    <w:rsid w:val="00194961"/>
    <w:rsid w:val="00195140"/>
    <w:rsid w:val="0019517E"/>
    <w:rsid w:val="00195331"/>
    <w:rsid w:val="001957E1"/>
    <w:rsid w:val="001958D7"/>
    <w:rsid w:val="00195A65"/>
    <w:rsid w:val="00195C42"/>
    <w:rsid w:val="00196346"/>
    <w:rsid w:val="00196513"/>
    <w:rsid w:val="00196657"/>
    <w:rsid w:val="00196BF3"/>
    <w:rsid w:val="00196E26"/>
    <w:rsid w:val="0019706E"/>
    <w:rsid w:val="00197632"/>
    <w:rsid w:val="00197991"/>
    <w:rsid w:val="001A0284"/>
    <w:rsid w:val="001A0297"/>
    <w:rsid w:val="001A0576"/>
    <w:rsid w:val="001A08E8"/>
    <w:rsid w:val="001A0B22"/>
    <w:rsid w:val="001A0F2D"/>
    <w:rsid w:val="001A0F7D"/>
    <w:rsid w:val="001A102E"/>
    <w:rsid w:val="001A10B2"/>
    <w:rsid w:val="001A1393"/>
    <w:rsid w:val="001A13D7"/>
    <w:rsid w:val="001A1B18"/>
    <w:rsid w:val="001A1D2B"/>
    <w:rsid w:val="001A2303"/>
    <w:rsid w:val="001A254B"/>
    <w:rsid w:val="001A2B58"/>
    <w:rsid w:val="001A2E42"/>
    <w:rsid w:val="001A3227"/>
    <w:rsid w:val="001A3753"/>
    <w:rsid w:val="001A3A7F"/>
    <w:rsid w:val="001A3D8C"/>
    <w:rsid w:val="001A3EF1"/>
    <w:rsid w:val="001A3FF1"/>
    <w:rsid w:val="001A4422"/>
    <w:rsid w:val="001A52FF"/>
    <w:rsid w:val="001A5366"/>
    <w:rsid w:val="001A5786"/>
    <w:rsid w:val="001A5942"/>
    <w:rsid w:val="001A5ADA"/>
    <w:rsid w:val="001A5C13"/>
    <w:rsid w:val="001A5F35"/>
    <w:rsid w:val="001A5FDF"/>
    <w:rsid w:val="001A6378"/>
    <w:rsid w:val="001A67C9"/>
    <w:rsid w:val="001A6A96"/>
    <w:rsid w:val="001A6C6D"/>
    <w:rsid w:val="001A6D0A"/>
    <w:rsid w:val="001A7245"/>
    <w:rsid w:val="001A72F2"/>
    <w:rsid w:val="001A74C3"/>
    <w:rsid w:val="001A7598"/>
    <w:rsid w:val="001A75C2"/>
    <w:rsid w:val="001A7617"/>
    <w:rsid w:val="001A7A1A"/>
    <w:rsid w:val="001A7ADD"/>
    <w:rsid w:val="001A7BA1"/>
    <w:rsid w:val="001B0238"/>
    <w:rsid w:val="001B051A"/>
    <w:rsid w:val="001B0546"/>
    <w:rsid w:val="001B09ED"/>
    <w:rsid w:val="001B12F5"/>
    <w:rsid w:val="001B14AD"/>
    <w:rsid w:val="001B1603"/>
    <w:rsid w:val="001B174B"/>
    <w:rsid w:val="001B181E"/>
    <w:rsid w:val="001B1C2E"/>
    <w:rsid w:val="001B1EC4"/>
    <w:rsid w:val="001B1FBF"/>
    <w:rsid w:val="001B21A9"/>
    <w:rsid w:val="001B2489"/>
    <w:rsid w:val="001B2566"/>
    <w:rsid w:val="001B26C7"/>
    <w:rsid w:val="001B28A3"/>
    <w:rsid w:val="001B2953"/>
    <w:rsid w:val="001B2ACF"/>
    <w:rsid w:val="001B2AD3"/>
    <w:rsid w:val="001B3085"/>
    <w:rsid w:val="001B36B2"/>
    <w:rsid w:val="001B3EBA"/>
    <w:rsid w:val="001B413A"/>
    <w:rsid w:val="001B42D7"/>
    <w:rsid w:val="001B435C"/>
    <w:rsid w:val="001B4678"/>
    <w:rsid w:val="001B4762"/>
    <w:rsid w:val="001B4FF3"/>
    <w:rsid w:val="001B53E2"/>
    <w:rsid w:val="001B5415"/>
    <w:rsid w:val="001B556F"/>
    <w:rsid w:val="001B58BD"/>
    <w:rsid w:val="001B5923"/>
    <w:rsid w:val="001B5C50"/>
    <w:rsid w:val="001B5D52"/>
    <w:rsid w:val="001B621E"/>
    <w:rsid w:val="001B6680"/>
    <w:rsid w:val="001B6745"/>
    <w:rsid w:val="001B676B"/>
    <w:rsid w:val="001B71BA"/>
    <w:rsid w:val="001B744E"/>
    <w:rsid w:val="001B78E6"/>
    <w:rsid w:val="001B7F5D"/>
    <w:rsid w:val="001C00DF"/>
    <w:rsid w:val="001C04F0"/>
    <w:rsid w:val="001C05CD"/>
    <w:rsid w:val="001C0E72"/>
    <w:rsid w:val="001C1755"/>
    <w:rsid w:val="001C196E"/>
    <w:rsid w:val="001C1BE0"/>
    <w:rsid w:val="001C1D4A"/>
    <w:rsid w:val="001C2367"/>
    <w:rsid w:val="001C2570"/>
    <w:rsid w:val="001C2BEF"/>
    <w:rsid w:val="001C2ED3"/>
    <w:rsid w:val="001C3364"/>
    <w:rsid w:val="001C3550"/>
    <w:rsid w:val="001C41EC"/>
    <w:rsid w:val="001C4876"/>
    <w:rsid w:val="001C4ECE"/>
    <w:rsid w:val="001C5042"/>
    <w:rsid w:val="001C50A7"/>
    <w:rsid w:val="001C5302"/>
    <w:rsid w:val="001C53BD"/>
    <w:rsid w:val="001C5582"/>
    <w:rsid w:val="001C5A5A"/>
    <w:rsid w:val="001C5B0B"/>
    <w:rsid w:val="001C5C7A"/>
    <w:rsid w:val="001C60CA"/>
    <w:rsid w:val="001C61BB"/>
    <w:rsid w:val="001C6BB9"/>
    <w:rsid w:val="001C6DE1"/>
    <w:rsid w:val="001C7088"/>
    <w:rsid w:val="001C70A4"/>
    <w:rsid w:val="001C7293"/>
    <w:rsid w:val="001C734F"/>
    <w:rsid w:val="001C7600"/>
    <w:rsid w:val="001C776B"/>
    <w:rsid w:val="001D01A9"/>
    <w:rsid w:val="001D0336"/>
    <w:rsid w:val="001D044C"/>
    <w:rsid w:val="001D067E"/>
    <w:rsid w:val="001D06D2"/>
    <w:rsid w:val="001D0FDA"/>
    <w:rsid w:val="001D12BD"/>
    <w:rsid w:val="001D159B"/>
    <w:rsid w:val="001D1A45"/>
    <w:rsid w:val="001D1D07"/>
    <w:rsid w:val="001D1DCA"/>
    <w:rsid w:val="001D1E64"/>
    <w:rsid w:val="001D2239"/>
    <w:rsid w:val="001D282B"/>
    <w:rsid w:val="001D28CC"/>
    <w:rsid w:val="001D2930"/>
    <w:rsid w:val="001D3099"/>
    <w:rsid w:val="001D30C8"/>
    <w:rsid w:val="001D35EE"/>
    <w:rsid w:val="001D38CA"/>
    <w:rsid w:val="001D3AE2"/>
    <w:rsid w:val="001D3CFE"/>
    <w:rsid w:val="001D3E12"/>
    <w:rsid w:val="001D41E0"/>
    <w:rsid w:val="001D4208"/>
    <w:rsid w:val="001D4CCD"/>
    <w:rsid w:val="001D52A3"/>
    <w:rsid w:val="001D57F2"/>
    <w:rsid w:val="001D5A44"/>
    <w:rsid w:val="001D5B61"/>
    <w:rsid w:val="001D5D30"/>
    <w:rsid w:val="001D606D"/>
    <w:rsid w:val="001D632C"/>
    <w:rsid w:val="001D6350"/>
    <w:rsid w:val="001D6462"/>
    <w:rsid w:val="001D69B4"/>
    <w:rsid w:val="001D6C48"/>
    <w:rsid w:val="001D7065"/>
    <w:rsid w:val="001D73E6"/>
    <w:rsid w:val="001D76B1"/>
    <w:rsid w:val="001D7C26"/>
    <w:rsid w:val="001E0481"/>
    <w:rsid w:val="001E05B7"/>
    <w:rsid w:val="001E1AD5"/>
    <w:rsid w:val="001E24AA"/>
    <w:rsid w:val="001E26E6"/>
    <w:rsid w:val="001E2F79"/>
    <w:rsid w:val="001E3272"/>
    <w:rsid w:val="001E3552"/>
    <w:rsid w:val="001E39E4"/>
    <w:rsid w:val="001E3E9B"/>
    <w:rsid w:val="001E4030"/>
    <w:rsid w:val="001E4CD0"/>
    <w:rsid w:val="001E4DA3"/>
    <w:rsid w:val="001E4ECA"/>
    <w:rsid w:val="001E514D"/>
    <w:rsid w:val="001E5211"/>
    <w:rsid w:val="001E56A1"/>
    <w:rsid w:val="001E59C8"/>
    <w:rsid w:val="001E5CE9"/>
    <w:rsid w:val="001E6564"/>
    <w:rsid w:val="001E67C8"/>
    <w:rsid w:val="001E6F4F"/>
    <w:rsid w:val="001E7099"/>
    <w:rsid w:val="001E70D1"/>
    <w:rsid w:val="001E7210"/>
    <w:rsid w:val="001E7438"/>
    <w:rsid w:val="001E7B1A"/>
    <w:rsid w:val="001E7E67"/>
    <w:rsid w:val="001F0059"/>
    <w:rsid w:val="001F02F6"/>
    <w:rsid w:val="001F07C2"/>
    <w:rsid w:val="001F08D0"/>
    <w:rsid w:val="001F08E0"/>
    <w:rsid w:val="001F09DE"/>
    <w:rsid w:val="001F0FDC"/>
    <w:rsid w:val="001F15AE"/>
    <w:rsid w:val="001F18FD"/>
    <w:rsid w:val="001F1C45"/>
    <w:rsid w:val="001F21B9"/>
    <w:rsid w:val="001F2485"/>
    <w:rsid w:val="001F2567"/>
    <w:rsid w:val="001F2576"/>
    <w:rsid w:val="001F2A91"/>
    <w:rsid w:val="001F2CA4"/>
    <w:rsid w:val="001F2DFB"/>
    <w:rsid w:val="001F3154"/>
    <w:rsid w:val="001F31DD"/>
    <w:rsid w:val="001F3B81"/>
    <w:rsid w:val="001F3EB9"/>
    <w:rsid w:val="001F3F6F"/>
    <w:rsid w:val="001F419C"/>
    <w:rsid w:val="001F49CA"/>
    <w:rsid w:val="001F4AA6"/>
    <w:rsid w:val="001F4FE7"/>
    <w:rsid w:val="001F516E"/>
    <w:rsid w:val="001F539F"/>
    <w:rsid w:val="001F5814"/>
    <w:rsid w:val="001F5B3C"/>
    <w:rsid w:val="001F5BCA"/>
    <w:rsid w:val="001F6894"/>
    <w:rsid w:val="001F69AF"/>
    <w:rsid w:val="001F6DE6"/>
    <w:rsid w:val="001F6F5A"/>
    <w:rsid w:val="001F70EA"/>
    <w:rsid w:val="001F75FC"/>
    <w:rsid w:val="001F7DF3"/>
    <w:rsid w:val="001F7E9E"/>
    <w:rsid w:val="001F7F0A"/>
    <w:rsid w:val="00200099"/>
    <w:rsid w:val="002003A5"/>
    <w:rsid w:val="0020062F"/>
    <w:rsid w:val="0020063C"/>
    <w:rsid w:val="002008B5"/>
    <w:rsid w:val="00200A59"/>
    <w:rsid w:val="002011DB"/>
    <w:rsid w:val="00201789"/>
    <w:rsid w:val="00201886"/>
    <w:rsid w:val="002018B4"/>
    <w:rsid w:val="00201B87"/>
    <w:rsid w:val="00201BE0"/>
    <w:rsid w:val="00201C13"/>
    <w:rsid w:val="00201E5E"/>
    <w:rsid w:val="00202D7A"/>
    <w:rsid w:val="0020321C"/>
    <w:rsid w:val="00203777"/>
    <w:rsid w:val="002037F3"/>
    <w:rsid w:val="00203859"/>
    <w:rsid w:val="00203A87"/>
    <w:rsid w:val="00203C6E"/>
    <w:rsid w:val="00203CE7"/>
    <w:rsid w:val="00203E18"/>
    <w:rsid w:val="00203F13"/>
    <w:rsid w:val="0020430C"/>
    <w:rsid w:val="0020465B"/>
    <w:rsid w:val="002049B7"/>
    <w:rsid w:val="00204F71"/>
    <w:rsid w:val="002054FB"/>
    <w:rsid w:val="00205532"/>
    <w:rsid w:val="00205CB2"/>
    <w:rsid w:val="00206016"/>
    <w:rsid w:val="00206461"/>
    <w:rsid w:val="00206743"/>
    <w:rsid w:val="00206901"/>
    <w:rsid w:val="00206B26"/>
    <w:rsid w:val="00207360"/>
    <w:rsid w:val="0020762C"/>
    <w:rsid w:val="00207B67"/>
    <w:rsid w:val="0021058B"/>
    <w:rsid w:val="00210A3D"/>
    <w:rsid w:val="00210FB5"/>
    <w:rsid w:val="00210FD2"/>
    <w:rsid w:val="002110E8"/>
    <w:rsid w:val="00212261"/>
    <w:rsid w:val="0021246E"/>
    <w:rsid w:val="00212B63"/>
    <w:rsid w:val="00212D2F"/>
    <w:rsid w:val="00213289"/>
    <w:rsid w:val="002133F3"/>
    <w:rsid w:val="002137C5"/>
    <w:rsid w:val="00213CB7"/>
    <w:rsid w:val="00213E11"/>
    <w:rsid w:val="002147FF"/>
    <w:rsid w:val="0021494F"/>
    <w:rsid w:val="00214A30"/>
    <w:rsid w:val="00214D47"/>
    <w:rsid w:val="00214E04"/>
    <w:rsid w:val="00215160"/>
    <w:rsid w:val="0021519E"/>
    <w:rsid w:val="00215201"/>
    <w:rsid w:val="002155DB"/>
    <w:rsid w:val="00215631"/>
    <w:rsid w:val="00215C7D"/>
    <w:rsid w:val="00215D5D"/>
    <w:rsid w:val="00215D9E"/>
    <w:rsid w:val="00216470"/>
    <w:rsid w:val="00216893"/>
    <w:rsid w:val="002169B7"/>
    <w:rsid w:val="00216A2B"/>
    <w:rsid w:val="00216B3E"/>
    <w:rsid w:val="00216D65"/>
    <w:rsid w:val="002170FF"/>
    <w:rsid w:val="0021718A"/>
    <w:rsid w:val="00217D57"/>
    <w:rsid w:val="002201B0"/>
    <w:rsid w:val="00220990"/>
    <w:rsid w:val="002211A4"/>
    <w:rsid w:val="00221960"/>
    <w:rsid w:val="00222736"/>
    <w:rsid w:val="00222782"/>
    <w:rsid w:val="002227D7"/>
    <w:rsid w:val="00222A06"/>
    <w:rsid w:val="00222A6E"/>
    <w:rsid w:val="00222F15"/>
    <w:rsid w:val="00223228"/>
    <w:rsid w:val="00223288"/>
    <w:rsid w:val="00223426"/>
    <w:rsid w:val="0022392F"/>
    <w:rsid w:val="002239B6"/>
    <w:rsid w:val="00223C5B"/>
    <w:rsid w:val="00223DA3"/>
    <w:rsid w:val="00223EBC"/>
    <w:rsid w:val="00224675"/>
    <w:rsid w:val="0022483C"/>
    <w:rsid w:val="00224852"/>
    <w:rsid w:val="00224AA9"/>
    <w:rsid w:val="002251E0"/>
    <w:rsid w:val="002252C8"/>
    <w:rsid w:val="00225397"/>
    <w:rsid w:val="00225B19"/>
    <w:rsid w:val="00225B7F"/>
    <w:rsid w:val="0022604D"/>
    <w:rsid w:val="0022689C"/>
    <w:rsid w:val="00226947"/>
    <w:rsid w:val="00226C19"/>
    <w:rsid w:val="0022755E"/>
    <w:rsid w:val="002275FE"/>
    <w:rsid w:val="00227F82"/>
    <w:rsid w:val="00230034"/>
    <w:rsid w:val="0023060B"/>
    <w:rsid w:val="00230901"/>
    <w:rsid w:val="0023101E"/>
    <w:rsid w:val="00231024"/>
    <w:rsid w:val="002319B5"/>
    <w:rsid w:val="00231F8C"/>
    <w:rsid w:val="0023229E"/>
    <w:rsid w:val="002324B5"/>
    <w:rsid w:val="002327AA"/>
    <w:rsid w:val="002329A3"/>
    <w:rsid w:val="00232D66"/>
    <w:rsid w:val="002330C0"/>
    <w:rsid w:val="00233252"/>
    <w:rsid w:val="002332D6"/>
    <w:rsid w:val="00233614"/>
    <w:rsid w:val="00233708"/>
    <w:rsid w:val="0023567C"/>
    <w:rsid w:val="002356E7"/>
    <w:rsid w:val="002359A0"/>
    <w:rsid w:val="0023612A"/>
    <w:rsid w:val="002361F8"/>
    <w:rsid w:val="00236801"/>
    <w:rsid w:val="002369E8"/>
    <w:rsid w:val="00236A4B"/>
    <w:rsid w:val="0024029A"/>
    <w:rsid w:val="002403EA"/>
    <w:rsid w:val="00240A6C"/>
    <w:rsid w:val="00240AA5"/>
    <w:rsid w:val="00240E5C"/>
    <w:rsid w:val="00240FFE"/>
    <w:rsid w:val="00241160"/>
    <w:rsid w:val="00241649"/>
    <w:rsid w:val="002419A8"/>
    <w:rsid w:val="00241B1F"/>
    <w:rsid w:val="00241BB4"/>
    <w:rsid w:val="00241C07"/>
    <w:rsid w:val="00241E39"/>
    <w:rsid w:val="002420CD"/>
    <w:rsid w:val="002427D4"/>
    <w:rsid w:val="002427E6"/>
    <w:rsid w:val="00242E6B"/>
    <w:rsid w:val="00243176"/>
    <w:rsid w:val="00243284"/>
    <w:rsid w:val="00243313"/>
    <w:rsid w:val="002437A1"/>
    <w:rsid w:val="002437FD"/>
    <w:rsid w:val="0024397E"/>
    <w:rsid w:val="002439DC"/>
    <w:rsid w:val="00243E0F"/>
    <w:rsid w:val="00243E90"/>
    <w:rsid w:val="0024402B"/>
    <w:rsid w:val="0024496B"/>
    <w:rsid w:val="00244BF9"/>
    <w:rsid w:val="00244C40"/>
    <w:rsid w:val="0024504E"/>
    <w:rsid w:val="002450F9"/>
    <w:rsid w:val="00245593"/>
    <w:rsid w:val="00245A34"/>
    <w:rsid w:val="00246770"/>
    <w:rsid w:val="002468B8"/>
    <w:rsid w:val="00246BC1"/>
    <w:rsid w:val="00246E21"/>
    <w:rsid w:val="00247723"/>
    <w:rsid w:val="002477F5"/>
    <w:rsid w:val="00247877"/>
    <w:rsid w:val="00247CFB"/>
    <w:rsid w:val="00250091"/>
    <w:rsid w:val="002500F7"/>
    <w:rsid w:val="00250792"/>
    <w:rsid w:val="00250CAA"/>
    <w:rsid w:val="00250EF8"/>
    <w:rsid w:val="00251199"/>
    <w:rsid w:val="0025136B"/>
    <w:rsid w:val="00251749"/>
    <w:rsid w:val="00251C05"/>
    <w:rsid w:val="00251E33"/>
    <w:rsid w:val="00251FE8"/>
    <w:rsid w:val="0025299C"/>
    <w:rsid w:val="00252A95"/>
    <w:rsid w:val="00253324"/>
    <w:rsid w:val="002535BC"/>
    <w:rsid w:val="002538E8"/>
    <w:rsid w:val="0025391E"/>
    <w:rsid w:val="002542B8"/>
    <w:rsid w:val="0025434F"/>
    <w:rsid w:val="002544D9"/>
    <w:rsid w:val="00254B6C"/>
    <w:rsid w:val="00254FBC"/>
    <w:rsid w:val="00255D14"/>
    <w:rsid w:val="002568F5"/>
    <w:rsid w:val="002569F3"/>
    <w:rsid w:val="00256A1E"/>
    <w:rsid w:val="00256A2A"/>
    <w:rsid w:val="00256EE5"/>
    <w:rsid w:val="00256F9C"/>
    <w:rsid w:val="00256FAB"/>
    <w:rsid w:val="0025798D"/>
    <w:rsid w:val="00257CE6"/>
    <w:rsid w:val="00257D0A"/>
    <w:rsid w:val="00257E85"/>
    <w:rsid w:val="00260792"/>
    <w:rsid w:val="00260AF3"/>
    <w:rsid w:val="00261199"/>
    <w:rsid w:val="00261289"/>
    <w:rsid w:val="00261A89"/>
    <w:rsid w:val="002624BC"/>
    <w:rsid w:val="00263D22"/>
    <w:rsid w:val="00264270"/>
    <w:rsid w:val="0026465E"/>
    <w:rsid w:val="00264C84"/>
    <w:rsid w:val="00264E53"/>
    <w:rsid w:val="0026518C"/>
    <w:rsid w:val="002651A6"/>
    <w:rsid w:val="00265D33"/>
    <w:rsid w:val="00265F71"/>
    <w:rsid w:val="002661D2"/>
    <w:rsid w:val="0026670E"/>
    <w:rsid w:val="00266768"/>
    <w:rsid w:val="002667E3"/>
    <w:rsid w:val="002668F5"/>
    <w:rsid w:val="00266A39"/>
    <w:rsid w:val="00266B8B"/>
    <w:rsid w:val="00266CBB"/>
    <w:rsid w:val="00267995"/>
    <w:rsid w:val="00270123"/>
    <w:rsid w:val="00270A21"/>
    <w:rsid w:val="00270CB2"/>
    <w:rsid w:val="00270E4F"/>
    <w:rsid w:val="00270F6C"/>
    <w:rsid w:val="00271A6E"/>
    <w:rsid w:val="00271C8E"/>
    <w:rsid w:val="002721F1"/>
    <w:rsid w:val="00272536"/>
    <w:rsid w:val="00272598"/>
    <w:rsid w:val="0027263C"/>
    <w:rsid w:val="00272A20"/>
    <w:rsid w:val="00272D47"/>
    <w:rsid w:val="002735F7"/>
    <w:rsid w:val="002738A4"/>
    <w:rsid w:val="00273914"/>
    <w:rsid w:val="0027399A"/>
    <w:rsid w:val="00273AF7"/>
    <w:rsid w:val="00274373"/>
    <w:rsid w:val="00274AAE"/>
    <w:rsid w:val="00274BCB"/>
    <w:rsid w:val="00274BE0"/>
    <w:rsid w:val="00274D3A"/>
    <w:rsid w:val="00275255"/>
    <w:rsid w:val="00275351"/>
    <w:rsid w:val="002754AB"/>
    <w:rsid w:val="00275B1F"/>
    <w:rsid w:val="00275C66"/>
    <w:rsid w:val="002761E3"/>
    <w:rsid w:val="002768DF"/>
    <w:rsid w:val="00276916"/>
    <w:rsid w:val="00276B89"/>
    <w:rsid w:val="00276C91"/>
    <w:rsid w:val="00277017"/>
    <w:rsid w:val="002770D0"/>
    <w:rsid w:val="0027727C"/>
    <w:rsid w:val="0027787F"/>
    <w:rsid w:val="00277A6C"/>
    <w:rsid w:val="00277E33"/>
    <w:rsid w:val="0028077E"/>
    <w:rsid w:val="0028080B"/>
    <w:rsid w:val="00280A5C"/>
    <w:rsid w:val="00280C7A"/>
    <w:rsid w:val="00280D63"/>
    <w:rsid w:val="002816C6"/>
    <w:rsid w:val="00282302"/>
    <w:rsid w:val="002823A6"/>
    <w:rsid w:val="002823CC"/>
    <w:rsid w:val="002824D9"/>
    <w:rsid w:val="00282651"/>
    <w:rsid w:val="00282983"/>
    <w:rsid w:val="002829CE"/>
    <w:rsid w:val="00282B0B"/>
    <w:rsid w:val="0028316F"/>
    <w:rsid w:val="0028333B"/>
    <w:rsid w:val="0028364C"/>
    <w:rsid w:val="00283674"/>
    <w:rsid w:val="00283860"/>
    <w:rsid w:val="00283AD7"/>
    <w:rsid w:val="00284002"/>
    <w:rsid w:val="00284274"/>
    <w:rsid w:val="0028436E"/>
    <w:rsid w:val="00284450"/>
    <w:rsid w:val="002844B3"/>
    <w:rsid w:val="002846E4"/>
    <w:rsid w:val="00284743"/>
    <w:rsid w:val="00284BA2"/>
    <w:rsid w:val="00284DD6"/>
    <w:rsid w:val="002851FE"/>
    <w:rsid w:val="00285320"/>
    <w:rsid w:val="002853D9"/>
    <w:rsid w:val="002859AD"/>
    <w:rsid w:val="00285A47"/>
    <w:rsid w:val="00285B2F"/>
    <w:rsid w:val="00285EC2"/>
    <w:rsid w:val="0028634B"/>
    <w:rsid w:val="002866BC"/>
    <w:rsid w:val="00286AB1"/>
    <w:rsid w:val="00286F65"/>
    <w:rsid w:val="00287B12"/>
    <w:rsid w:val="00290AD9"/>
    <w:rsid w:val="00290AF1"/>
    <w:rsid w:val="00290C26"/>
    <w:rsid w:val="00291B17"/>
    <w:rsid w:val="00291C26"/>
    <w:rsid w:val="00291E72"/>
    <w:rsid w:val="00292339"/>
    <w:rsid w:val="00292E04"/>
    <w:rsid w:val="00293187"/>
    <w:rsid w:val="0029351C"/>
    <w:rsid w:val="00293541"/>
    <w:rsid w:val="00293871"/>
    <w:rsid w:val="00293B0E"/>
    <w:rsid w:val="00294CEF"/>
    <w:rsid w:val="00294E06"/>
    <w:rsid w:val="002958CF"/>
    <w:rsid w:val="00295B5D"/>
    <w:rsid w:val="00295BF6"/>
    <w:rsid w:val="00295D28"/>
    <w:rsid w:val="00296221"/>
    <w:rsid w:val="00296DA3"/>
    <w:rsid w:val="00297526"/>
    <w:rsid w:val="00297C90"/>
    <w:rsid w:val="00297F41"/>
    <w:rsid w:val="00297FB3"/>
    <w:rsid w:val="002A001B"/>
    <w:rsid w:val="002A00AB"/>
    <w:rsid w:val="002A023D"/>
    <w:rsid w:val="002A0297"/>
    <w:rsid w:val="002A047A"/>
    <w:rsid w:val="002A07E9"/>
    <w:rsid w:val="002A17B3"/>
    <w:rsid w:val="002A1C98"/>
    <w:rsid w:val="002A2739"/>
    <w:rsid w:val="002A2DA0"/>
    <w:rsid w:val="002A32A5"/>
    <w:rsid w:val="002A34CE"/>
    <w:rsid w:val="002A3673"/>
    <w:rsid w:val="002A3674"/>
    <w:rsid w:val="002A3775"/>
    <w:rsid w:val="002A378F"/>
    <w:rsid w:val="002A381D"/>
    <w:rsid w:val="002A38C5"/>
    <w:rsid w:val="002A3DDF"/>
    <w:rsid w:val="002A4385"/>
    <w:rsid w:val="002A4681"/>
    <w:rsid w:val="002A49FF"/>
    <w:rsid w:val="002A4D82"/>
    <w:rsid w:val="002A4E22"/>
    <w:rsid w:val="002A4FA7"/>
    <w:rsid w:val="002A54B6"/>
    <w:rsid w:val="002A5723"/>
    <w:rsid w:val="002A57CD"/>
    <w:rsid w:val="002A5B9C"/>
    <w:rsid w:val="002A679C"/>
    <w:rsid w:val="002A7667"/>
    <w:rsid w:val="002A766F"/>
    <w:rsid w:val="002A7901"/>
    <w:rsid w:val="002A7D88"/>
    <w:rsid w:val="002B0068"/>
    <w:rsid w:val="002B02DE"/>
    <w:rsid w:val="002B030A"/>
    <w:rsid w:val="002B0CC5"/>
    <w:rsid w:val="002B1046"/>
    <w:rsid w:val="002B1119"/>
    <w:rsid w:val="002B132D"/>
    <w:rsid w:val="002B1376"/>
    <w:rsid w:val="002B1394"/>
    <w:rsid w:val="002B19AF"/>
    <w:rsid w:val="002B1E66"/>
    <w:rsid w:val="002B240B"/>
    <w:rsid w:val="002B2603"/>
    <w:rsid w:val="002B27E8"/>
    <w:rsid w:val="002B2CC7"/>
    <w:rsid w:val="002B2E85"/>
    <w:rsid w:val="002B311D"/>
    <w:rsid w:val="002B3447"/>
    <w:rsid w:val="002B3627"/>
    <w:rsid w:val="002B3BCE"/>
    <w:rsid w:val="002B3CB4"/>
    <w:rsid w:val="002B43C4"/>
    <w:rsid w:val="002B4F07"/>
    <w:rsid w:val="002B5479"/>
    <w:rsid w:val="002B58EF"/>
    <w:rsid w:val="002B5DBC"/>
    <w:rsid w:val="002B646E"/>
    <w:rsid w:val="002B684F"/>
    <w:rsid w:val="002B6C4E"/>
    <w:rsid w:val="002B6CC8"/>
    <w:rsid w:val="002B6D24"/>
    <w:rsid w:val="002B6DF9"/>
    <w:rsid w:val="002B7160"/>
    <w:rsid w:val="002B74D2"/>
    <w:rsid w:val="002B7CC1"/>
    <w:rsid w:val="002B7F40"/>
    <w:rsid w:val="002C0228"/>
    <w:rsid w:val="002C0690"/>
    <w:rsid w:val="002C073B"/>
    <w:rsid w:val="002C130A"/>
    <w:rsid w:val="002C147F"/>
    <w:rsid w:val="002C1694"/>
    <w:rsid w:val="002C1B4D"/>
    <w:rsid w:val="002C1BD6"/>
    <w:rsid w:val="002C1E20"/>
    <w:rsid w:val="002C1E42"/>
    <w:rsid w:val="002C2AEC"/>
    <w:rsid w:val="002C2E1F"/>
    <w:rsid w:val="002C33FB"/>
    <w:rsid w:val="002C34B5"/>
    <w:rsid w:val="002C3511"/>
    <w:rsid w:val="002C3CD8"/>
    <w:rsid w:val="002C4196"/>
    <w:rsid w:val="002C4A55"/>
    <w:rsid w:val="002C4E6D"/>
    <w:rsid w:val="002C55A4"/>
    <w:rsid w:val="002C5626"/>
    <w:rsid w:val="002C5710"/>
    <w:rsid w:val="002C57C7"/>
    <w:rsid w:val="002C57E8"/>
    <w:rsid w:val="002C59BB"/>
    <w:rsid w:val="002C5B40"/>
    <w:rsid w:val="002C5C27"/>
    <w:rsid w:val="002C60B2"/>
    <w:rsid w:val="002C636D"/>
    <w:rsid w:val="002C6EA6"/>
    <w:rsid w:val="002C6F4C"/>
    <w:rsid w:val="002C7158"/>
    <w:rsid w:val="002C7688"/>
    <w:rsid w:val="002C7858"/>
    <w:rsid w:val="002C7BFA"/>
    <w:rsid w:val="002C7C47"/>
    <w:rsid w:val="002C7D56"/>
    <w:rsid w:val="002C7EC2"/>
    <w:rsid w:val="002C7FDC"/>
    <w:rsid w:val="002D0251"/>
    <w:rsid w:val="002D13D1"/>
    <w:rsid w:val="002D1824"/>
    <w:rsid w:val="002D1B14"/>
    <w:rsid w:val="002D1F01"/>
    <w:rsid w:val="002D228F"/>
    <w:rsid w:val="002D2448"/>
    <w:rsid w:val="002D2A35"/>
    <w:rsid w:val="002D30D5"/>
    <w:rsid w:val="002D341F"/>
    <w:rsid w:val="002D3A00"/>
    <w:rsid w:val="002D3DFB"/>
    <w:rsid w:val="002D49C9"/>
    <w:rsid w:val="002D55A6"/>
    <w:rsid w:val="002D55BE"/>
    <w:rsid w:val="002D5760"/>
    <w:rsid w:val="002D6516"/>
    <w:rsid w:val="002D6DDE"/>
    <w:rsid w:val="002D7091"/>
    <w:rsid w:val="002D725A"/>
    <w:rsid w:val="002D7262"/>
    <w:rsid w:val="002D7266"/>
    <w:rsid w:val="002D72B9"/>
    <w:rsid w:val="002D7954"/>
    <w:rsid w:val="002E000E"/>
    <w:rsid w:val="002E03F7"/>
    <w:rsid w:val="002E0464"/>
    <w:rsid w:val="002E096B"/>
    <w:rsid w:val="002E10D9"/>
    <w:rsid w:val="002E12AC"/>
    <w:rsid w:val="002E135D"/>
    <w:rsid w:val="002E154D"/>
    <w:rsid w:val="002E15A6"/>
    <w:rsid w:val="002E1641"/>
    <w:rsid w:val="002E164C"/>
    <w:rsid w:val="002E1729"/>
    <w:rsid w:val="002E18AD"/>
    <w:rsid w:val="002E1BBD"/>
    <w:rsid w:val="002E1D3A"/>
    <w:rsid w:val="002E21B5"/>
    <w:rsid w:val="002E24F6"/>
    <w:rsid w:val="002E28E0"/>
    <w:rsid w:val="002E2C0E"/>
    <w:rsid w:val="002E2DB9"/>
    <w:rsid w:val="002E3072"/>
    <w:rsid w:val="002E3127"/>
    <w:rsid w:val="002E3425"/>
    <w:rsid w:val="002E3565"/>
    <w:rsid w:val="002E37BD"/>
    <w:rsid w:val="002E3E11"/>
    <w:rsid w:val="002E4263"/>
    <w:rsid w:val="002E44B1"/>
    <w:rsid w:val="002E46E5"/>
    <w:rsid w:val="002E471A"/>
    <w:rsid w:val="002E4A36"/>
    <w:rsid w:val="002E4B52"/>
    <w:rsid w:val="002E4E97"/>
    <w:rsid w:val="002E4FCC"/>
    <w:rsid w:val="002E5878"/>
    <w:rsid w:val="002E593D"/>
    <w:rsid w:val="002E5B21"/>
    <w:rsid w:val="002E5E02"/>
    <w:rsid w:val="002E68CC"/>
    <w:rsid w:val="002E6A5E"/>
    <w:rsid w:val="002E6BE6"/>
    <w:rsid w:val="002E6F59"/>
    <w:rsid w:val="002E72EB"/>
    <w:rsid w:val="002E746C"/>
    <w:rsid w:val="002E7824"/>
    <w:rsid w:val="002E7B04"/>
    <w:rsid w:val="002E7C34"/>
    <w:rsid w:val="002F0541"/>
    <w:rsid w:val="002F05B0"/>
    <w:rsid w:val="002F076A"/>
    <w:rsid w:val="002F095A"/>
    <w:rsid w:val="002F0A0E"/>
    <w:rsid w:val="002F13F5"/>
    <w:rsid w:val="002F159B"/>
    <w:rsid w:val="002F1646"/>
    <w:rsid w:val="002F1CA2"/>
    <w:rsid w:val="002F1CFC"/>
    <w:rsid w:val="002F1F90"/>
    <w:rsid w:val="002F317C"/>
    <w:rsid w:val="002F3235"/>
    <w:rsid w:val="002F36C0"/>
    <w:rsid w:val="002F3EEA"/>
    <w:rsid w:val="002F42BE"/>
    <w:rsid w:val="002F459E"/>
    <w:rsid w:val="002F4648"/>
    <w:rsid w:val="002F46CC"/>
    <w:rsid w:val="002F480E"/>
    <w:rsid w:val="002F487C"/>
    <w:rsid w:val="002F4A9D"/>
    <w:rsid w:val="002F4EA1"/>
    <w:rsid w:val="002F52B9"/>
    <w:rsid w:val="002F55C6"/>
    <w:rsid w:val="002F56BA"/>
    <w:rsid w:val="002F57C3"/>
    <w:rsid w:val="002F5AA2"/>
    <w:rsid w:val="002F645C"/>
    <w:rsid w:val="002F655B"/>
    <w:rsid w:val="002F695F"/>
    <w:rsid w:val="002F6D09"/>
    <w:rsid w:val="002F6F7B"/>
    <w:rsid w:val="002F71BD"/>
    <w:rsid w:val="002F749A"/>
    <w:rsid w:val="002F787E"/>
    <w:rsid w:val="002F7A23"/>
    <w:rsid w:val="002F7E43"/>
    <w:rsid w:val="00300065"/>
    <w:rsid w:val="00300353"/>
    <w:rsid w:val="003003D6"/>
    <w:rsid w:val="00300440"/>
    <w:rsid w:val="0030084A"/>
    <w:rsid w:val="00300D30"/>
    <w:rsid w:val="00300F5E"/>
    <w:rsid w:val="003016DF"/>
    <w:rsid w:val="003019C7"/>
    <w:rsid w:val="0030207B"/>
    <w:rsid w:val="00302472"/>
    <w:rsid w:val="00302619"/>
    <w:rsid w:val="003029BB"/>
    <w:rsid w:val="00302DE6"/>
    <w:rsid w:val="00302F0A"/>
    <w:rsid w:val="00303958"/>
    <w:rsid w:val="00303B10"/>
    <w:rsid w:val="00303D74"/>
    <w:rsid w:val="00303F16"/>
    <w:rsid w:val="00303FA0"/>
    <w:rsid w:val="00304045"/>
    <w:rsid w:val="003040CA"/>
    <w:rsid w:val="0030451B"/>
    <w:rsid w:val="00304552"/>
    <w:rsid w:val="00304A9E"/>
    <w:rsid w:val="00304C2B"/>
    <w:rsid w:val="00304C7B"/>
    <w:rsid w:val="00304E54"/>
    <w:rsid w:val="003053EA"/>
    <w:rsid w:val="00305604"/>
    <w:rsid w:val="00305A13"/>
    <w:rsid w:val="00305AAA"/>
    <w:rsid w:val="00305F23"/>
    <w:rsid w:val="00305F46"/>
    <w:rsid w:val="00306192"/>
    <w:rsid w:val="003066B3"/>
    <w:rsid w:val="00306A4C"/>
    <w:rsid w:val="00306DDE"/>
    <w:rsid w:val="0030763F"/>
    <w:rsid w:val="00307B80"/>
    <w:rsid w:val="00307CE8"/>
    <w:rsid w:val="00307CEA"/>
    <w:rsid w:val="0031009A"/>
    <w:rsid w:val="003102A2"/>
    <w:rsid w:val="003102D1"/>
    <w:rsid w:val="00310806"/>
    <w:rsid w:val="00310B98"/>
    <w:rsid w:val="00310BF3"/>
    <w:rsid w:val="00310E41"/>
    <w:rsid w:val="00310EAA"/>
    <w:rsid w:val="003115E3"/>
    <w:rsid w:val="003117EA"/>
    <w:rsid w:val="0031180C"/>
    <w:rsid w:val="00311FA9"/>
    <w:rsid w:val="003130BF"/>
    <w:rsid w:val="003131A4"/>
    <w:rsid w:val="003131E3"/>
    <w:rsid w:val="003134C2"/>
    <w:rsid w:val="00313505"/>
    <w:rsid w:val="00313755"/>
    <w:rsid w:val="0031395F"/>
    <w:rsid w:val="00313A16"/>
    <w:rsid w:val="00313A54"/>
    <w:rsid w:val="00313E7E"/>
    <w:rsid w:val="00314059"/>
    <w:rsid w:val="0031484B"/>
    <w:rsid w:val="00314C4E"/>
    <w:rsid w:val="00315129"/>
    <w:rsid w:val="003152E6"/>
    <w:rsid w:val="00315635"/>
    <w:rsid w:val="003156E0"/>
    <w:rsid w:val="003158F0"/>
    <w:rsid w:val="00315DBD"/>
    <w:rsid w:val="00316011"/>
    <w:rsid w:val="00316234"/>
    <w:rsid w:val="003167FE"/>
    <w:rsid w:val="00316C93"/>
    <w:rsid w:val="00316D24"/>
    <w:rsid w:val="00317148"/>
    <w:rsid w:val="00317665"/>
    <w:rsid w:val="00317962"/>
    <w:rsid w:val="00317D28"/>
    <w:rsid w:val="00317D93"/>
    <w:rsid w:val="00317FC8"/>
    <w:rsid w:val="00320A37"/>
    <w:rsid w:val="00320E76"/>
    <w:rsid w:val="003210A6"/>
    <w:rsid w:val="003210EC"/>
    <w:rsid w:val="0032120A"/>
    <w:rsid w:val="00321CED"/>
    <w:rsid w:val="00322201"/>
    <w:rsid w:val="003222E4"/>
    <w:rsid w:val="003223ED"/>
    <w:rsid w:val="00322A53"/>
    <w:rsid w:val="00322E10"/>
    <w:rsid w:val="00322F3F"/>
    <w:rsid w:val="003230B2"/>
    <w:rsid w:val="003234D5"/>
    <w:rsid w:val="0032352F"/>
    <w:rsid w:val="003236D8"/>
    <w:rsid w:val="00323B70"/>
    <w:rsid w:val="00323E67"/>
    <w:rsid w:val="00323E92"/>
    <w:rsid w:val="00324313"/>
    <w:rsid w:val="0032483B"/>
    <w:rsid w:val="00324EF3"/>
    <w:rsid w:val="00325255"/>
    <w:rsid w:val="003258B9"/>
    <w:rsid w:val="00325BB1"/>
    <w:rsid w:val="0032602B"/>
    <w:rsid w:val="0032628A"/>
    <w:rsid w:val="003268DC"/>
    <w:rsid w:val="00326B54"/>
    <w:rsid w:val="00326E56"/>
    <w:rsid w:val="00326E7F"/>
    <w:rsid w:val="00326FBE"/>
    <w:rsid w:val="00327A24"/>
    <w:rsid w:val="00327AD1"/>
    <w:rsid w:val="003303F8"/>
    <w:rsid w:val="00330C74"/>
    <w:rsid w:val="00330CF7"/>
    <w:rsid w:val="00330DBE"/>
    <w:rsid w:val="00331043"/>
    <w:rsid w:val="003314C7"/>
    <w:rsid w:val="00331520"/>
    <w:rsid w:val="00331AEB"/>
    <w:rsid w:val="00331D86"/>
    <w:rsid w:val="00331F92"/>
    <w:rsid w:val="0033253B"/>
    <w:rsid w:val="00332A3C"/>
    <w:rsid w:val="00332A88"/>
    <w:rsid w:val="00332ED9"/>
    <w:rsid w:val="00332F8F"/>
    <w:rsid w:val="00333027"/>
    <w:rsid w:val="00333446"/>
    <w:rsid w:val="00333587"/>
    <w:rsid w:val="00333908"/>
    <w:rsid w:val="00333C52"/>
    <w:rsid w:val="00333EFA"/>
    <w:rsid w:val="0033417F"/>
    <w:rsid w:val="003348EE"/>
    <w:rsid w:val="00334EDE"/>
    <w:rsid w:val="003350FE"/>
    <w:rsid w:val="0033514A"/>
    <w:rsid w:val="00335572"/>
    <w:rsid w:val="003357AC"/>
    <w:rsid w:val="0033586A"/>
    <w:rsid w:val="00335E4B"/>
    <w:rsid w:val="00335FFF"/>
    <w:rsid w:val="0033607E"/>
    <w:rsid w:val="0033609C"/>
    <w:rsid w:val="003361E9"/>
    <w:rsid w:val="00336258"/>
    <w:rsid w:val="00336344"/>
    <w:rsid w:val="00336676"/>
    <w:rsid w:val="0033683D"/>
    <w:rsid w:val="003368E6"/>
    <w:rsid w:val="00336D09"/>
    <w:rsid w:val="003400C3"/>
    <w:rsid w:val="00340162"/>
    <w:rsid w:val="003403A7"/>
    <w:rsid w:val="003403C1"/>
    <w:rsid w:val="003406C5"/>
    <w:rsid w:val="00340FF1"/>
    <w:rsid w:val="00341336"/>
    <w:rsid w:val="003414FD"/>
    <w:rsid w:val="003417AB"/>
    <w:rsid w:val="00341B94"/>
    <w:rsid w:val="00342031"/>
    <w:rsid w:val="003422AA"/>
    <w:rsid w:val="003422EA"/>
    <w:rsid w:val="00342319"/>
    <w:rsid w:val="0034238D"/>
    <w:rsid w:val="0034268D"/>
    <w:rsid w:val="00342FC3"/>
    <w:rsid w:val="00342FE6"/>
    <w:rsid w:val="00343616"/>
    <w:rsid w:val="00343903"/>
    <w:rsid w:val="00343BF8"/>
    <w:rsid w:val="00343EB8"/>
    <w:rsid w:val="0034465D"/>
    <w:rsid w:val="003447FE"/>
    <w:rsid w:val="0034504C"/>
    <w:rsid w:val="0034528E"/>
    <w:rsid w:val="00345A7B"/>
    <w:rsid w:val="00345C0B"/>
    <w:rsid w:val="00345E1B"/>
    <w:rsid w:val="003461DC"/>
    <w:rsid w:val="0034646A"/>
    <w:rsid w:val="003464D5"/>
    <w:rsid w:val="0034661F"/>
    <w:rsid w:val="00346D5B"/>
    <w:rsid w:val="00346F75"/>
    <w:rsid w:val="003470B8"/>
    <w:rsid w:val="0034778C"/>
    <w:rsid w:val="00347899"/>
    <w:rsid w:val="003502E9"/>
    <w:rsid w:val="0035032A"/>
    <w:rsid w:val="00350581"/>
    <w:rsid w:val="0035087E"/>
    <w:rsid w:val="003508D9"/>
    <w:rsid w:val="00350C53"/>
    <w:rsid w:val="00350CBB"/>
    <w:rsid w:val="00350E71"/>
    <w:rsid w:val="00350E90"/>
    <w:rsid w:val="00351230"/>
    <w:rsid w:val="003516D7"/>
    <w:rsid w:val="003518D5"/>
    <w:rsid w:val="00351A4D"/>
    <w:rsid w:val="00351B9E"/>
    <w:rsid w:val="003526A5"/>
    <w:rsid w:val="003528E9"/>
    <w:rsid w:val="00353154"/>
    <w:rsid w:val="00353621"/>
    <w:rsid w:val="003537D5"/>
    <w:rsid w:val="00353964"/>
    <w:rsid w:val="00353A47"/>
    <w:rsid w:val="00353AAA"/>
    <w:rsid w:val="00353ADA"/>
    <w:rsid w:val="00353C7E"/>
    <w:rsid w:val="003543B8"/>
    <w:rsid w:val="00354780"/>
    <w:rsid w:val="0035485A"/>
    <w:rsid w:val="003548B9"/>
    <w:rsid w:val="00354AC5"/>
    <w:rsid w:val="0035587C"/>
    <w:rsid w:val="003558BC"/>
    <w:rsid w:val="00355DA9"/>
    <w:rsid w:val="003560C9"/>
    <w:rsid w:val="0035621E"/>
    <w:rsid w:val="00356758"/>
    <w:rsid w:val="003568E4"/>
    <w:rsid w:val="0035692B"/>
    <w:rsid w:val="00357CFB"/>
    <w:rsid w:val="00357D7F"/>
    <w:rsid w:val="003600DB"/>
    <w:rsid w:val="00361798"/>
    <w:rsid w:val="003618A2"/>
    <w:rsid w:val="00361B64"/>
    <w:rsid w:val="0036230F"/>
    <w:rsid w:val="003623B0"/>
    <w:rsid w:val="003627BD"/>
    <w:rsid w:val="00362A8B"/>
    <w:rsid w:val="00362AF7"/>
    <w:rsid w:val="00362BF0"/>
    <w:rsid w:val="00362D13"/>
    <w:rsid w:val="00362FAB"/>
    <w:rsid w:val="003630CB"/>
    <w:rsid w:val="0036385B"/>
    <w:rsid w:val="0036426F"/>
    <w:rsid w:val="003642D3"/>
    <w:rsid w:val="0036468A"/>
    <w:rsid w:val="00364735"/>
    <w:rsid w:val="003650A9"/>
    <w:rsid w:val="00365101"/>
    <w:rsid w:val="00365CD3"/>
    <w:rsid w:val="00365D21"/>
    <w:rsid w:val="0036646E"/>
    <w:rsid w:val="00366478"/>
    <w:rsid w:val="00366684"/>
    <w:rsid w:val="00366AC3"/>
    <w:rsid w:val="00366C20"/>
    <w:rsid w:val="00367D2A"/>
    <w:rsid w:val="00367D37"/>
    <w:rsid w:val="00367E1D"/>
    <w:rsid w:val="00367E58"/>
    <w:rsid w:val="00370302"/>
    <w:rsid w:val="00370841"/>
    <w:rsid w:val="00370DEF"/>
    <w:rsid w:val="00371460"/>
    <w:rsid w:val="003715CE"/>
    <w:rsid w:val="003715FC"/>
    <w:rsid w:val="00371E17"/>
    <w:rsid w:val="00372431"/>
    <w:rsid w:val="00372549"/>
    <w:rsid w:val="003726AE"/>
    <w:rsid w:val="00372950"/>
    <w:rsid w:val="00372CBB"/>
    <w:rsid w:val="00372DDA"/>
    <w:rsid w:val="003733C1"/>
    <w:rsid w:val="00373744"/>
    <w:rsid w:val="003740A7"/>
    <w:rsid w:val="003742AB"/>
    <w:rsid w:val="00374521"/>
    <w:rsid w:val="00374C64"/>
    <w:rsid w:val="003753CE"/>
    <w:rsid w:val="003753E1"/>
    <w:rsid w:val="0037551C"/>
    <w:rsid w:val="00375B8B"/>
    <w:rsid w:val="003764BC"/>
    <w:rsid w:val="00376619"/>
    <w:rsid w:val="00377034"/>
    <w:rsid w:val="0037749C"/>
    <w:rsid w:val="003777A3"/>
    <w:rsid w:val="003777A4"/>
    <w:rsid w:val="00377940"/>
    <w:rsid w:val="00377CF3"/>
    <w:rsid w:val="0038014E"/>
    <w:rsid w:val="00380397"/>
    <w:rsid w:val="003803E1"/>
    <w:rsid w:val="0038090A"/>
    <w:rsid w:val="00380F85"/>
    <w:rsid w:val="00381539"/>
    <w:rsid w:val="00381B19"/>
    <w:rsid w:val="00381F48"/>
    <w:rsid w:val="003820AF"/>
    <w:rsid w:val="003826A1"/>
    <w:rsid w:val="003829E0"/>
    <w:rsid w:val="00382C8A"/>
    <w:rsid w:val="00382D18"/>
    <w:rsid w:val="00383296"/>
    <w:rsid w:val="003836D9"/>
    <w:rsid w:val="0038370F"/>
    <w:rsid w:val="003837C1"/>
    <w:rsid w:val="00383A87"/>
    <w:rsid w:val="00383B12"/>
    <w:rsid w:val="00383D81"/>
    <w:rsid w:val="00384103"/>
    <w:rsid w:val="00384133"/>
    <w:rsid w:val="00384A12"/>
    <w:rsid w:val="00385A19"/>
    <w:rsid w:val="00385ADB"/>
    <w:rsid w:val="003864C5"/>
    <w:rsid w:val="00386510"/>
    <w:rsid w:val="003867F7"/>
    <w:rsid w:val="00386A90"/>
    <w:rsid w:val="00386AD9"/>
    <w:rsid w:val="00386E14"/>
    <w:rsid w:val="00386E84"/>
    <w:rsid w:val="00387030"/>
    <w:rsid w:val="003873C4"/>
    <w:rsid w:val="003877C5"/>
    <w:rsid w:val="003879CE"/>
    <w:rsid w:val="00387A69"/>
    <w:rsid w:val="003903BA"/>
    <w:rsid w:val="003904B6"/>
    <w:rsid w:val="003908E2"/>
    <w:rsid w:val="00390C74"/>
    <w:rsid w:val="00390CCC"/>
    <w:rsid w:val="00390D7C"/>
    <w:rsid w:val="00391212"/>
    <w:rsid w:val="0039134A"/>
    <w:rsid w:val="003913DC"/>
    <w:rsid w:val="0039144E"/>
    <w:rsid w:val="0039170C"/>
    <w:rsid w:val="0039199F"/>
    <w:rsid w:val="00391A00"/>
    <w:rsid w:val="00391AB6"/>
    <w:rsid w:val="00391D51"/>
    <w:rsid w:val="00392072"/>
    <w:rsid w:val="0039282A"/>
    <w:rsid w:val="00392B21"/>
    <w:rsid w:val="00393440"/>
    <w:rsid w:val="003937C5"/>
    <w:rsid w:val="00393B9D"/>
    <w:rsid w:val="003943DF"/>
    <w:rsid w:val="0039491A"/>
    <w:rsid w:val="00394A8D"/>
    <w:rsid w:val="00394E07"/>
    <w:rsid w:val="0039505C"/>
    <w:rsid w:val="00395556"/>
    <w:rsid w:val="00395D86"/>
    <w:rsid w:val="003960A2"/>
    <w:rsid w:val="00396184"/>
    <w:rsid w:val="003962F2"/>
    <w:rsid w:val="00396E7C"/>
    <w:rsid w:val="00396F87"/>
    <w:rsid w:val="003972AC"/>
    <w:rsid w:val="00397A76"/>
    <w:rsid w:val="00397DA8"/>
    <w:rsid w:val="003A0143"/>
    <w:rsid w:val="003A07B7"/>
    <w:rsid w:val="003A1286"/>
    <w:rsid w:val="003A12D3"/>
    <w:rsid w:val="003A182D"/>
    <w:rsid w:val="003A19B7"/>
    <w:rsid w:val="003A1E6B"/>
    <w:rsid w:val="003A23CB"/>
    <w:rsid w:val="003A2E14"/>
    <w:rsid w:val="003A309A"/>
    <w:rsid w:val="003A3778"/>
    <w:rsid w:val="003A407A"/>
    <w:rsid w:val="003A422A"/>
    <w:rsid w:val="003A4B02"/>
    <w:rsid w:val="003A4DED"/>
    <w:rsid w:val="003A504F"/>
    <w:rsid w:val="003A54A3"/>
    <w:rsid w:val="003A5B3E"/>
    <w:rsid w:val="003A5FA9"/>
    <w:rsid w:val="003A61BD"/>
    <w:rsid w:val="003A686F"/>
    <w:rsid w:val="003A68B0"/>
    <w:rsid w:val="003A69F8"/>
    <w:rsid w:val="003A6A5A"/>
    <w:rsid w:val="003A6F72"/>
    <w:rsid w:val="003A778F"/>
    <w:rsid w:val="003A7D92"/>
    <w:rsid w:val="003B006D"/>
    <w:rsid w:val="003B0411"/>
    <w:rsid w:val="003B083E"/>
    <w:rsid w:val="003B0AB0"/>
    <w:rsid w:val="003B0E52"/>
    <w:rsid w:val="003B103E"/>
    <w:rsid w:val="003B10D1"/>
    <w:rsid w:val="003B15EA"/>
    <w:rsid w:val="003B1869"/>
    <w:rsid w:val="003B1A4A"/>
    <w:rsid w:val="003B22D8"/>
    <w:rsid w:val="003B22E5"/>
    <w:rsid w:val="003B2A42"/>
    <w:rsid w:val="003B2B53"/>
    <w:rsid w:val="003B2E4A"/>
    <w:rsid w:val="003B35D5"/>
    <w:rsid w:val="003B35E8"/>
    <w:rsid w:val="003B3DBD"/>
    <w:rsid w:val="003B3E2D"/>
    <w:rsid w:val="003B3FB4"/>
    <w:rsid w:val="003B404D"/>
    <w:rsid w:val="003B49E6"/>
    <w:rsid w:val="003B4CB8"/>
    <w:rsid w:val="003B526A"/>
    <w:rsid w:val="003B5325"/>
    <w:rsid w:val="003B5840"/>
    <w:rsid w:val="003B5AD5"/>
    <w:rsid w:val="003B5E45"/>
    <w:rsid w:val="003B63FD"/>
    <w:rsid w:val="003B64EB"/>
    <w:rsid w:val="003B67BD"/>
    <w:rsid w:val="003B6814"/>
    <w:rsid w:val="003B7459"/>
    <w:rsid w:val="003B790B"/>
    <w:rsid w:val="003B7C22"/>
    <w:rsid w:val="003C01C4"/>
    <w:rsid w:val="003C0478"/>
    <w:rsid w:val="003C050D"/>
    <w:rsid w:val="003C05E5"/>
    <w:rsid w:val="003C0AC3"/>
    <w:rsid w:val="003C11E9"/>
    <w:rsid w:val="003C137F"/>
    <w:rsid w:val="003C13C3"/>
    <w:rsid w:val="003C14C5"/>
    <w:rsid w:val="003C15BD"/>
    <w:rsid w:val="003C17BA"/>
    <w:rsid w:val="003C19F6"/>
    <w:rsid w:val="003C21AB"/>
    <w:rsid w:val="003C237B"/>
    <w:rsid w:val="003C2556"/>
    <w:rsid w:val="003C2AA0"/>
    <w:rsid w:val="003C2B07"/>
    <w:rsid w:val="003C2B19"/>
    <w:rsid w:val="003C3376"/>
    <w:rsid w:val="003C3419"/>
    <w:rsid w:val="003C391E"/>
    <w:rsid w:val="003C39B2"/>
    <w:rsid w:val="003C3BA3"/>
    <w:rsid w:val="003C3C9D"/>
    <w:rsid w:val="003C3CA7"/>
    <w:rsid w:val="003C41B6"/>
    <w:rsid w:val="003C44FB"/>
    <w:rsid w:val="003C46AE"/>
    <w:rsid w:val="003C4B5F"/>
    <w:rsid w:val="003C526E"/>
    <w:rsid w:val="003C53C0"/>
    <w:rsid w:val="003C5B3D"/>
    <w:rsid w:val="003C5D7B"/>
    <w:rsid w:val="003C5D95"/>
    <w:rsid w:val="003C6133"/>
    <w:rsid w:val="003C6D98"/>
    <w:rsid w:val="003C6FD0"/>
    <w:rsid w:val="003C70FF"/>
    <w:rsid w:val="003C7AF5"/>
    <w:rsid w:val="003D03B6"/>
    <w:rsid w:val="003D0A8A"/>
    <w:rsid w:val="003D0B3A"/>
    <w:rsid w:val="003D0B72"/>
    <w:rsid w:val="003D0CD0"/>
    <w:rsid w:val="003D12E6"/>
    <w:rsid w:val="003D28BC"/>
    <w:rsid w:val="003D2976"/>
    <w:rsid w:val="003D2B67"/>
    <w:rsid w:val="003D2C05"/>
    <w:rsid w:val="003D2CB4"/>
    <w:rsid w:val="003D2E1C"/>
    <w:rsid w:val="003D30B1"/>
    <w:rsid w:val="003D3AB6"/>
    <w:rsid w:val="003D3BFF"/>
    <w:rsid w:val="003D3D9E"/>
    <w:rsid w:val="003D3E19"/>
    <w:rsid w:val="003D448C"/>
    <w:rsid w:val="003D46AF"/>
    <w:rsid w:val="003D4A14"/>
    <w:rsid w:val="003D4D57"/>
    <w:rsid w:val="003D536A"/>
    <w:rsid w:val="003D539B"/>
    <w:rsid w:val="003D54A4"/>
    <w:rsid w:val="003D555E"/>
    <w:rsid w:val="003D55CD"/>
    <w:rsid w:val="003D56BB"/>
    <w:rsid w:val="003D57CF"/>
    <w:rsid w:val="003D57D6"/>
    <w:rsid w:val="003D57E4"/>
    <w:rsid w:val="003D5D0D"/>
    <w:rsid w:val="003D5D1C"/>
    <w:rsid w:val="003D5FAF"/>
    <w:rsid w:val="003D62E6"/>
    <w:rsid w:val="003D6403"/>
    <w:rsid w:val="003D6497"/>
    <w:rsid w:val="003D6AEC"/>
    <w:rsid w:val="003D728D"/>
    <w:rsid w:val="003D7443"/>
    <w:rsid w:val="003D76C7"/>
    <w:rsid w:val="003D7728"/>
    <w:rsid w:val="003D7D6E"/>
    <w:rsid w:val="003D7FE3"/>
    <w:rsid w:val="003E047B"/>
    <w:rsid w:val="003E0819"/>
    <w:rsid w:val="003E0F59"/>
    <w:rsid w:val="003E118B"/>
    <w:rsid w:val="003E159D"/>
    <w:rsid w:val="003E160A"/>
    <w:rsid w:val="003E1A13"/>
    <w:rsid w:val="003E1C91"/>
    <w:rsid w:val="003E1E57"/>
    <w:rsid w:val="003E21AE"/>
    <w:rsid w:val="003E2505"/>
    <w:rsid w:val="003E27C0"/>
    <w:rsid w:val="003E305F"/>
    <w:rsid w:val="003E3607"/>
    <w:rsid w:val="003E38E2"/>
    <w:rsid w:val="003E3D7B"/>
    <w:rsid w:val="003E49AC"/>
    <w:rsid w:val="003E4A9C"/>
    <w:rsid w:val="003E4F6D"/>
    <w:rsid w:val="003E4FA0"/>
    <w:rsid w:val="003E5401"/>
    <w:rsid w:val="003E64AB"/>
    <w:rsid w:val="003E673A"/>
    <w:rsid w:val="003E6911"/>
    <w:rsid w:val="003E721C"/>
    <w:rsid w:val="003E76ED"/>
    <w:rsid w:val="003E779A"/>
    <w:rsid w:val="003E7AB8"/>
    <w:rsid w:val="003E7C4C"/>
    <w:rsid w:val="003E7F6B"/>
    <w:rsid w:val="003E7FF0"/>
    <w:rsid w:val="003F0113"/>
    <w:rsid w:val="003F03C8"/>
    <w:rsid w:val="003F0452"/>
    <w:rsid w:val="003F0A5C"/>
    <w:rsid w:val="003F0A67"/>
    <w:rsid w:val="003F1056"/>
    <w:rsid w:val="003F1485"/>
    <w:rsid w:val="003F15FE"/>
    <w:rsid w:val="003F21ED"/>
    <w:rsid w:val="003F2650"/>
    <w:rsid w:val="003F2B3E"/>
    <w:rsid w:val="003F2E17"/>
    <w:rsid w:val="003F34B8"/>
    <w:rsid w:val="003F3A03"/>
    <w:rsid w:val="003F3FFD"/>
    <w:rsid w:val="003F4935"/>
    <w:rsid w:val="003F5141"/>
    <w:rsid w:val="003F54BD"/>
    <w:rsid w:val="003F6DCC"/>
    <w:rsid w:val="003F6F89"/>
    <w:rsid w:val="003F7A98"/>
    <w:rsid w:val="004001E0"/>
    <w:rsid w:val="0040025D"/>
    <w:rsid w:val="00400674"/>
    <w:rsid w:val="00400CD7"/>
    <w:rsid w:val="00400CDE"/>
    <w:rsid w:val="0040146A"/>
    <w:rsid w:val="0040158A"/>
    <w:rsid w:val="0040158F"/>
    <w:rsid w:val="004019AB"/>
    <w:rsid w:val="00401E9B"/>
    <w:rsid w:val="004023A2"/>
    <w:rsid w:val="004023E5"/>
    <w:rsid w:val="00402606"/>
    <w:rsid w:val="00402671"/>
    <w:rsid w:val="00403124"/>
    <w:rsid w:val="00403457"/>
    <w:rsid w:val="00403961"/>
    <w:rsid w:val="00403ACC"/>
    <w:rsid w:val="00403D11"/>
    <w:rsid w:val="00404457"/>
    <w:rsid w:val="0040469F"/>
    <w:rsid w:val="004048D9"/>
    <w:rsid w:val="00404945"/>
    <w:rsid w:val="00404B0C"/>
    <w:rsid w:val="00404C27"/>
    <w:rsid w:val="0040548B"/>
    <w:rsid w:val="00405595"/>
    <w:rsid w:val="0040571A"/>
    <w:rsid w:val="0040578D"/>
    <w:rsid w:val="0040591E"/>
    <w:rsid w:val="00405B4F"/>
    <w:rsid w:val="00405BEE"/>
    <w:rsid w:val="00405DC5"/>
    <w:rsid w:val="00406085"/>
    <w:rsid w:val="00406727"/>
    <w:rsid w:val="004067AF"/>
    <w:rsid w:val="00406B0B"/>
    <w:rsid w:val="00406B1F"/>
    <w:rsid w:val="004077D3"/>
    <w:rsid w:val="00407C8E"/>
    <w:rsid w:val="00407DF7"/>
    <w:rsid w:val="00410203"/>
    <w:rsid w:val="004105FC"/>
    <w:rsid w:val="0041070B"/>
    <w:rsid w:val="00410775"/>
    <w:rsid w:val="00410A32"/>
    <w:rsid w:val="00410BCF"/>
    <w:rsid w:val="00411467"/>
    <w:rsid w:val="004116CC"/>
    <w:rsid w:val="00411A9C"/>
    <w:rsid w:val="00411D42"/>
    <w:rsid w:val="00411FC5"/>
    <w:rsid w:val="00412888"/>
    <w:rsid w:val="004129E1"/>
    <w:rsid w:val="00412D69"/>
    <w:rsid w:val="00412FD1"/>
    <w:rsid w:val="00413051"/>
    <w:rsid w:val="00413392"/>
    <w:rsid w:val="00413565"/>
    <w:rsid w:val="00413927"/>
    <w:rsid w:val="00413CBC"/>
    <w:rsid w:val="00414332"/>
    <w:rsid w:val="004143BA"/>
    <w:rsid w:val="00414A37"/>
    <w:rsid w:val="0041516E"/>
    <w:rsid w:val="004156D7"/>
    <w:rsid w:val="0041590F"/>
    <w:rsid w:val="00415975"/>
    <w:rsid w:val="00415BDC"/>
    <w:rsid w:val="00415F8E"/>
    <w:rsid w:val="0041622B"/>
    <w:rsid w:val="00416257"/>
    <w:rsid w:val="00416DE6"/>
    <w:rsid w:val="00416EE2"/>
    <w:rsid w:val="00416FB5"/>
    <w:rsid w:val="0041733B"/>
    <w:rsid w:val="00417411"/>
    <w:rsid w:val="00417814"/>
    <w:rsid w:val="00417A3D"/>
    <w:rsid w:val="00417DEF"/>
    <w:rsid w:val="00420273"/>
    <w:rsid w:val="00420675"/>
    <w:rsid w:val="00420862"/>
    <w:rsid w:val="00420BB7"/>
    <w:rsid w:val="004212FF"/>
    <w:rsid w:val="00421365"/>
    <w:rsid w:val="004219A4"/>
    <w:rsid w:val="0042275D"/>
    <w:rsid w:val="00422996"/>
    <w:rsid w:val="004229FE"/>
    <w:rsid w:val="00422C6F"/>
    <w:rsid w:val="00422D5F"/>
    <w:rsid w:val="004235C3"/>
    <w:rsid w:val="0042441B"/>
    <w:rsid w:val="004246B9"/>
    <w:rsid w:val="0042492B"/>
    <w:rsid w:val="00424CFF"/>
    <w:rsid w:val="00425483"/>
    <w:rsid w:val="00425506"/>
    <w:rsid w:val="0042552A"/>
    <w:rsid w:val="0042572A"/>
    <w:rsid w:val="00425852"/>
    <w:rsid w:val="0042594E"/>
    <w:rsid w:val="0042613F"/>
    <w:rsid w:val="00426883"/>
    <w:rsid w:val="0042688D"/>
    <w:rsid w:val="00426DE8"/>
    <w:rsid w:val="00426E99"/>
    <w:rsid w:val="00426F74"/>
    <w:rsid w:val="00427131"/>
    <w:rsid w:val="004274F7"/>
    <w:rsid w:val="00427C0C"/>
    <w:rsid w:val="00427D21"/>
    <w:rsid w:val="00430216"/>
    <w:rsid w:val="004306BA"/>
    <w:rsid w:val="00430AE4"/>
    <w:rsid w:val="00430D2A"/>
    <w:rsid w:val="00430E36"/>
    <w:rsid w:val="00430FD9"/>
    <w:rsid w:val="00431031"/>
    <w:rsid w:val="00431594"/>
    <w:rsid w:val="00431619"/>
    <w:rsid w:val="004316DF"/>
    <w:rsid w:val="004318B3"/>
    <w:rsid w:val="00431A0D"/>
    <w:rsid w:val="0043217C"/>
    <w:rsid w:val="0043220E"/>
    <w:rsid w:val="0043278C"/>
    <w:rsid w:val="004329A8"/>
    <w:rsid w:val="00432A4D"/>
    <w:rsid w:val="00432E79"/>
    <w:rsid w:val="00432F24"/>
    <w:rsid w:val="00432F80"/>
    <w:rsid w:val="0043332F"/>
    <w:rsid w:val="004334ED"/>
    <w:rsid w:val="004339B7"/>
    <w:rsid w:val="0043406D"/>
    <w:rsid w:val="00434633"/>
    <w:rsid w:val="00434973"/>
    <w:rsid w:val="00434CA8"/>
    <w:rsid w:val="00434CBB"/>
    <w:rsid w:val="00434DE0"/>
    <w:rsid w:val="00435B02"/>
    <w:rsid w:val="00435CA8"/>
    <w:rsid w:val="0043614D"/>
    <w:rsid w:val="00436186"/>
    <w:rsid w:val="0043670D"/>
    <w:rsid w:val="004367F4"/>
    <w:rsid w:val="004368B6"/>
    <w:rsid w:val="00436946"/>
    <w:rsid w:val="00436983"/>
    <w:rsid w:val="00436D85"/>
    <w:rsid w:val="00437F80"/>
    <w:rsid w:val="00440625"/>
    <w:rsid w:val="00440627"/>
    <w:rsid w:val="00440E31"/>
    <w:rsid w:val="00441624"/>
    <w:rsid w:val="00442129"/>
    <w:rsid w:val="0044260F"/>
    <w:rsid w:val="00442A99"/>
    <w:rsid w:val="00442BB7"/>
    <w:rsid w:val="004432C9"/>
    <w:rsid w:val="00443CDA"/>
    <w:rsid w:val="00443E3C"/>
    <w:rsid w:val="00443F79"/>
    <w:rsid w:val="00443FA2"/>
    <w:rsid w:val="004440F2"/>
    <w:rsid w:val="004447E5"/>
    <w:rsid w:val="004448B9"/>
    <w:rsid w:val="00444A8C"/>
    <w:rsid w:val="00444D12"/>
    <w:rsid w:val="00445211"/>
    <w:rsid w:val="00445333"/>
    <w:rsid w:val="004453FD"/>
    <w:rsid w:val="004456F0"/>
    <w:rsid w:val="00445784"/>
    <w:rsid w:val="004459AF"/>
    <w:rsid w:val="00446149"/>
    <w:rsid w:val="004461F7"/>
    <w:rsid w:val="004463CD"/>
    <w:rsid w:val="00446DED"/>
    <w:rsid w:val="00446EDF"/>
    <w:rsid w:val="00447181"/>
    <w:rsid w:val="0044719B"/>
    <w:rsid w:val="004473C3"/>
    <w:rsid w:val="004479BD"/>
    <w:rsid w:val="00447BEC"/>
    <w:rsid w:val="00447CF1"/>
    <w:rsid w:val="00447EE1"/>
    <w:rsid w:val="0045019D"/>
    <w:rsid w:val="00450325"/>
    <w:rsid w:val="00450CE0"/>
    <w:rsid w:val="00450D34"/>
    <w:rsid w:val="0045140F"/>
    <w:rsid w:val="00451421"/>
    <w:rsid w:val="00451651"/>
    <w:rsid w:val="0045180A"/>
    <w:rsid w:val="00451F35"/>
    <w:rsid w:val="004523F8"/>
    <w:rsid w:val="00452828"/>
    <w:rsid w:val="00452B35"/>
    <w:rsid w:val="00452EA0"/>
    <w:rsid w:val="00453B8A"/>
    <w:rsid w:val="00453F9C"/>
    <w:rsid w:val="004542CB"/>
    <w:rsid w:val="0045437C"/>
    <w:rsid w:val="00454727"/>
    <w:rsid w:val="0045484F"/>
    <w:rsid w:val="00454C75"/>
    <w:rsid w:val="00455306"/>
    <w:rsid w:val="00455799"/>
    <w:rsid w:val="004557F1"/>
    <w:rsid w:val="0045584C"/>
    <w:rsid w:val="00455C5A"/>
    <w:rsid w:val="00456142"/>
    <w:rsid w:val="004563EF"/>
    <w:rsid w:val="00456788"/>
    <w:rsid w:val="004568E0"/>
    <w:rsid w:val="00456BFD"/>
    <w:rsid w:val="00456C23"/>
    <w:rsid w:val="00456D59"/>
    <w:rsid w:val="00457002"/>
    <w:rsid w:val="00457701"/>
    <w:rsid w:val="00457801"/>
    <w:rsid w:val="004578A2"/>
    <w:rsid w:val="00457DC6"/>
    <w:rsid w:val="00457F06"/>
    <w:rsid w:val="00460552"/>
    <w:rsid w:val="0046059C"/>
    <w:rsid w:val="00460859"/>
    <w:rsid w:val="0046090C"/>
    <w:rsid w:val="00460B46"/>
    <w:rsid w:val="00460CF6"/>
    <w:rsid w:val="00460DD2"/>
    <w:rsid w:val="00460EFA"/>
    <w:rsid w:val="00461016"/>
    <w:rsid w:val="00461926"/>
    <w:rsid w:val="00461CC1"/>
    <w:rsid w:val="0046264E"/>
    <w:rsid w:val="004626A3"/>
    <w:rsid w:val="004632DC"/>
    <w:rsid w:val="00463A1D"/>
    <w:rsid w:val="00463EE0"/>
    <w:rsid w:val="004641E7"/>
    <w:rsid w:val="00464265"/>
    <w:rsid w:val="004648B6"/>
    <w:rsid w:val="00464917"/>
    <w:rsid w:val="00465003"/>
    <w:rsid w:val="00465042"/>
    <w:rsid w:val="0046521D"/>
    <w:rsid w:val="00465271"/>
    <w:rsid w:val="00465467"/>
    <w:rsid w:val="00465ACE"/>
    <w:rsid w:val="00465B82"/>
    <w:rsid w:val="00465BC9"/>
    <w:rsid w:val="00465D78"/>
    <w:rsid w:val="00466AE0"/>
    <w:rsid w:val="00466FD2"/>
    <w:rsid w:val="00467335"/>
    <w:rsid w:val="004674E2"/>
    <w:rsid w:val="004677D3"/>
    <w:rsid w:val="00467CB2"/>
    <w:rsid w:val="00470372"/>
    <w:rsid w:val="004708B5"/>
    <w:rsid w:val="00470AD1"/>
    <w:rsid w:val="00470E63"/>
    <w:rsid w:val="00470FB7"/>
    <w:rsid w:val="0047113A"/>
    <w:rsid w:val="004716F5"/>
    <w:rsid w:val="004725DB"/>
    <w:rsid w:val="00472756"/>
    <w:rsid w:val="00472847"/>
    <w:rsid w:val="00473141"/>
    <w:rsid w:val="00473521"/>
    <w:rsid w:val="004735D7"/>
    <w:rsid w:val="004738B8"/>
    <w:rsid w:val="00473DE9"/>
    <w:rsid w:val="00473E4A"/>
    <w:rsid w:val="00473F06"/>
    <w:rsid w:val="004744D1"/>
    <w:rsid w:val="00474B04"/>
    <w:rsid w:val="0047530D"/>
    <w:rsid w:val="0047532B"/>
    <w:rsid w:val="00475A86"/>
    <w:rsid w:val="00475A91"/>
    <w:rsid w:val="00475E6F"/>
    <w:rsid w:val="00475F77"/>
    <w:rsid w:val="0047650A"/>
    <w:rsid w:val="00476633"/>
    <w:rsid w:val="00476820"/>
    <w:rsid w:val="00476909"/>
    <w:rsid w:val="004769AB"/>
    <w:rsid w:val="00476FFC"/>
    <w:rsid w:val="004773C5"/>
    <w:rsid w:val="00477821"/>
    <w:rsid w:val="00477936"/>
    <w:rsid w:val="00477A30"/>
    <w:rsid w:val="0048010B"/>
    <w:rsid w:val="0048030E"/>
    <w:rsid w:val="0048050C"/>
    <w:rsid w:val="0048065C"/>
    <w:rsid w:val="0048083A"/>
    <w:rsid w:val="0048094F"/>
    <w:rsid w:val="00480CAE"/>
    <w:rsid w:val="004812D7"/>
    <w:rsid w:val="00481849"/>
    <w:rsid w:val="00481DF0"/>
    <w:rsid w:val="00481FE3"/>
    <w:rsid w:val="00482500"/>
    <w:rsid w:val="004825B4"/>
    <w:rsid w:val="00482738"/>
    <w:rsid w:val="0048277A"/>
    <w:rsid w:val="00482C6C"/>
    <w:rsid w:val="00482DA3"/>
    <w:rsid w:val="004830A1"/>
    <w:rsid w:val="004837EC"/>
    <w:rsid w:val="00483E36"/>
    <w:rsid w:val="00484746"/>
    <w:rsid w:val="004848E8"/>
    <w:rsid w:val="00484DDC"/>
    <w:rsid w:val="004858E7"/>
    <w:rsid w:val="00485A8B"/>
    <w:rsid w:val="00485D0C"/>
    <w:rsid w:val="00485F6E"/>
    <w:rsid w:val="0048629D"/>
    <w:rsid w:val="00486553"/>
    <w:rsid w:val="004868E3"/>
    <w:rsid w:val="00487170"/>
    <w:rsid w:val="0048746C"/>
    <w:rsid w:val="00487582"/>
    <w:rsid w:val="004876D4"/>
    <w:rsid w:val="00487788"/>
    <w:rsid w:val="00490068"/>
    <w:rsid w:val="00490335"/>
    <w:rsid w:val="00490369"/>
    <w:rsid w:val="004909D7"/>
    <w:rsid w:val="00491277"/>
    <w:rsid w:val="00491753"/>
    <w:rsid w:val="004917B0"/>
    <w:rsid w:val="00491A7A"/>
    <w:rsid w:val="00492682"/>
    <w:rsid w:val="004928C5"/>
    <w:rsid w:val="00492900"/>
    <w:rsid w:val="00492A35"/>
    <w:rsid w:val="00493590"/>
    <w:rsid w:val="004935A7"/>
    <w:rsid w:val="00493739"/>
    <w:rsid w:val="0049373D"/>
    <w:rsid w:val="00493791"/>
    <w:rsid w:val="0049386E"/>
    <w:rsid w:val="00493EAC"/>
    <w:rsid w:val="004940A8"/>
    <w:rsid w:val="004941DC"/>
    <w:rsid w:val="00494665"/>
    <w:rsid w:val="00494EA6"/>
    <w:rsid w:val="00495191"/>
    <w:rsid w:val="004952FA"/>
    <w:rsid w:val="00496957"/>
    <w:rsid w:val="00496AD3"/>
    <w:rsid w:val="00496F6F"/>
    <w:rsid w:val="00497392"/>
    <w:rsid w:val="004973E5"/>
    <w:rsid w:val="00497731"/>
    <w:rsid w:val="004978F4"/>
    <w:rsid w:val="004A04FA"/>
    <w:rsid w:val="004A0708"/>
    <w:rsid w:val="004A0919"/>
    <w:rsid w:val="004A09A5"/>
    <w:rsid w:val="004A110D"/>
    <w:rsid w:val="004A172F"/>
    <w:rsid w:val="004A1AEB"/>
    <w:rsid w:val="004A1C61"/>
    <w:rsid w:val="004A20C2"/>
    <w:rsid w:val="004A25A3"/>
    <w:rsid w:val="004A29E0"/>
    <w:rsid w:val="004A2C76"/>
    <w:rsid w:val="004A2F30"/>
    <w:rsid w:val="004A305F"/>
    <w:rsid w:val="004A33F7"/>
    <w:rsid w:val="004A3DAE"/>
    <w:rsid w:val="004A3EB5"/>
    <w:rsid w:val="004A472C"/>
    <w:rsid w:val="004A4A50"/>
    <w:rsid w:val="004A5199"/>
    <w:rsid w:val="004A522C"/>
    <w:rsid w:val="004A567A"/>
    <w:rsid w:val="004A56D1"/>
    <w:rsid w:val="004A5F17"/>
    <w:rsid w:val="004A5F3B"/>
    <w:rsid w:val="004A60F0"/>
    <w:rsid w:val="004A619D"/>
    <w:rsid w:val="004A6313"/>
    <w:rsid w:val="004A6B7B"/>
    <w:rsid w:val="004A6D4F"/>
    <w:rsid w:val="004A763D"/>
    <w:rsid w:val="004A7EEA"/>
    <w:rsid w:val="004B01DF"/>
    <w:rsid w:val="004B029D"/>
    <w:rsid w:val="004B04D8"/>
    <w:rsid w:val="004B0A50"/>
    <w:rsid w:val="004B0C3F"/>
    <w:rsid w:val="004B0D03"/>
    <w:rsid w:val="004B12B3"/>
    <w:rsid w:val="004B18AC"/>
    <w:rsid w:val="004B2933"/>
    <w:rsid w:val="004B2B9E"/>
    <w:rsid w:val="004B3151"/>
    <w:rsid w:val="004B395E"/>
    <w:rsid w:val="004B3B99"/>
    <w:rsid w:val="004B42C0"/>
    <w:rsid w:val="004B42D6"/>
    <w:rsid w:val="004B4347"/>
    <w:rsid w:val="004B4485"/>
    <w:rsid w:val="004B4C90"/>
    <w:rsid w:val="004B4F98"/>
    <w:rsid w:val="004B4FE2"/>
    <w:rsid w:val="004B522A"/>
    <w:rsid w:val="004B5305"/>
    <w:rsid w:val="004B5B15"/>
    <w:rsid w:val="004B5BE0"/>
    <w:rsid w:val="004B6380"/>
    <w:rsid w:val="004B642C"/>
    <w:rsid w:val="004B6834"/>
    <w:rsid w:val="004B6A8E"/>
    <w:rsid w:val="004B6BD7"/>
    <w:rsid w:val="004B7F2A"/>
    <w:rsid w:val="004C0152"/>
    <w:rsid w:val="004C023A"/>
    <w:rsid w:val="004C0AB0"/>
    <w:rsid w:val="004C0D89"/>
    <w:rsid w:val="004C0DFE"/>
    <w:rsid w:val="004C1B9B"/>
    <w:rsid w:val="004C1BE1"/>
    <w:rsid w:val="004C202F"/>
    <w:rsid w:val="004C20D6"/>
    <w:rsid w:val="004C2333"/>
    <w:rsid w:val="004C2476"/>
    <w:rsid w:val="004C24C4"/>
    <w:rsid w:val="004C2A11"/>
    <w:rsid w:val="004C2B8F"/>
    <w:rsid w:val="004C2CFB"/>
    <w:rsid w:val="004C3311"/>
    <w:rsid w:val="004C34BF"/>
    <w:rsid w:val="004C3A7A"/>
    <w:rsid w:val="004C3B26"/>
    <w:rsid w:val="004C3C6D"/>
    <w:rsid w:val="004C3DAE"/>
    <w:rsid w:val="004C3E18"/>
    <w:rsid w:val="004C4000"/>
    <w:rsid w:val="004C430C"/>
    <w:rsid w:val="004C452A"/>
    <w:rsid w:val="004C4BC4"/>
    <w:rsid w:val="004C5071"/>
    <w:rsid w:val="004C5866"/>
    <w:rsid w:val="004C604F"/>
    <w:rsid w:val="004C6521"/>
    <w:rsid w:val="004C6629"/>
    <w:rsid w:val="004C6A57"/>
    <w:rsid w:val="004C6B41"/>
    <w:rsid w:val="004C74EF"/>
    <w:rsid w:val="004C7733"/>
    <w:rsid w:val="004C7C32"/>
    <w:rsid w:val="004D018C"/>
    <w:rsid w:val="004D03E6"/>
    <w:rsid w:val="004D044A"/>
    <w:rsid w:val="004D0ABA"/>
    <w:rsid w:val="004D0C63"/>
    <w:rsid w:val="004D0E95"/>
    <w:rsid w:val="004D11B5"/>
    <w:rsid w:val="004D1804"/>
    <w:rsid w:val="004D1CED"/>
    <w:rsid w:val="004D1E28"/>
    <w:rsid w:val="004D1F6C"/>
    <w:rsid w:val="004D2502"/>
    <w:rsid w:val="004D2558"/>
    <w:rsid w:val="004D25CA"/>
    <w:rsid w:val="004D2886"/>
    <w:rsid w:val="004D2B45"/>
    <w:rsid w:val="004D2DAD"/>
    <w:rsid w:val="004D2F3B"/>
    <w:rsid w:val="004D34F7"/>
    <w:rsid w:val="004D37B8"/>
    <w:rsid w:val="004D3BAF"/>
    <w:rsid w:val="004D3CEE"/>
    <w:rsid w:val="004D3FF4"/>
    <w:rsid w:val="004D4CF5"/>
    <w:rsid w:val="004D4EC1"/>
    <w:rsid w:val="004D5426"/>
    <w:rsid w:val="004D549A"/>
    <w:rsid w:val="004D55FA"/>
    <w:rsid w:val="004D5922"/>
    <w:rsid w:val="004D5BD2"/>
    <w:rsid w:val="004D5C43"/>
    <w:rsid w:val="004D5D36"/>
    <w:rsid w:val="004D5FF3"/>
    <w:rsid w:val="004D63FE"/>
    <w:rsid w:val="004D6AE1"/>
    <w:rsid w:val="004D74CD"/>
    <w:rsid w:val="004D7589"/>
    <w:rsid w:val="004D76CC"/>
    <w:rsid w:val="004D7EAD"/>
    <w:rsid w:val="004E06EF"/>
    <w:rsid w:val="004E0DF8"/>
    <w:rsid w:val="004E1282"/>
    <w:rsid w:val="004E15B0"/>
    <w:rsid w:val="004E16A5"/>
    <w:rsid w:val="004E1FF0"/>
    <w:rsid w:val="004E209A"/>
    <w:rsid w:val="004E20D5"/>
    <w:rsid w:val="004E21F8"/>
    <w:rsid w:val="004E2221"/>
    <w:rsid w:val="004E2305"/>
    <w:rsid w:val="004E250C"/>
    <w:rsid w:val="004E2518"/>
    <w:rsid w:val="004E28DA"/>
    <w:rsid w:val="004E290E"/>
    <w:rsid w:val="004E2CA8"/>
    <w:rsid w:val="004E3098"/>
    <w:rsid w:val="004E3674"/>
    <w:rsid w:val="004E3862"/>
    <w:rsid w:val="004E3C88"/>
    <w:rsid w:val="004E4025"/>
    <w:rsid w:val="004E4145"/>
    <w:rsid w:val="004E4228"/>
    <w:rsid w:val="004E451D"/>
    <w:rsid w:val="004E4810"/>
    <w:rsid w:val="004E48E0"/>
    <w:rsid w:val="004E4F66"/>
    <w:rsid w:val="004E4FAF"/>
    <w:rsid w:val="004E4FB3"/>
    <w:rsid w:val="004E51E2"/>
    <w:rsid w:val="004E562B"/>
    <w:rsid w:val="004E58FB"/>
    <w:rsid w:val="004E596E"/>
    <w:rsid w:val="004E59A2"/>
    <w:rsid w:val="004E5B8A"/>
    <w:rsid w:val="004E6040"/>
    <w:rsid w:val="004E64B6"/>
    <w:rsid w:val="004E6867"/>
    <w:rsid w:val="004E6A5A"/>
    <w:rsid w:val="004E7CB0"/>
    <w:rsid w:val="004E7DE8"/>
    <w:rsid w:val="004F01A2"/>
    <w:rsid w:val="004F0381"/>
    <w:rsid w:val="004F095F"/>
    <w:rsid w:val="004F0A2C"/>
    <w:rsid w:val="004F1335"/>
    <w:rsid w:val="004F16E1"/>
    <w:rsid w:val="004F1A05"/>
    <w:rsid w:val="004F1ABA"/>
    <w:rsid w:val="004F1FC9"/>
    <w:rsid w:val="004F22F2"/>
    <w:rsid w:val="004F2360"/>
    <w:rsid w:val="004F251D"/>
    <w:rsid w:val="004F25D5"/>
    <w:rsid w:val="004F263C"/>
    <w:rsid w:val="004F2782"/>
    <w:rsid w:val="004F288A"/>
    <w:rsid w:val="004F323A"/>
    <w:rsid w:val="004F3475"/>
    <w:rsid w:val="004F39AA"/>
    <w:rsid w:val="004F3B39"/>
    <w:rsid w:val="004F3E91"/>
    <w:rsid w:val="004F408B"/>
    <w:rsid w:val="004F4707"/>
    <w:rsid w:val="004F4916"/>
    <w:rsid w:val="004F4C51"/>
    <w:rsid w:val="004F5933"/>
    <w:rsid w:val="004F5BCD"/>
    <w:rsid w:val="004F5DAB"/>
    <w:rsid w:val="004F60B8"/>
    <w:rsid w:val="004F6425"/>
    <w:rsid w:val="004F66BD"/>
    <w:rsid w:val="004F6982"/>
    <w:rsid w:val="004F6BC4"/>
    <w:rsid w:val="004F6D50"/>
    <w:rsid w:val="004F733E"/>
    <w:rsid w:val="004F751B"/>
    <w:rsid w:val="004F7880"/>
    <w:rsid w:val="004F79E6"/>
    <w:rsid w:val="004F7D7F"/>
    <w:rsid w:val="0050010F"/>
    <w:rsid w:val="00500A95"/>
    <w:rsid w:val="00500F56"/>
    <w:rsid w:val="005013D1"/>
    <w:rsid w:val="00501659"/>
    <w:rsid w:val="0050188E"/>
    <w:rsid w:val="00501927"/>
    <w:rsid w:val="00501EB4"/>
    <w:rsid w:val="005021A2"/>
    <w:rsid w:val="005022E5"/>
    <w:rsid w:val="00502668"/>
    <w:rsid w:val="00502C69"/>
    <w:rsid w:val="00502FFB"/>
    <w:rsid w:val="005031F6"/>
    <w:rsid w:val="005033A1"/>
    <w:rsid w:val="00503891"/>
    <w:rsid w:val="00503BFE"/>
    <w:rsid w:val="00504616"/>
    <w:rsid w:val="00504895"/>
    <w:rsid w:val="005049BB"/>
    <w:rsid w:val="00504DE6"/>
    <w:rsid w:val="00504EB4"/>
    <w:rsid w:val="00505225"/>
    <w:rsid w:val="00505333"/>
    <w:rsid w:val="00505466"/>
    <w:rsid w:val="00505583"/>
    <w:rsid w:val="0050570D"/>
    <w:rsid w:val="00505963"/>
    <w:rsid w:val="00505B93"/>
    <w:rsid w:val="00506286"/>
    <w:rsid w:val="00506460"/>
    <w:rsid w:val="005064BF"/>
    <w:rsid w:val="00506C23"/>
    <w:rsid w:val="00506DE1"/>
    <w:rsid w:val="00506FE0"/>
    <w:rsid w:val="005073C4"/>
    <w:rsid w:val="00507960"/>
    <w:rsid w:val="00507998"/>
    <w:rsid w:val="00507A48"/>
    <w:rsid w:val="00507ED3"/>
    <w:rsid w:val="00507F76"/>
    <w:rsid w:val="005109B1"/>
    <w:rsid w:val="00510A5B"/>
    <w:rsid w:val="00510E79"/>
    <w:rsid w:val="00511495"/>
    <w:rsid w:val="00511C5D"/>
    <w:rsid w:val="00512432"/>
    <w:rsid w:val="00512D5E"/>
    <w:rsid w:val="00512E98"/>
    <w:rsid w:val="00512F4F"/>
    <w:rsid w:val="00513014"/>
    <w:rsid w:val="00513180"/>
    <w:rsid w:val="00513691"/>
    <w:rsid w:val="00513E89"/>
    <w:rsid w:val="00514019"/>
    <w:rsid w:val="005140CD"/>
    <w:rsid w:val="00514185"/>
    <w:rsid w:val="0051438D"/>
    <w:rsid w:val="005145A3"/>
    <w:rsid w:val="005148AA"/>
    <w:rsid w:val="00514D17"/>
    <w:rsid w:val="00514DA1"/>
    <w:rsid w:val="00514DD9"/>
    <w:rsid w:val="00514F6B"/>
    <w:rsid w:val="00515502"/>
    <w:rsid w:val="00515510"/>
    <w:rsid w:val="005158B8"/>
    <w:rsid w:val="00515B16"/>
    <w:rsid w:val="00515B61"/>
    <w:rsid w:val="00515C97"/>
    <w:rsid w:val="00515D0C"/>
    <w:rsid w:val="0051666F"/>
    <w:rsid w:val="00516C44"/>
    <w:rsid w:val="00516CB2"/>
    <w:rsid w:val="00517132"/>
    <w:rsid w:val="0051731E"/>
    <w:rsid w:val="005174EF"/>
    <w:rsid w:val="00517DC9"/>
    <w:rsid w:val="00517E10"/>
    <w:rsid w:val="00517F51"/>
    <w:rsid w:val="00520170"/>
    <w:rsid w:val="0052039F"/>
    <w:rsid w:val="00520843"/>
    <w:rsid w:val="00520FC3"/>
    <w:rsid w:val="005210E2"/>
    <w:rsid w:val="005211DB"/>
    <w:rsid w:val="00521393"/>
    <w:rsid w:val="00521608"/>
    <w:rsid w:val="005218D5"/>
    <w:rsid w:val="005219C0"/>
    <w:rsid w:val="00521BB4"/>
    <w:rsid w:val="00521F7F"/>
    <w:rsid w:val="005220D5"/>
    <w:rsid w:val="00522875"/>
    <w:rsid w:val="00522BE9"/>
    <w:rsid w:val="00523040"/>
    <w:rsid w:val="00523393"/>
    <w:rsid w:val="00523C08"/>
    <w:rsid w:val="00523EFC"/>
    <w:rsid w:val="00524056"/>
    <w:rsid w:val="0052422F"/>
    <w:rsid w:val="005247DA"/>
    <w:rsid w:val="005248BB"/>
    <w:rsid w:val="00524AC4"/>
    <w:rsid w:val="00524CCB"/>
    <w:rsid w:val="00524DF9"/>
    <w:rsid w:val="00524E8E"/>
    <w:rsid w:val="00525297"/>
    <w:rsid w:val="0052545E"/>
    <w:rsid w:val="0052549C"/>
    <w:rsid w:val="005254A3"/>
    <w:rsid w:val="00525A72"/>
    <w:rsid w:val="00525ADE"/>
    <w:rsid w:val="00525DA5"/>
    <w:rsid w:val="005260D5"/>
    <w:rsid w:val="00526AFA"/>
    <w:rsid w:val="00526C91"/>
    <w:rsid w:val="00526D6A"/>
    <w:rsid w:val="00526F34"/>
    <w:rsid w:val="00526FB1"/>
    <w:rsid w:val="00526FFC"/>
    <w:rsid w:val="005271C4"/>
    <w:rsid w:val="00527265"/>
    <w:rsid w:val="005273C8"/>
    <w:rsid w:val="005279E2"/>
    <w:rsid w:val="00527BF3"/>
    <w:rsid w:val="00527D1D"/>
    <w:rsid w:val="00530318"/>
    <w:rsid w:val="005303FC"/>
    <w:rsid w:val="00530573"/>
    <w:rsid w:val="00530590"/>
    <w:rsid w:val="00530748"/>
    <w:rsid w:val="00531495"/>
    <w:rsid w:val="005315B2"/>
    <w:rsid w:val="00531A9D"/>
    <w:rsid w:val="00531D73"/>
    <w:rsid w:val="00532380"/>
    <w:rsid w:val="00532393"/>
    <w:rsid w:val="005323F7"/>
    <w:rsid w:val="0053257E"/>
    <w:rsid w:val="005327A5"/>
    <w:rsid w:val="00532E6B"/>
    <w:rsid w:val="005333D8"/>
    <w:rsid w:val="005334C7"/>
    <w:rsid w:val="005340AA"/>
    <w:rsid w:val="0053410D"/>
    <w:rsid w:val="0053494D"/>
    <w:rsid w:val="00534A01"/>
    <w:rsid w:val="00535202"/>
    <w:rsid w:val="00535377"/>
    <w:rsid w:val="005357E8"/>
    <w:rsid w:val="00535A4B"/>
    <w:rsid w:val="00535D55"/>
    <w:rsid w:val="0053647F"/>
    <w:rsid w:val="005364C2"/>
    <w:rsid w:val="00536559"/>
    <w:rsid w:val="0053717C"/>
    <w:rsid w:val="00537407"/>
    <w:rsid w:val="005379F3"/>
    <w:rsid w:val="00537A64"/>
    <w:rsid w:val="0054014D"/>
    <w:rsid w:val="005402D6"/>
    <w:rsid w:val="005409B4"/>
    <w:rsid w:val="00540A32"/>
    <w:rsid w:val="00540ABE"/>
    <w:rsid w:val="00540CF8"/>
    <w:rsid w:val="00541077"/>
    <w:rsid w:val="00541682"/>
    <w:rsid w:val="0054173A"/>
    <w:rsid w:val="00541CC2"/>
    <w:rsid w:val="00541DB8"/>
    <w:rsid w:val="0054213D"/>
    <w:rsid w:val="00542160"/>
    <w:rsid w:val="00542663"/>
    <w:rsid w:val="00542A8E"/>
    <w:rsid w:val="00542D33"/>
    <w:rsid w:val="00542F60"/>
    <w:rsid w:val="00543297"/>
    <w:rsid w:val="0054349D"/>
    <w:rsid w:val="00543C9B"/>
    <w:rsid w:val="00544751"/>
    <w:rsid w:val="00545683"/>
    <w:rsid w:val="00545F4C"/>
    <w:rsid w:val="00546DF3"/>
    <w:rsid w:val="00546EFE"/>
    <w:rsid w:val="00546FB7"/>
    <w:rsid w:val="005471B8"/>
    <w:rsid w:val="0054783D"/>
    <w:rsid w:val="0054796E"/>
    <w:rsid w:val="00547A56"/>
    <w:rsid w:val="00547B78"/>
    <w:rsid w:val="005503AD"/>
    <w:rsid w:val="00550524"/>
    <w:rsid w:val="00550A50"/>
    <w:rsid w:val="00551309"/>
    <w:rsid w:val="00551314"/>
    <w:rsid w:val="00552334"/>
    <w:rsid w:val="005523F2"/>
    <w:rsid w:val="00552680"/>
    <w:rsid w:val="00552700"/>
    <w:rsid w:val="00552FDC"/>
    <w:rsid w:val="005534FE"/>
    <w:rsid w:val="005536BC"/>
    <w:rsid w:val="00553BB3"/>
    <w:rsid w:val="00553EAB"/>
    <w:rsid w:val="005542C9"/>
    <w:rsid w:val="00554683"/>
    <w:rsid w:val="005546A8"/>
    <w:rsid w:val="00554750"/>
    <w:rsid w:val="00554B9E"/>
    <w:rsid w:val="00554BA3"/>
    <w:rsid w:val="00554C24"/>
    <w:rsid w:val="005552C5"/>
    <w:rsid w:val="00555D1A"/>
    <w:rsid w:val="005560F5"/>
    <w:rsid w:val="00556212"/>
    <w:rsid w:val="005563AC"/>
    <w:rsid w:val="00556481"/>
    <w:rsid w:val="005569FA"/>
    <w:rsid w:val="005574C2"/>
    <w:rsid w:val="00557653"/>
    <w:rsid w:val="00557693"/>
    <w:rsid w:val="005576B6"/>
    <w:rsid w:val="00557D2F"/>
    <w:rsid w:val="00557FB9"/>
    <w:rsid w:val="0056027E"/>
    <w:rsid w:val="0056077C"/>
    <w:rsid w:val="00560A7E"/>
    <w:rsid w:val="00560C4D"/>
    <w:rsid w:val="00561A34"/>
    <w:rsid w:val="00562689"/>
    <w:rsid w:val="00562765"/>
    <w:rsid w:val="00562865"/>
    <w:rsid w:val="005633F0"/>
    <w:rsid w:val="00563633"/>
    <w:rsid w:val="005638A0"/>
    <w:rsid w:val="00563D2A"/>
    <w:rsid w:val="00563E5B"/>
    <w:rsid w:val="00564079"/>
    <w:rsid w:val="005640D4"/>
    <w:rsid w:val="00564131"/>
    <w:rsid w:val="005646EA"/>
    <w:rsid w:val="00564940"/>
    <w:rsid w:val="00564ED8"/>
    <w:rsid w:val="00565874"/>
    <w:rsid w:val="00565AF7"/>
    <w:rsid w:val="00565CE6"/>
    <w:rsid w:val="00565F1D"/>
    <w:rsid w:val="00565F7C"/>
    <w:rsid w:val="00566305"/>
    <w:rsid w:val="005664FC"/>
    <w:rsid w:val="00566D9C"/>
    <w:rsid w:val="00567153"/>
    <w:rsid w:val="00567196"/>
    <w:rsid w:val="0056751E"/>
    <w:rsid w:val="00567579"/>
    <w:rsid w:val="00567A2C"/>
    <w:rsid w:val="00567C07"/>
    <w:rsid w:val="00567D71"/>
    <w:rsid w:val="005704B3"/>
    <w:rsid w:val="00570A8C"/>
    <w:rsid w:val="00570D3F"/>
    <w:rsid w:val="00570E84"/>
    <w:rsid w:val="00571374"/>
    <w:rsid w:val="005717EA"/>
    <w:rsid w:val="00571850"/>
    <w:rsid w:val="005721DD"/>
    <w:rsid w:val="005730EB"/>
    <w:rsid w:val="005732D1"/>
    <w:rsid w:val="005732F3"/>
    <w:rsid w:val="0057374A"/>
    <w:rsid w:val="00573A8D"/>
    <w:rsid w:val="00573B48"/>
    <w:rsid w:val="00573D77"/>
    <w:rsid w:val="00573EA6"/>
    <w:rsid w:val="00574021"/>
    <w:rsid w:val="005742BD"/>
    <w:rsid w:val="005746D3"/>
    <w:rsid w:val="005749A3"/>
    <w:rsid w:val="00574A06"/>
    <w:rsid w:val="005752A4"/>
    <w:rsid w:val="00575685"/>
    <w:rsid w:val="0057587F"/>
    <w:rsid w:val="005760AC"/>
    <w:rsid w:val="00576404"/>
    <w:rsid w:val="0057691E"/>
    <w:rsid w:val="00576EBE"/>
    <w:rsid w:val="00577234"/>
    <w:rsid w:val="00577789"/>
    <w:rsid w:val="005778CB"/>
    <w:rsid w:val="00577E5B"/>
    <w:rsid w:val="00577E7F"/>
    <w:rsid w:val="0058068E"/>
    <w:rsid w:val="005806A7"/>
    <w:rsid w:val="00580968"/>
    <w:rsid w:val="00580AAB"/>
    <w:rsid w:val="00581417"/>
    <w:rsid w:val="00581446"/>
    <w:rsid w:val="00581BE2"/>
    <w:rsid w:val="005822AF"/>
    <w:rsid w:val="00582380"/>
    <w:rsid w:val="00582403"/>
    <w:rsid w:val="005824B1"/>
    <w:rsid w:val="00582BED"/>
    <w:rsid w:val="00582DFA"/>
    <w:rsid w:val="00583369"/>
    <w:rsid w:val="0058362D"/>
    <w:rsid w:val="0058387D"/>
    <w:rsid w:val="00583E37"/>
    <w:rsid w:val="00584039"/>
    <w:rsid w:val="00584049"/>
    <w:rsid w:val="0058425C"/>
    <w:rsid w:val="00584C30"/>
    <w:rsid w:val="00584CA8"/>
    <w:rsid w:val="00584E42"/>
    <w:rsid w:val="00585190"/>
    <w:rsid w:val="005852F5"/>
    <w:rsid w:val="005853ED"/>
    <w:rsid w:val="00585832"/>
    <w:rsid w:val="0058596B"/>
    <w:rsid w:val="00585B18"/>
    <w:rsid w:val="00585D68"/>
    <w:rsid w:val="00585DCA"/>
    <w:rsid w:val="00586132"/>
    <w:rsid w:val="005861DC"/>
    <w:rsid w:val="005871F5"/>
    <w:rsid w:val="005876A2"/>
    <w:rsid w:val="00587ADE"/>
    <w:rsid w:val="00590001"/>
    <w:rsid w:val="00590ABC"/>
    <w:rsid w:val="00590BF3"/>
    <w:rsid w:val="00590E20"/>
    <w:rsid w:val="00591379"/>
    <w:rsid w:val="00591675"/>
    <w:rsid w:val="00591A9D"/>
    <w:rsid w:val="00591DE9"/>
    <w:rsid w:val="0059279F"/>
    <w:rsid w:val="00592A12"/>
    <w:rsid w:val="00592CD6"/>
    <w:rsid w:val="00592F49"/>
    <w:rsid w:val="005931A3"/>
    <w:rsid w:val="005940C0"/>
    <w:rsid w:val="00594140"/>
    <w:rsid w:val="005941CF"/>
    <w:rsid w:val="0059451E"/>
    <w:rsid w:val="00594574"/>
    <w:rsid w:val="00594DA0"/>
    <w:rsid w:val="00594FD3"/>
    <w:rsid w:val="005959D7"/>
    <w:rsid w:val="00595CA7"/>
    <w:rsid w:val="00596BF8"/>
    <w:rsid w:val="005972FD"/>
    <w:rsid w:val="00597828"/>
    <w:rsid w:val="00597EF9"/>
    <w:rsid w:val="00597FC8"/>
    <w:rsid w:val="005A03A4"/>
    <w:rsid w:val="005A0641"/>
    <w:rsid w:val="005A086F"/>
    <w:rsid w:val="005A08B3"/>
    <w:rsid w:val="005A090C"/>
    <w:rsid w:val="005A0F51"/>
    <w:rsid w:val="005A1008"/>
    <w:rsid w:val="005A11CA"/>
    <w:rsid w:val="005A138F"/>
    <w:rsid w:val="005A190C"/>
    <w:rsid w:val="005A1967"/>
    <w:rsid w:val="005A19E4"/>
    <w:rsid w:val="005A2046"/>
    <w:rsid w:val="005A2A78"/>
    <w:rsid w:val="005A2D3D"/>
    <w:rsid w:val="005A360F"/>
    <w:rsid w:val="005A3A4A"/>
    <w:rsid w:val="005A3C3E"/>
    <w:rsid w:val="005A3CD0"/>
    <w:rsid w:val="005A450B"/>
    <w:rsid w:val="005A4FBC"/>
    <w:rsid w:val="005A5167"/>
    <w:rsid w:val="005A528A"/>
    <w:rsid w:val="005A5BA7"/>
    <w:rsid w:val="005A5DA8"/>
    <w:rsid w:val="005A62D7"/>
    <w:rsid w:val="005A65DA"/>
    <w:rsid w:val="005A6723"/>
    <w:rsid w:val="005A6D7D"/>
    <w:rsid w:val="005A6EA4"/>
    <w:rsid w:val="005A7571"/>
    <w:rsid w:val="005A77CF"/>
    <w:rsid w:val="005A7988"/>
    <w:rsid w:val="005A7DA8"/>
    <w:rsid w:val="005B07C4"/>
    <w:rsid w:val="005B0953"/>
    <w:rsid w:val="005B0C7C"/>
    <w:rsid w:val="005B0E03"/>
    <w:rsid w:val="005B0FCB"/>
    <w:rsid w:val="005B13B0"/>
    <w:rsid w:val="005B13CD"/>
    <w:rsid w:val="005B195F"/>
    <w:rsid w:val="005B1A52"/>
    <w:rsid w:val="005B1AD7"/>
    <w:rsid w:val="005B1DD8"/>
    <w:rsid w:val="005B2415"/>
    <w:rsid w:val="005B2442"/>
    <w:rsid w:val="005B276E"/>
    <w:rsid w:val="005B2788"/>
    <w:rsid w:val="005B2AB4"/>
    <w:rsid w:val="005B2C3F"/>
    <w:rsid w:val="005B2E96"/>
    <w:rsid w:val="005B33AE"/>
    <w:rsid w:val="005B37EE"/>
    <w:rsid w:val="005B3A69"/>
    <w:rsid w:val="005B3C3D"/>
    <w:rsid w:val="005B3D82"/>
    <w:rsid w:val="005B3DD0"/>
    <w:rsid w:val="005B42EB"/>
    <w:rsid w:val="005B47A4"/>
    <w:rsid w:val="005B4E1C"/>
    <w:rsid w:val="005B500B"/>
    <w:rsid w:val="005B5051"/>
    <w:rsid w:val="005B5C60"/>
    <w:rsid w:val="005B5C8A"/>
    <w:rsid w:val="005B6405"/>
    <w:rsid w:val="005B6435"/>
    <w:rsid w:val="005B65DE"/>
    <w:rsid w:val="005B6843"/>
    <w:rsid w:val="005B68C0"/>
    <w:rsid w:val="005B70ED"/>
    <w:rsid w:val="005B7196"/>
    <w:rsid w:val="005B74C6"/>
    <w:rsid w:val="005B7D4A"/>
    <w:rsid w:val="005C008D"/>
    <w:rsid w:val="005C019A"/>
    <w:rsid w:val="005C0278"/>
    <w:rsid w:val="005C0480"/>
    <w:rsid w:val="005C0812"/>
    <w:rsid w:val="005C0A62"/>
    <w:rsid w:val="005C0B9D"/>
    <w:rsid w:val="005C0BF6"/>
    <w:rsid w:val="005C0CBC"/>
    <w:rsid w:val="005C12D2"/>
    <w:rsid w:val="005C144F"/>
    <w:rsid w:val="005C20A7"/>
    <w:rsid w:val="005C210D"/>
    <w:rsid w:val="005C2114"/>
    <w:rsid w:val="005C2575"/>
    <w:rsid w:val="005C27AF"/>
    <w:rsid w:val="005C282C"/>
    <w:rsid w:val="005C2C2F"/>
    <w:rsid w:val="005C308A"/>
    <w:rsid w:val="005C32B1"/>
    <w:rsid w:val="005C32DE"/>
    <w:rsid w:val="005C37FC"/>
    <w:rsid w:val="005C383C"/>
    <w:rsid w:val="005C38EA"/>
    <w:rsid w:val="005C3A0C"/>
    <w:rsid w:val="005C40CA"/>
    <w:rsid w:val="005C413D"/>
    <w:rsid w:val="005C4395"/>
    <w:rsid w:val="005C46D9"/>
    <w:rsid w:val="005C47A5"/>
    <w:rsid w:val="005C47B6"/>
    <w:rsid w:val="005C4BBB"/>
    <w:rsid w:val="005C4BF2"/>
    <w:rsid w:val="005C4D13"/>
    <w:rsid w:val="005C51BB"/>
    <w:rsid w:val="005C5EDA"/>
    <w:rsid w:val="005C65E0"/>
    <w:rsid w:val="005C6E70"/>
    <w:rsid w:val="005C7C8A"/>
    <w:rsid w:val="005C7E9A"/>
    <w:rsid w:val="005C7EF0"/>
    <w:rsid w:val="005D01FD"/>
    <w:rsid w:val="005D05B8"/>
    <w:rsid w:val="005D0617"/>
    <w:rsid w:val="005D097C"/>
    <w:rsid w:val="005D10FA"/>
    <w:rsid w:val="005D11BE"/>
    <w:rsid w:val="005D19E0"/>
    <w:rsid w:val="005D1C7F"/>
    <w:rsid w:val="005D2011"/>
    <w:rsid w:val="005D20A7"/>
    <w:rsid w:val="005D2DC9"/>
    <w:rsid w:val="005D2E3B"/>
    <w:rsid w:val="005D2E90"/>
    <w:rsid w:val="005D37AA"/>
    <w:rsid w:val="005D3AFE"/>
    <w:rsid w:val="005D3BFD"/>
    <w:rsid w:val="005D42A5"/>
    <w:rsid w:val="005D4B3D"/>
    <w:rsid w:val="005D4B4D"/>
    <w:rsid w:val="005D4DFD"/>
    <w:rsid w:val="005D57DB"/>
    <w:rsid w:val="005D5A53"/>
    <w:rsid w:val="005D5A60"/>
    <w:rsid w:val="005D5B4C"/>
    <w:rsid w:val="005D5CAC"/>
    <w:rsid w:val="005D5D4D"/>
    <w:rsid w:val="005D6052"/>
    <w:rsid w:val="005D62E3"/>
    <w:rsid w:val="005D679D"/>
    <w:rsid w:val="005D6AC4"/>
    <w:rsid w:val="005D7249"/>
    <w:rsid w:val="005D7EE4"/>
    <w:rsid w:val="005E0A23"/>
    <w:rsid w:val="005E0F4D"/>
    <w:rsid w:val="005E1309"/>
    <w:rsid w:val="005E14A1"/>
    <w:rsid w:val="005E17F8"/>
    <w:rsid w:val="005E1B0F"/>
    <w:rsid w:val="005E1E35"/>
    <w:rsid w:val="005E2244"/>
    <w:rsid w:val="005E271A"/>
    <w:rsid w:val="005E2B61"/>
    <w:rsid w:val="005E2F61"/>
    <w:rsid w:val="005E377B"/>
    <w:rsid w:val="005E3D05"/>
    <w:rsid w:val="005E3F3C"/>
    <w:rsid w:val="005E3F85"/>
    <w:rsid w:val="005E409B"/>
    <w:rsid w:val="005E479A"/>
    <w:rsid w:val="005E47BA"/>
    <w:rsid w:val="005E49F9"/>
    <w:rsid w:val="005E4B4C"/>
    <w:rsid w:val="005E4DFC"/>
    <w:rsid w:val="005E4ECE"/>
    <w:rsid w:val="005E4F0B"/>
    <w:rsid w:val="005E560B"/>
    <w:rsid w:val="005E59B3"/>
    <w:rsid w:val="005E6373"/>
    <w:rsid w:val="005E6734"/>
    <w:rsid w:val="005E7374"/>
    <w:rsid w:val="005E76AF"/>
    <w:rsid w:val="005E78D0"/>
    <w:rsid w:val="005F045B"/>
    <w:rsid w:val="005F04CC"/>
    <w:rsid w:val="005F087F"/>
    <w:rsid w:val="005F08D9"/>
    <w:rsid w:val="005F0FF8"/>
    <w:rsid w:val="005F1184"/>
    <w:rsid w:val="005F1728"/>
    <w:rsid w:val="005F17BD"/>
    <w:rsid w:val="005F1921"/>
    <w:rsid w:val="005F21A4"/>
    <w:rsid w:val="005F24D0"/>
    <w:rsid w:val="005F2968"/>
    <w:rsid w:val="005F29B1"/>
    <w:rsid w:val="005F3005"/>
    <w:rsid w:val="005F319E"/>
    <w:rsid w:val="005F3830"/>
    <w:rsid w:val="005F395C"/>
    <w:rsid w:val="005F3AA2"/>
    <w:rsid w:val="005F3BE7"/>
    <w:rsid w:val="005F417B"/>
    <w:rsid w:val="005F4362"/>
    <w:rsid w:val="005F492B"/>
    <w:rsid w:val="005F4D1E"/>
    <w:rsid w:val="005F4EC8"/>
    <w:rsid w:val="005F51D5"/>
    <w:rsid w:val="005F5EC4"/>
    <w:rsid w:val="005F6039"/>
    <w:rsid w:val="005F63E2"/>
    <w:rsid w:val="005F65B1"/>
    <w:rsid w:val="005F69EA"/>
    <w:rsid w:val="005F6B40"/>
    <w:rsid w:val="005F6C50"/>
    <w:rsid w:val="005F7916"/>
    <w:rsid w:val="005F7CB9"/>
    <w:rsid w:val="006000DE"/>
    <w:rsid w:val="0060074C"/>
    <w:rsid w:val="00600840"/>
    <w:rsid w:val="0060093C"/>
    <w:rsid w:val="0060103C"/>
    <w:rsid w:val="00601271"/>
    <w:rsid w:val="00601277"/>
    <w:rsid w:val="00601FD9"/>
    <w:rsid w:val="00602692"/>
    <w:rsid w:val="006027FF"/>
    <w:rsid w:val="006028AE"/>
    <w:rsid w:val="006028F5"/>
    <w:rsid w:val="00602A08"/>
    <w:rsid w:val="00602B7E"/>
    <w:rsid w:val="00602DC2"/>
    <w:rsid w:val="00603098"/>
    <w:rsid w:val="00603184"/>
    <w:rsid w:val="0060358B"/>
    <w:rsid w:val="00603624"/>
    <w:rsid w:val="006037FD"/>
    <w:rsid w:val="00603973"/>
    <w:rsid w:val="00603AAB"/>
    <w:rsid w:val="00603B05"/>
    <w:rsid w:val="00603EE3"/>
    <w:rsid w:val="006040F8"/>
    <w:rsid w:val="006045DB"/>
    <w:rsid w:val="006046F2"/>
    <w:rsid w:val="006047DC"/>
    <w:rsid w:val="006047F2"/>
    <w:rsid w:val="00604A51"/>
    <w:rsid w:val="006050A6"/>
    <w:rsid w:val="0060561C"/>
    <w:rsid w:val="00605858"/>
    <w:rsid w:val="00605FB3"/>
    <w:rsid w:val="006060A9"/>
    <w:rsid w:val="006066F3"/>
    <w:rsid w:val="00606881"/>
    <w:rsid w:val="00606CDD"/>
    <w:rsid w:val="00606E8D"/>
    <w:rsid w:val="00607464"/>
    <w:rsid w:val="0060751D"/>
    <w:rsid w:val="00607658"/>
    <w:rsid w:val="00607771"/>
    <w:rsid w:val="00607A12"/>
    <w:rsid w:val="00607B81"/>
    <w:rsid w:val="00610498"/>
    <w:rsid w:val="006106A6"/>
    <w:rsid w:val="0061118E"/>
    <w:rsid w:val="006115C2"/>
    <w:rsid w:val="00611C09"/>
    <w:rsid w:val="006124A3"/>
    <w:rsid w:val="0061275E"/>
    <w:rsid w:val="00612AC2"/>
    <w:rsid w:val="006135A9"/>
    <w:rsid w:val="00613AD3"/>
    <w:rsid w:val="00613DA1"/>
    <w:rsid w:val="00614312"/>
    <w:rsid w:val="0061440F"/>
    <w:rsid w:val="006148CA"/>
    <w:rsid w:val="006148E4"/>
    <w:rsid w:val="0061499B"/>
    <w:rsid w:val="00614F4B"/>
    <w:rsid w:val="006155E3"/>
    <w:rsid w:val="006157B1"/>
    <w:rsid w:val="00615E39"/>
    <w:rsid w:val="00616A82"/>
    <w:rsid w:val="00616C7F"/>
    <w:rsid w:val="006175D9"/>
    <w:rsid w:val="006176C5"/>
    <w:rsid w:val="006176D7"/>
    <w:rsid w:val="0061793E"/>
    <w:rsid w:val="00617966"/>
    <w:rsid w:val="006200F9"/>
    <w:rsid w:val="00620217"/>
    <w:rsid w:val="0062022B"/>
    <w:rsid w:val="006203CE"/>
    <w:rsid w:val="00620462"/>
    <w:rsid w:val="00620543"/>
    <w:rsid w:val="006206BE"/>
    <w:rsid w:val="0062083C"/>
    <w:rsid w:val="00620D71"/>
    <w:rsid w:val="00620DFC"/>
    <w:rsid w:val="006210E0"/>
    <w:rsid w:val="00621119"/>
    <w:rsid w:val="00621574"/>
    <w:rsid w:val="00621706"/>
    <w:rsid w:val="006217B0"/>
    <w:rsid w:val="00621868"/>
    <w:rsid w:val="00621DB2"/>
    <w:rsid w:val="00621E78"/>
    <w:rsid w:val="0062233E"/>
    <w:rsid w:val="00622558"/>
    <w:rsid w:val="0062264F"/>
    <w:rsid w:val="00622DE0"/>
    <w:rsid w:val="0062348B"/>
    <w:rsid w:val="00623657"/>
    <w:rsid w:val="00623BB1"/>
    <w:rsid w:val="00623E1C"/>
    <w:rsid w:val="00623FF0"/>
    <w:rsid w:val="00624702"/>
    <w:rsid w:val="006248F3"/>
    <w:rsid w:val="0062495D"/>
    <w:rsid w:val="00624F2B"/>
    <w:rsid w:val="006255B1"/>
    <w:rsid w:val="0062568D"/>
    <w:rsid w:val="0062653F"/>
    <w:rsid w:val="006275D5"/>
    <w:rsid w:val="00627834"/>
    <w:rsid w:val="00627DFE"/>
    <w:rsid w:val="00630127"/>
    <w:rsid w:val="006302B3"/>
    <w:rsid w:val="00630996"/>
    <w:rsid w:val="00630CD3"/>
    <w:rsid w:val="0063134E"/>
    <w:rsid w:val="00631726"/>
    <w:rsid w:val="00631881"/>
    <w:rsid w:val="00631FD5"/>
    <w:rsid w:val="00632388"/>
    <w:rsid w:val="00632515"/>
    <w:rsid w:val="00632861"/>
    <w:rsid w:val="00632869"/>
    <w:rsid w:val="00633139"/>
    <w:rsid w:val="0063317C"/>
    <w:rsid w:val="0063348E"/>
    <w:rsid w:val="006338D1"/>
    <w:rsid w:val="00633A93"/>
    <w:rsid w:val="00633BDD"/>
    <w:rsid w:val="0063414E"/>
    <w:rsid w:val="00634758"/>
    <w:rsid w:val="00634993"/>
    <w:rsid w:val="006349A8"/>
    <w:rsid w:val="0063505A"/>
    <w:rsid w:val="00635C9F"/>
    <w:rsid w:val="00635FD1"/>
    <w:rsid w:val="0063617A"/>
    <w:rsid w:val="00636216"/>
    <w:rsid w:val="006366F3"/>
    <w:rsid w:val="00636B32"/>
    <w:rsid w:val="00636B96"/>
    <w:rsid w:val="00636F32"/>
    <w:rsid w:val="00637109"/>
    <w:rsid w:val="006378A5"/>
    <w:rsid w:val="00637B2C"/>
    <w:rsid w:val="00640088"/>
    <w:rsid w:val="006402EE"/>
    <w:rsid w:val="00640384"/>
    <w:rsid w:val="0064065F"/>
    <w:rsid w:val="00640899"/>
    <w:rsid w:val="006408E2"/>
    <w:rsid w:val="006409D2"/>
    <w:rsid w:val="00640D2F"/>
    <w:rsid w:val="0064166B"/>
    <w:rsid w:val="00641A5C"/>
    <w:rsid w:val="00641BD9"/>
    <w:rsid w:val="006428EC"/>
    <w:rsid w:val="00642DDD"/>
    <w:rsid w:val="00642FE5"/>
    <w:rsid w:val="00643296"/>
    <w:rsid w:val="006435A0"/>
    <w:rsid w:val="006439D6"/>
    <w:rsid w:val="00643B43"/>
    <w:rsid w:val="00644659"/>
    <w:rsid w:val="00644B9F"/>
    <w:rsid w:val="00644D5A"/>
    <w:rsid w:val="00644E71"/>
    <w:rsid w:val="006453C2"/>
    <w:rsid w:val="0064562C"/>
    <w:rsid w:val="006456B2"/>
    <w:rsid w:val="00645976"/>
    <w:rsid w:val="00646460"/>
    <w:rsid w:val="00646795"/>
    <w:rsid w:val="006467B4"/>
    <w:rsid w:val="006467DF"/>
    <w:rsid w:val="00646A6D"/>
    <w:rsid w:val="00646B23"/>
    <w:rsid w:val="00646E98"/>
    <w:rsid w:val="00646EFB"/>
    <w:rsid w:val="00647213"/>
    <w:rsid w:val="00647469"/>
    <w:rsid w:val="00647839"/>
    <w:rsid w:val="00647F42"/>
    <w:rsid w:val="00647F66"/>
    <w:rsid w:val="00650A81"/>
    <w:rsid w:val="00651857"/>
    <w:rsid w:val="00651933"/>
    <w:rsid w:val="00651AE7"/>
    <w:rsid w:val="00651BC6"/>
    <w:rsid w:val="00651CCE"/>
    <w:rsid w:val="00651F5F"/>
    <w:rsid w:val="00651FFF"/>
    <w:rsid w:val="006521E3"/>
    <w:rsid w:val="00652898"/>
    <w:rsid w:val="00652A0E"/>
    <w:rsid w:val="00652E61"/>
    <w:rsid w:val="006531D7"/>
    <w:rsid w:val="006539A4"/>
    <w:rsid w:val="006539B9"/>
    <w:rsid w:val="00653AB1"/>
    <w:rsid w:val="00653E0A"/>
    <w:rsid w:val="0065411A"/>
    <w:rsid w:val="006542D6"/>
    <w:rsid w:val="00654523"/>
    <w:rsid w:val="00654595"/>
    <w:rsid w:val="00654A30"/>
    <w:rsid w:val="00655601"/>
    <w:rsid w:val="00655C6A"/>
    <w:rsid w:val="00655CE1"/>
    <w:rsid w:val="006564F4"/>
    <w:rsid w:val="00656E2A"/>
    <w:rsid w:val="00656F94"/>
    <w:rsid w:val="006570B2"/>
    <w:rsid w:val="00657307"/>
    <w:rsid w:val="00657736"/>
    <w:rsid w:val="00657737"/>
    <w:rsid w:val="00657C87"/>
    <w:rsid w:val="00660079"/>
    <w:rsid w:val="006601FC"/>
    <w:rsid w:val="0066021E"/>
    <w:rsid w:val="0066050B"/>
    <w:rsid w:val="00660813"/>
    <w:rsid w:val="00660D97"/>
    <w:rsid w:val="0066120B"/>
    <w:rsid w:val="0066144B"/>
    <w:rsid w:val="00661664"/>
    <w:rsid w:val="00661E22"/>
    <w:rsid w:val="006621DE"/>
    <w:rsid w:val="00662541"/>
    <w:rsid w:val="00662D42"/>
    <w:rsid w:val="00662D65"/>
    <w:rsid w:val="00662EFC"/>
    <w:rsid w:val="00662F34"/>
    <w:rsid w:val="006632C9"/>
    <w:rsid w:val="0066343B"/>
    <w:rsid w:val="006634D8"/>
    <w:rsid w:val="00663563"/>
    <w:rsid w:val="00663B8D"/>
    <w:rsid w:val="00664546"/>
    <w:rsid w:val="00664FCB"/>
    <w:rsid w:val="0066501F"/>
    <w:rsid w:val="00665075"/>
    <w:rsid w:val="006651CE"/>
    <w:rsid w:val="0066520D"/>
    <w:rsid w:val="00665510"/>
    <w:rsid w:val="006657EA"/>
    <w:rsid w:val="00665A77"/>
    <w:rsid w:val="00666028"/>
    <w:rsid w:val="00666042"/>
    <w:rsid w:val="00666225"/>
    <w:rsid w:val="0066639B"/>
    <w:rsid w:val="006666CA"/>
    <w:rsid w:val="006667D3"/>
    <w:rsid w:val="006668AB"/>
    <w:rsid w:val="0066698D"/>
    <w:rsid w:val="00666A0F"/>
    <w:rsid w:val="00666E12"/>
    <w:rsid w:val="00666F14"/>
    <w:rsid w:val="00666FC5"/>
    <w:rsid w:val="006673DE"/>
    <w:rsid w:val="00667A10"/>
    <w:rsid w:val="00667B20"/>
    <w:rsid w:val="0067031F"/>
    <w:rsid w:val="00670774"/>
    <w:rsid w:val="006707F5"/>
    <w:rsid w:val="006709DE"/>
    <w:rsid w:val="00670AE6"/>
    <w:rsid w:val="00670C8A"/>
    <w:rsid w:val="00671054"/>
    <w:rsid w:val="006713DC"/>
    <w:rsid w:val="00671941"/>
    <w:rsid w:val="00671A45"/>
    <w:rsid w:val="00671E75"/>
    <w:rsid w:val="0067205F"/>
    <w:rsid w:val="0067242C"/>
    <w:rsid w:val="006724AE"/>
    <w:rsid w:val="0067257F"/>
    <w:rsid w:val="006725C6"/>
    <w:rsid w:val="00672CA7"/>
    <w:rsid w:val="00673D2D"/>
    <w:rsid w:val="00673EE0"/>
    <w:rsid w:val="00674A55"/>
    <w:rsid w:val="00674DE7"/>
    <w:rsid w:val="00675110"/>
    <w:rsid w:val="006751E1"/>
    <w:rsid w:val="0067547B"/>
    <w:rsid w:val="006759A9"/>
    <w:rsid w:val="00675AB6"/>
    <w:rsid w:val="00676350"/>
    <w:rsid w:val="00676455"/>
    <w:rsid w:val="0067770F"/>
    <w:rsid w:val="0067781E"/>
    <w:rsid w:val="006779FA"/>
    <w:rsid w:val="0068048E"/>
    <w:rsid w:val="006809E7"/>
    <w:rsid w:val="00681C16"/>
    <w:rsid w:val="00681C4E"/>
    <w:rsid w:val="00681D8A"/>
    <w:rsid w:val="00681FCF"/>
    <w:rsid w:val="0068244E"/>
    <w:rsid w:val="00682A07"/>
    <w:rsid w:val="0068355A"/>
    <w:rsid w:val="00683877"/>
    <w:rsid w:val="006838B4"/>
    <w:rsid w:val="00683D7D"/>
    <w:rsid w:val="00683D97"/>
    <w:rsid w:val="0068455D"/>
    <w:rsid w:val="00684A1D"/>
    <w:rsid w:val="00684EA9"/>
    <w:rsid w:val="00684F40"/>
    <w:rsid w:val="0068512E"/>
    <w:rsid w:val="0068526E"/>
    <w:rsid w:val="00685549"/>
    <w:rsid w:val="00685767"/>
    <w:rsid w:val="00685F10"/>
    <w:rsid w:val="006861CD"/>
    <w:rsid w:val="00686686"/>
    <w:rsid w:val="00686AAA"/>
    <w:rsid w:val="006873FD"/>
    <w:rsid w:val="00687AAA"/>
    <w:rsid w:val="00687BAE"/>
    <w:rsid w:val="00687CCE"/>
    <w:rsid w:val="00687E52"/>
    <w:rsid w:val="006902D5"/>
    <w:rsid w:val="00690451"/>
    <w:rsid w:val="00690776"/>
    <w:rsid w:val="00690AB8"/>
    <w:rsid w:val="00690BAB"/>
    <w:rsid w:val="00690C8A"/>
    <w:rsid w:val="00690CD1"/>
    <w:rsid w:val="00690FC4"/>
    <w:rsid w:val="006913BE"/>
    <w:rsid w:val="00691473"/>
    <w:rsid w:val="00691CB1"/>
    <w:rsid w:val="00692489"/>
    <w:rsid w:val="00692596"/>
    <w:rsid w:val="006935FF"/>
    <w:rsid w:val="00693664"/>
    <w:rsid w:val="006938AD"/>
    <w:rsid w:val="00693A4F"/>
    <w:rsid w:val="00693BA1"/>
    <w:rsid w:val="006942EA"/>
    <w:rsid w:val="006944B0"/>
    <w:rsid w:val="00694686"/>
    <w:rsid w:val="00694961"/>
    <w:rsid w:val="006951C4"/>
    <w:rsid w:val="006957BF"/>
    <w:rsid w:val="00695834"/>
    <w:rsid w:val="00695CD7"/>
    <w:rsid w:val="006968F2"/>
    <w:rsid w:val="00696D3A"/>
    <w:rsid w:val="00696E6D"/>
    <w:rsid w:val="006972D4"/>
    <w:rsid w:val="006974A6"/>
    <w:rsid w:val="006A00CF"/>
    <w:rsid w:val="006A0835"/>
    <w:rsid w:val="006A0D68"/>
    <w:rsid w:val="006A129B"/>
    <w:rsid w:val="006A17DB"/>
    <w:rsid w:val="006A2BA1"/>
    <w:rsid w:val="006A2C46"/>
    <w:rsid w:val="006A31B0"/>
    <w:rsid w:val="006A4343"/>
    <w:rsid w:val="006A498A"/>
    <w:rsid w:val="006A5A79"/>
    <w:rsid w:val="006A668F"/>
    <w:rsid w:val="006A696D"/>
    <w:rsid w:val="006A6971"/>
    <w:rsid w:val="006A6BB1"/>
    <w:rsid w:val="006A6DE4"/>
    <w:rsid w:val="006A6EAB"/>
    <w:rsid w:val="006A73B0"/>
    <w:rsid w:val="006A74E9"/>
    <w:rsid w:val="006A76C2"/>
    <w:rsid w:val="006A789D"/>
    <w:rsid w:val="006A7C31"/>
    <w:rsid w:val="006B004D"/>
    <w:rsid w:val="006B0490"/>
    <w:rsid w:val="006B079B"/>
    <w:rsid w:val="006B07E8"/>
    <w:rsid w:val="006B083F"/>
    <w:rsid w:val="006B09C8"/>
    <w:rsid w:val="006B0C9A"/>
    <w:rsid w:val="006B0DEF"/>
    <w:rsid w:val="006B11BE"/>
    <w:rsid w:val="006B174A"/>
    <w:rsid w:val="006B1E0F"/>
    <w:rsid w:val="006B1F6A"/>
    <w:rsid w:val="006B26ED"/>
    <w:rsid w:val="006B2920"/>
    <w:rsid w:val="006B2C67"/>
    <w:rsid w:val="006B3551"/>
    <w:rsid w:val="006B3AE4"/>
    <w:rsid w:val="006B3BED"/>
    <w:rsid w:val="006B41B8"/>
    <w:rsid w:val="006B4544"/>
    <w:rsid w:val="006B4F40"/>
    <w:rsid w:val="006B52F3"/>
    <w:rsid w:val="006B55B8"/>
    <w:rsid w:val="006B561D"/>
    <w:rsid w:val="006B5EC1"/>
    <w:rsid w:val="006B6145"/>
    <w:rsid w:val="006B6295"/>
    <w:rsid w:val="006B6468"/>
    <w:rsid w:val="006B65C7"/>
    <w:rsid w:val="006B68D6"/>
    <w:rsid w:val="006B6C5E"/>
    <w:rsid w:val="006B6C9D"/>
    <w:rsid w:val="006B7A42"/>
    <w:rsid w:val="006C0441"/>
    <w:rsid w:val="006C070C"/>
    <w:rsid w:val="006C072A"/>
    <w:rsid w:val="006C0B1B"/>
    <w:rsid w:val="006C0B58"/>
    <w:rsid w:val="006C0E2A"/>
    <w:rsid w:val="006C14E1"/>
    <w:rsid w:val="006C1535"/>
    <w:rsid w:val="006C1C96"/>
    <w:rsid w:val="006C1ED5"/>
    <w:rsid w:val="006C22C8"/>
    <w:rsid w:val="006C2330"/>
    <w:rsid w:val="006C2697"/>
    <w:rsid w:val="006C28BE"/>
    <w:rsid w:val="006C2BC5"/>
    <w:rsid w:val="006C31D5"/>
    <w:rsid w:val="006C3654"/>
    <w:rsid w:val="006C3F66"/>
    <w:rsid w:val="006C3F85"/>
    <w:rsid w:val="006C40BC"/>
    <w:rsid w:val="006C41DD"/>
    <w:rsid w:val="006C471E"/>
    <w:rsid w:val="006C50F9"/>
    <w:rsid w:val="006C55F3"/>
    <w:rsid w:val="006C560F"/>
    <w:rsid w:val="006C5C01"/>
    <w:rsid w:val="006C6329"/>
    <w:rsid w:val="006C64FC"/>
    <w:rsid w:val="006C68BD"/>
    <w:rsid w:val="006C6BCF"/>
    <w:rsid w:val="006C7BA2"/>
    <w:rsid w:val="006D01F6"/>
    <w:rsid w:val="006D07DD"/>
    <w:rsid w:val="006D07FC"/>
    <w:rsid w:val="006D0839"/>
    <w:rsid w:val="006D099F"/>
    <w:rsid w:val="006D106C"/>
    <w:rsid w:val="006D124D"/>
    <w:rsid w:val="006D16A3"/>
    <w:rsid w:val="006D175A"/>
    <w:rsid w:val="006D1C74"/>
    <w:rsid w:val="006D1F1D"/>
    <w:rsid w:val="006D215B"/>
    <w:rsid w:val="006D2AE0"/>
    <w:rsid w:val="006D2F7E"/>
    <w:rsid w:val="006D33D8"/>
    <w:rsid w:val="006D38FC"/>
    <w:rsid w:val="006D393C"/>
    <w:rsid w:val="006D4157"/>
    <w:rsid w:val="006D4167"/>
    <w:rsid w:val="006D42CC"/>
    <w:rsid w:val="006D4444"/>
    <w:rsid w:val="006D48A6"/>
    <w:rsid w:val="006D4FC5"/>
    <w:rsid w:val="006D5296"/>
    <w:rsid w:val="006D53ED"/>
    <w:rsid w:val="006D55D4"/>
    <w:rsid w:val="006D5733"/>
    <w:rsid w:val="006D5747"/>
    <w:rsid w:val="006D58EB"/>
    <w:rsid w:val="006D5959"/>
    <w:rsid w:val="006D5A8A"/>
    <w:rsid w:val="006D627E"/>
    <w:rsid w:val="006D6413"/>
    <w:rsid w:val="006D66F8"/>
    <w:rsid w:val="006D7075"/>
    <w:rsid w:val="006D78C5"/>
    <w:rsid w:val="006D7A4C"/>
    <w:rsid w:val="006E04B6"/>
    <w:rsid w:val="006E091D"/>
    <w:rsid w:val="006E0FC3"/>
    <w:rsid w:val="006E104F"/>
    <w:rsid w:val="006E15EB"/>
    <w:rsid w:val="006E1AC6"/>
    <w:rsid w:val="006E1B68"/>
    <w:rsid w:val="006E20D9"/>
    <w:rsid w:val="006E27EB"/>
    <w:rsid w:val="006E3076"/>
    <w:rsid w:val="006E32F7"/>
    <w:rsid w:val="006E3545"/>
    <w:rsid w:val="006E458C"/>
    <w:rsid w:val="006E496B"/>
    <w:rsid w:val="006E4BE4"/>
    <w:rsid w:val="006E4BFD"/>
    <w:rsid w:val="006E51D5"/>
    <w:rsid w:val="006E5C87"/>
    <w:rsid w:val="006E5C8F"/>
    <w:rsid w:val="006E7BAF"/>
    <w:rsid w:val="006E7BC8"/>
    <w:rsid w:val="006F0200"/>
    <w:rsid w:val="006F0440"/>
    <w:rsid w:val="006F0473"/>
    <w:rsid w:val="006F06DE"/>
    <w:rsid w:val="006F09D3"/>
    <w:rsid w:val="006F0DCC"/>
    <w:rsid w:val="006F0ED0"/>
    <w:rsid w:val="006F15C3"/>
    <w:rsid w:val="006F1611"/>
    <w:rsid w:val="006F16B5"/>
    <w:rsid w:val="006F1812"/>
    <w:rsid w:val="006F1AE4"/>
    <w:rsid w:val="006F22B6"/>
    <w:rsid w:val="006F22CA"/>
    <w:rsid w:val="006F230A"/>
    <w:rsid w:val="006F2861"/>
    <w:rsid w:val="006F3820"/>
    <w:rsid w:val="006F387B"/>
    <w:rsid w:val="006F38C2"/>
    <w:rsid w:val="006F3A0C"/>
    <w:rsid w:val="006F414D"/>
    <w:rsid w:val="006F41DC"/>
    <w:rsid w:val="006F41E7"/>
    <w:rsid w:val="006F496C"/>
    <w:rsid w:val="006F4985"/>
    <w:rsid w:val="006F4D17"/>
    <w:rsid w:val="006F4E1B"/>
    <w:rsid w:val="006F4EFB"/>
    <w:rsid w:val="006F55FE"/>
    <w:rsid w:val="006F5653"/>
    <w:rsid w:val="006F58E0"/>
    <w:rsid w:val="006F5D24"/>
    <w:rsid w:val="006F5F52"/>
    <w:rsid w:val="006F669F"/>
    <w:rsid w:val="006F6D9C"/>
    <w:rsid w:val="006F6DCE"/>
    <w:rsid w:val="006F6F9D"/>
    <w:rsid w:val="006F7880"/>
    <w:rsid w:val="006F7931"/>
    <w:rsid w:val="006F7DCE"/>
    <w:rsid w:val="00700155"/>
    <w:rsid w:val="007001F0"/>
    <w:rsid w:val="0070046E"/>
    <w:rsid w:val="00700F67"/>
    <w:rsid w:val="00701054"/>
    <w:rsid w:val="007017F3"/>
    <w:rsid w:val="00701A4C"/>
    <w:rsid w:val="00701C28"/>
    <w:rsid w:val="00701DDB"/>
    <w:rsid w:val="00701E61"/>
    <w:rsid w:val="007021B9"/>
    <w:rsid w:val="007021FD"/>
    <w:rsid w:val="007024D5"/>
    <w:rsid w:val="00702A28"/>
    <w:rsid w:val="00702A46"/>
    <w:rsid w:val="00702BA1"/>
    <w:rsid w:val="00702BE3"/>
    <w:rsid w:val="00702D30"/>
    <w:rsid w:val="00702D6F"/>
    <w:rsid w:val="00702EF6"/>
    <w:rsid w:val="00702F9D"/>
    <w:rsid w:val="007035C3"/>
    <w:rsid w:val="00703A08"/>
    <w:rsid w:val="00703BB4"/>
    <w:rsid w:val="00703D77"/>
    <w:rsid w:val="007041DA"/>
    <w:rsid w:val="0070438C"/>
    <w:rsid w:val="007043A3"/>
    <w:rsid w:val="007044A3"/>
    <w:rsid w:val="00704693"/>
    <w:rsid w:val="00705122"/>
    <w:rsid w:val="00705861"/>
    <w:rsid w:val="00705A78"/>
    <w:rsid w:val="00705B0F"/>
    <w:rsid w:val="00705D05"/>
    <w:rsid w:val="00705D60"/>
    <w:rsid w:val="0070614F"/>
    <w:rsid w:val="007061CF"/>
    <w:rsid w:val="007064AA"/>
    <w:rsid w:val="00706F80"/>
    <w:rsid w:val="007072FB"/>
    <w:rsid w:val="00707582"/>
    <w:rsid w:val="00707F3D"/>
    <w:rsid w:val="007101C0"/>
    <w:rsid w:val="007102C9"/>
    <w:rsid w:val="00710937"/>
    <w:rsid w:val="00710BA3"/>
    <w:rsid w:val="00710D0A"/>
    <w:rsid w:val="00710ED9"/>
    <w:rsid w:val="007110F6"/>
    <w:rsid w:val="007113B5"/>
    <w:rsid w:val="0071176E"/>
    <w:rsid w:val="00711ADB"/>
    <w:rsid w:val="007120B5"/>
    <w:rsid w:val="0071213C"/>
    <w:rsid w:val="0071237C"/>
    <w:rsid w:val="00712419"/>
    <w:rsid w:val="007125DD"/>
    <w:rsid w:val="00712D88"/>
    <w:rsid w:val="0071324E"/>
    <w:rsid w:val="00713329"/>
    <w:rsid w:val="00713E03"/>
    <w:rsid w:val="00714092"/>
    <w:rsid w:val="007142C8"/>
    <w:rsid w:val="00714FF3"/>
    <w:rsid w:val="0071528B"/>
    <w:rsid w:val="00715570"/>
    <w:rsid w:val="00715765"/>
    <w:rsid w:val="00715CF7"/>
    <w:rsid w:val="00715EC6"/>
    <w:rsid w:val="00715FE5"/>
    <w:rsid w:val="00716203"/>
    <w:rsid w:val="00716434"/>
    <w:rsid w:val="007166CA"/>
    <w:rsid w:val="00716AAC"/>
    <w:rsid w:val="00716D5C"/>
    <w:rsid w:val="00717F9B"/>
    <w:rsid w:val="00720844"/>
    <w:rsid w:val="00720D50"/>
    <w:rsid w:val="00721154"/>
    <w:rsid w:val="0072174A"/>
    <w:rsid w:val="00722034"/>
    <w:rsid w:val="0072231E"/>
    <w:rsid w:val="00722826"/>
    <w:rsid w:val="00722B6A"/>
    <w:rsid w:val="00722E0A"/>
    <w:rsid w:val="00722E90"/>
    <w:rsid w:val="00722ED1"/>
    <w:rsid w:val="00723207"/>
    <w:rsid w:val="00723438"/>
    <w:rsid w:val="0072355C"/>
    <w:rsid w:val="00723756"/>
    <w:rsid w:val="0072388F"/>
    <w:rsid w:val="00723F15"/>
    <w:rsid w:val="0072428A"/>
    <w:rsid w:val="007248A0"/>
    <w:rsid w:val="00724E68"/>
    <w:rsid w:val="007250FE"/>
    <w:rsid w:val="0072521E"/>
    <w:rsid w:val="00725417"/>
    <w:rsid w:val="00725D42"/>
    <w:rsid w:val="00725E7F"/>
    <w:rsid w:val="007262FF"/>
    <w:rsid w:val="007264A1"/>
    <w:rsid w:val="007265E5"/>
    <w:rsid w:val="007269B6"/>
    <w:rsid w:val="007269FB"/>
    <w:rsid w:val="00726B29"/>
    <w:rsid w:val="00726FD0"/>
    <w:rsid w:val="007272C4"/>
    <w:rsid w:val="007277D1"/>
    <w:rsid w:val="007278B2"/>
    <w:rsid w:val="007278EA"/>
    <w:rsid w:val="00727DBB"/>
    <w:rsid w:val="00727F80"/>
    <w:rsid w:val="007303EE"/>
    <w:rsid w:val="007305AB"/>
    <w:rsid w:val="007306AD"/>
    <w:rsid w:val="0073081C"/>
    <w:rsid w:val="00730A01"/>
    <w:rsid w:val="00730ECD"/>
    <w:rsid w:val="00731702"/>
    <w:rsid w:val="007318D7"/>
    <w:rsid w:val="00731A9C"/>
    <w:rsid w:val="00731D3F"/>
    <w:rsid w:val="00732945"/>
    <w:rsid w:val="00732E56"/>
    <w:rsid w:val="00732F6E"/>
    <w:rsid w:val="007330CE"/>
    <w:rsid w:val="0073353E"/>
    <w:rsid w:val="00733838"/>
    <w:rsid w:val="00733A82"/>
    <w:rsid w:val="00733EA9"/>
    <w:rsid w:val="0073441E"/>
    <w:rsid w:val="00734695"/>
    <w:rsid w:val="0073524B"/>
    <w:rsid w:val="0073526A"/>
    <w:rsid w:val="00735315"/>
    <w:rsid w:val="007359D1"/>
    <w:rsid w:val="00735A94"/>
    <w:rsid w:val="00735FCF"/>
    <w:rsid w:val="0073636E"/>
    <w:rsid w:val="00736F5B"/>
    <w:rsid w:val="00736F74"/>
    <w:rsid w:val="0073745B"/>
    <w:rsid w:val="007375E6"/>
    <w:rsid w:val="007377F3"/>
    <w:rsid w:val="00740705"/>
    <w:rsid w:val="007407A3"/>
    <w:rsid w:val="00740801"/>
    <w:rsid w:val="007408A9"/>
    <w:rsid w:val="00740979"/>
    <w:rsid w:val="00740BD4"/>
    <w:rsid w:val="00740EB4"/>
    <w:rsid w:val="007413D1"/>
    <w:rsid w:val="00741497"/>
    <w:rsid w:val="0074149E"/>
    <w:rsid w:val="00741C7E"/>
    <w:rsid w:val="00741DBF"/>
    <w:rsid w:val="00741FCD"/>
    <w:rsid w:val="007420C7"/>
    <w:rsid w:val="0074212D"/>
    <w:rsid w:val="00742426"/>
    <w:rsid w:val="00742600"/>
    <w:rsid w:val="0074266A"/>
    <w:rsid w:val="00742AFE"/>
    <w:rsid w:val="00742E40"/>
    <w:rsid w:val="00742F94"/>
    <w:rsid w:val="0074306B"/>
    <w:rsid w:val="0074318C"/>
    <w:rsid w:val="00743275"/>
    <w:rsid w:val="007433CD"/>
    <w:rsid w:val="00743A45"/>
    <w:rsid w:val="00744017"/>
    <w:rsid w:val="00744082"/>
    <w:rsid w:val="00744186"/>
    <w:rsid w:val="007445B8"/>
    <w:rsid w:val="00744C67"/>
    <w:rsid w:val="0074537F"/>
    <w:rsid w:val="00745590"/>
    <w:rsid w:val="00746118"/>
    <w:rsid w:val="007464CF"/>
    <w:rsid w:val="007469E8"/>
    <w:rsid w:val="0074712E"/>
    <w:rsid w:val="007471B4"/>
    <w:rsid w:val="007479A3"/>
    <w:rsid w:val="007502D0"/>
    <w:rsid w:val="00750516"/>
    <w:rsid w:val="00750878"/>
    <w:rsid w:val="00750890"/>
    <w:rsid w:val="00750A3C"/>
    <w:rsid w:val="00750ACE"/>
    <w:rsid w:val="00750E89"/>
    <w:rsid w:val="00751677"/>
    <w:rsid w:val="0075176C"/>
    <w:rsid w:val="00751B01"/>
    <w:rsid w:val="00752041"/>
    <w:rsid w:val="007520C0"/>
    <w:rsid w:val="00752224"/>
    <w:rsid w:val="007523C1"/>
    <w:rsid w:val="0075243C"/>
    <w:rsid w:val="007538DD"/>
    <w:rsid w:val="0075394B"/>
    <w:rsid w:val="00753B94"/>
    <w:rsid w:val="00753C35"/>
    <w:rsid w:val="0075430F"/>
    <w:rsid w:val="007545C4"/>
    <w:rsid w:val="00754838"/>
    <w:rsid w:val="00755E44"/>
    <w:rsid w:val="00755FF8"/>
    <w:rsid w:val="00756090"/>
    <w:rsid w:val="00756B7B"/>
    <w:rsid w:val="00756C84"/>
    <w:rsid w:val="0075718E"/>
    <w:rsid w:val="007574E5"/>
    <w:rsid w:val="00757DCD"/>
    <w:rsid w:val="007600E7"/>
    <w:rsid w:val="00760268"/>
    <w:rsid w:val="0076033D"/>
    <w:rsid w:val="0076059C"/>
    <w:rsid w:val="0076082C"/>
    <w:rsid w:val="00760996"/>
    <w:rsid w:val="00760D78"/>
    <w:rsid w:val="00760E53"/>
    <w:rsid w:val="00760E99"/>
    <w:rsid w:val="00761090"/>
    <w:rsid w:val="0076150F"/>
    <w:rsid w:val="00761C7B"/>
    <w:rsid w:val="00762308"/>
    <w:rsid w:val="007623C2"/>
    <w:rsid w:val="0076249E"/>
    <w:rsid w:val="00762A3C"/>
    <w:rsid w:val="00762D7B"/>
    <w:rsid w:val="00762DB3"/>
    <w:rsid w:val="0076343F"/>
    <w:rsid w:val="0076351C"/>
    <w:rsid w:val="00763B22"/>
    <w:rsid w:val="00763B76"/>
    <w:rsid w:val="00764A98"/>
    <w:rsid w:val="00765655"/>
    <w:rsid w:val="00765F28"/>
    <w:rsid w:val="007673B3"/>
    <w:rsid w:val="007675D2"/>
    <w:rsid w:val="007676DA"/>
    <w:rsid w:val="007678BE"/>
    <w:rsid w:val="00767A61"/>
    <w:rsid w:val="00767F6B"/>
    <w:rsid w:val="007704E6"/>
    <w:rsid w:val="0077051F"/>
    <w:rsid w:val="00770639"/>
    <w:rsid w:val="00770748"/>
    <w:rsid w:val="00770888"/>
    <w:rsid w:val="00771503"/>
    <w:rsid w:val="007716CD"/>
    <w:rsid w:val="00771C1D"/>
    <w:rsid w:val="00771E8B"/>
    <w:rsid w:val="00771F46"/>
    <w:rsid w:val="0077201D"/>
    <w:rsid w:val="007724B1"/>
    <w:rsid w:val="007725E6"/>
    <w:rsid w:val="0077294E"/>
    <w:rsid w:val="00772F73"/>
    <w:rsid w:val="0077320F"/>
    <w:rsid w:val="007733A9"/>
    <w:rsid w:val="0077369A"/>
    <w:rsid w:val="00773772"/>
    <w:rsid w:val="00773CEE"/>
    <w:rsid w:val="00773FCD"/>
    <w:rsid w:val="00773FFE"/>
    <w:rsid w:val="00774349"/>
    <w:rsid w:val="00774E6A"/>
    <w:rsid w:val="0077514B"/>
    <w:rsid w:val="0077560B"/>
    <w:rsid w:val="00775777"/>
    <w:rsid w:val="007759A6"/>
    <w:rsid w:val="00775F31"/>
    <w:rsid w:val="0077606A"/>
    <w:rsid w:val="00776753"/>
    <w:rsid w:val="00776B79"/>
    <w:rsid w:val="00776C6B"/>
    <w:rsid w:val="00776D10"/>
    <w:rsid w:val="00776D5A"/>
    <w:rsid w:val="00777482"/>
    <w:rsid w:val="007778B6"/>
    <w:rsid w:val="00777A20"/>
    <w:rsid w:val="00777ABB"/>
    <w:rsid w:val="00777EC0"/>
    <w:rsid w:val="00780154"/>
    <w:rsid w:val="0078091A"/>
    <w:rsid w:val="00780D3A"/>
    <w:rsid w:val="00780E21"/>
    <w:rsid w:val="00781024"/>
    <w:rsid w:val="007812BF"/>
    <w:rsid w:val="007816EF"/>
    <w:rsid w:val="00781859"/>
    <w:rsid w:val="00781D7E"/>
    <w:rsid w:val="00781F08"/>
    <w:rsid w:val="00781FF3"/>
    <w:rsid w:val="00782451"/>
    <w:rsid w:val="00782AFB"/>
    <w:rsid w:val="00783406"/>
    <w:rsid w:val="007834FF"/>
    <w:rsid w:val="00783900"/>
    <w:rsid w:val="00783948"/>
    <w:rsid w:val="00783F1B"/>
    <w:rsid w:val="00784177"/>
    <w:rsid w:val="0078421E"/>
    <w:rsid w:val="007842F1"/>
    <w:rsid w:val="00784516"/>
    <w:rsid w:val="00784C51"/>
    <w:rsid w:val="00784D00"/>
    <w:rsid w:val="00784D3A"/>
    <w:rsid w:val="0078506F"/>
    <w:rsid w:val="007850B6"/>
    <w:rsid w:val="007858CF"/>
    <w:rsid w:val="0078594E"/>
    <w:rsid w:val="007859A8"/>
    <w:rsid w:val="00785A5B"/>
    <w:rsid w:val="00785CCB"/>
    <w:rsid w:val="00786319"/>
    <w:rsid w:val="00786418"/>
    <w:rsid w:val="00786442"/>
    <w:rsid w:val="00786649"/>
    <w:rsid w:val="0078673D"/>
    <w:rsid w:val="00786C42"/>
    <w:rsid w:val="00786E4F"/>
    <w:rsid w:val="00786ED1"/>
    <w:rsid w:val="007879EE"/>
    <w:rsid w:val="00787BAE"/>
    <w:rsid w:val="00787DE3"/>
    <w:rsid w:val="00787EE4"/>
    <w:rsid w:val="0079016D"/>
    <w:rsid w:val="00790182"/>
    <w:rsid w:val="00790324"/>
    <w:rsid w:val="007907AB"/>
    <w:rsid w:val="007912F7"/>
    <w:rsid w:val="00791307"/>
    <w:rsid w:val="007914FC"/>
    <w:rsid w:val="00791514"/>
    <w:rsid w:val="00791BFA"/>
    <w:rsid w:val="00792855"/>
    <w:rsid w:val="00792C4A"/>
    <w:rsid w:val="00792DAD"/>
    <w:rsid w:val="00792DAF"/>
    <w:rsid w:val="007931E0"/>
    <w:rsid w:val="00793629"/>
    <w:rsid w:val="007937F3"/>
    <w:rsid w:val="0079386D"/>
    <w:rsid w:val="00793A32"/>
    <w:rsid w:val="00793CDA"/>
    <w:rsid w:val="00793E6A"/>
    <w:rsid w:val="0079443A"/>
    <w:rsid w:val="007945E8"/>
    <w:rsid w:val="0079467C"/>
    <w:rsid w:val="00794862"/>
    <w:rsid w:val="0079488C"/>
    <w:rsid w:val="00794B2C"/>
    <w:rsid w:val="007951F2"/>
    <w:rsid w:val="00795E1B"/>
    <w:rsid w:val="007965A0"/>
    <w:rsid w:val="00796658"/>
    <w:rsid w:val="00796BD8"/>
    <w:rsid w:val="00796F96"/>
    <w:rsid w:val="0079781C"/>
    <w:rsid w:val="007A05DD"/>
    <w:rsid w:val="007A06B0"/>
    <w:rsid w:val="007A0955"/>
    <w:rsid w:val="007A0A19"/>
    <w:rsid w:val="007A0AFE"/>
    <w:rsid w:val="007A0C8F"/>
    <w:rsid w:val="007A1273"/>
    <w:rsid w:val="007A12D6"/>
    <w:rsid w:val="007A1A46"/>
    <w:rsid w:val="007A1C02"/>
    <w:rsid w:val="007A1D5C"/>
    <w:rsid w:val="007A23A9"/>
    <w:rsid w:val="007A274B"/>
    <w:rsid w:val="007A2BC9"/>
    <w:rsid w:val="007A2E27"/>
    <w:rsid w:val="007A3386"/>
    <w:rsid w:val="007A3701"/>
    <w:rsid w:val="007A3AC7"/>
    <w:rsid w:val="007A3B9A"/>
    <w:rsid w:val="007A4A10"/>
    <w:rsid w:val="007A4ABE"/>
    <w:rsid w:val="007A4DD5"/>
    <w:rsid w:val="007A4FBA"/>
    <w:rsid w:val="007A5017"/>
    <w:rsid w:val="007A5064"/>
    <w:rsid w:val="007A588C"/>
    <w:rsid w:val="007A5A90"/>
    <w:rsid w:val="007A5B24"/>
    <w:rsid w:val="007A5FCB"/>
    <w:rsid w:val="007A63C3"/>
    <w:rsid w:val="007A6AB7"/>
    <w:rsid w:val="007A6CB8"/>
    <w:rsid w:val="007A6D5F"/>
    <w:rsid w:val="007A70BB"/>
    <w:rsid w:val="007A7554"/>
    <w:rsid w:val="007A775D"/>
    <w:rsid w:val="007A788B"/>
    <w:rsid w:val="007A78F7"/>
    <w:rsid w:val="007A7959"/>
    <w:rsid w:val="007A7B40"/>
    <w:rsid w:val="007B0125"/>
    <w:rsid w:val="007B02D8"/>
    <w:rsid w:val="007B09BE"/>
    <w:rsid w:val="007B0B9C"/>
    <w:rsid w:val="007B0C30"/>
    <w:rsid w:val="007B0CCD"/>
    <w:rsid w:val="007B118A"/>
    <w:rsid w:val="007B12A6"/>
    <w:rsid w:val="007B1432"/>
    <w:rsid w:val="007B17DF"/>
    <w:rsid w:val="007B18E3"/>
    <w:rsid w:val="007B1B2A"/>
    <w:rsid w:val="007B1CFA"/>
    <w:rsid w:val="007B212F"/>
    <w:rsid w:val="007B290B"/>
    <w:rsid w:val="007B313E"/>
    <w:rsid w:val="007B32A8"/>
    <w:rsid w:val="007B3415"/>
    <w:rsid w:val="007B3C09"/>
    <w:rsid w:val="007B3C3D"/>
    <w:rsid w:val="007B3EA1"/>
    <w:rsid w:val="007B3FAA"/>
    <w:rsid w:val="007B3FBC"/>
    <w:rsid w:val="007B40F8"/>
    <w:rsid w:val="007B413F"/>
    <w:rsid w:val="007B429F"/>
    <w:rsid w:val="007B4479"/>
    <w:rsid w:val="007B4B50"/>
    <w:rsid w:val="007B5201"/>
    <w:rsid w:val="007B53F5"/>
    <w:rsid w:val="007B55BF"/>
    <w:rsid w:val="007B569B"/>
    <w:rsid w:val="007B5887"/>
    <w:rsid w:val="007B58D3"/>
    <w:rsid w:val="007B5FED"/>
    <w:rsid w:val="007B61DD"/>
    <w:rsid w:val="007B63DD"/>
    <w:rsid w:val="007B645B"/>
    <w:rsid w:val="007B667F"/>
    <w:rsid w:val="007B6685"/>
    <w:rsid w:val="007B6D55"/>
    <w:rsid w:val="007B70B8"/>
    <w:rsid w:val="007B7744"/>
    <w:rsid w:val="007B7779"/>
    <w:rsid w:val="007C0515"/>
    <w:rsid w:val="007C0A54"/>
    <w:rsid w:val="007C0A85"/>
    <w:rsid w:val="007C0B76"/>
    <w:rsid w:val="007C0E20"/>
    <w:rsid w:val="007C0EC9"/>
    <w:rsid w:val="007C0EF7"/>
    <w:rsid w:val="007C1012"/>
    <w:rsid w:val="007C112A"/>
    <w:rsid w:val="007C15AA"/>
    <w:rsid w:val="007C1BB9"/>
    <w:rsid w:val="007C217B"/>
    <w:rsid w:val="007C2555"/>
    <w:rsid w:val="007C2A90"/>
    <w:rsid w:val="007C2AB7"/>
    <w:rsid w:val="007C2E62"/>
    <w:rsid w:val="007C35F7"/>
    <w:rsid w:val="007C451D"/>
    <w:rsid w:val="007C45E0"/>
    <w:rsid w:val="007C474B"/>
    <w:rsid w:val="007C48E0"/>
    <w:rsid w:val="007C5152"/>
    <w:rsid w:val="007C56F6"/>
    <w:rsid w:val="007C5C0C"/>
    <w:rsid w:val="007C5E2A"/>
    <w:rsid w:val="007C5EB3"/>
    <w:rsid w:val="007C5EED"/>
    <w:rsid w:val="007C654A"/>
    <w:rsid w:val="007C659D"/>
    <w:rsid w:val="007C6B42"/>
    <w:rsid w:val="007C70FF"/>
    <w:rsid w:val="007C747C"/>
    <w:rsid w:val="007C74E7"/>
    <w:rsid w:val="007C7E77"/>
    <w:rsid w:val="007C7FD7"/>
    <w:rsid w:val="007D0732"/>
    <w:rsid w:val="007D0838"/>
    <w:rsid w:val="007D09C6"/>
    <w:rsid w:val="007D1028"/>
    <w:rsid w:val="007D149A"/>
    <w:rsid w:val="007D15B6"/>
    <w:rsid w:val="007D1709"/>
    <w:rsid w:val="007D199C"/>
    <w:rsid w:val="007D1C7B"/>
    <w:rsid w:val="007D1C9B"/>
    <w:rsid w:val="007D1CBF"/>
    <w:rsid w:val="007D1E98"/>
    <w:rsid w:val="007D1EFF"/>
    <w:rsid w:val="007D1F35"/>
    <w:rsid w:val="007D22A1"/>
    <w:rsid w:val="007D22FB"/>
    <w:rsid w:val="007D23E1"/>
    <w:rsid w:val="007D2652"/>
    <w:rsid w:val="007D269F"/>
    <w:rsid w:val="007D2853"/>
    <w:rsid w:val="007D2C06"/>
    <w:rsid w:val="007D2D7F"/>
    <w:rsid w:val="007D36F5"/>
    <w:rsid w:val="007D3705"/>
    <w:rsid w:val="007D423B"/>
    <w:rsid w:val="007D4266"/>
    <w:rsid w:val="007D449B"/>
    <w:rsid w:val="007D4C5E"/>
    <w:rsid w:val="007D5491"/>
    <w:rsid w:val="007D54C9"/>
    <w:rsid w:val="007D5878"/>
    <w:rsid w:val="007D643E"/>
    <w:rsid w:val="007D709F"/>
    <w:rsid w:val="007D7484"/>
    <w:rsid w:val="007D750A"/>
    <w:rsid w:val="007D768E"/>
    <w:rsid w:val="007D7713"/>
    <w:rsid w:val="007D792A"/>
    <w:rsid w:val="007D7B03"/>
    <w:rsid w:val="007E018C"/>
    <w:rsid w:val="007E01E2"/>
    <w:rsid w:val="007E022D"/>
    <w:rsid w:val="007E09AF"/>
    <w:rsid w:val="007E0B2A"/>
    <w:rsid w:val="007E0B2E"/>
    <w:rsid w:val="007E0FEE"/>
    <w:rsid w:val="007E128E"/>
    <w:rsid w:val="007E157B"/>
    <w:rsid w:val="007E2354"/>
    <w:rsid w:val="007E253C"/>
    <w:rsid w:val="007E25A1"/>
    <w:rsid w:val="007E2907"/>
    <w:rsid w:val="007E29A4"/>
    <w:rsid w:val="007E2AE4"/>
    <w:rsid w:val="007E2B78"/>
    <w:rsid w:val="007E2E78"/>
    <w:rsid w:val="007E3699"/>
    <w:rsid w:val="007E369A"/>
    <w:rsid w:val="007E36A7"/>
    <w:rsid w:val="007E3EEF"/>
    <w:rsid w:val="007E4678"/>
    <w:rsid w:val="007E4C05"/>
    <w:rsid w:val="007E4CFB"/>
    <w:rsid w:val="007E4EEB"/>
    <w:rsid w:val="007E51D9"/>
    <w:rsid w:val="007E52BE"/>
    <w:rsid w:val="007E5403"/>
    <w:rsid w:val="007E5F35"/>
    <w:rsid w:val="007E65DE"/>
    <w:rsid w:val="007E774C"/>
    <w:rsid w:val="007F0009"/>
    <w:rsid w:val="007F0713"/>
    <w:rsid w:val="007F08B9"/>
    <w:rsid w:val="007F0AFF"/>
    <w:rsid w:val="007F122C"/>
    <w:rsid w:val="007F1416"/>
    <w:rsid w:val="007F1488"/>
    <w:rsid w:val="007F283C"/>
    <w:rsid w:val="007F2A6C"/>
    <w:rsid w:val="007F2BF4"/>
    <w:rsid w:val="007F2EB6"/>
    <w:rsid w:val="007F2F04"/>
    <w:rsid w:val="007F4039"/>
    <w:rsid w:val="007F44CD"/>
    <w:rsid w:val="007F467D"/>
    <w:rsid w:val="007F4AFA"/>
    <w:rsid w:val="007F4EDD"/>
    <w:rsid w:val="007F4FFB"/>
    <w:rsid w:val="007F510E"/>
    <w:rsid w:val="007F5495"/>
    <w:rsid w:val="007F54CA"/>
    <w:rsid w:val="007F5789"/>
    <w:rsid w:val="007F5F22"/>
    <w:rsid w:val="007F64D0"/>
    <w:rsid w:val="007F66AF"/>
    <w:rsid w:val="007F6F67"/>
    <w:rsid w:val="00800404"/>
    <w:rsid w:val="00800701"/>
    <w:rsid w:val="0080073A"/>
    <w:rsid w:val="008007B0"/>
    <w:rsid w:val="008007B8"/>
    <w:rsid w:val="00800ABF"/>
    <w:rsid w:val="00800B64"/>
    <w:rsid w:val="00800B6C"/>
    <w:rsid w:val="00800DD9"/>
    <w:rsid w:val="008010BC"/>
    <w:rsid w:val="0080129E"/>
    <w:rsid w:val="008014E3"/>
    <w:rsid w:val="00801DDB"/>
    <w:rsid w:val="008026A2"/>
    <w:rsid w:val="00802CE8"/>
    <w:rsid w:val="00802D85"/>
    <w:rsid w:val="00802FE5"/>
    <w:rsid w:val="0080335D"/>
    <w:rsid w:val="008034BB"/>
    <w:rsid w:val="0080365B"/>
    <w:rsid w:val="00803888"/>
    <w:rsid w:val="00803D64"/>
    <w:rsid w:val="00803D68"/>
    <w:rsid w:val="008045E4"/>
    <w:rsid w:val="008047D8"/>
    <w:rsid w:val="00804BD6"/>
    <w:rsid w:val="00804D4A"/>
    <w:rsid w:val="00804DBC"/>
    <w:rsid w:val="00804E55"/>
    <w:rsid w:val="008055E4"/>
    <w:rsid w:val="0080582A"/>
    <w:rsid w:val="00805B65"/>
    <w:rsid w:val="00805FDD"/>
    <w:rsid w:val="00806010"/>
    <w:rsid w:val="00806104"/>
    <w:rsid w:val="00806DBD"/>
    <w:rsid w:val="0080705B"/>
    <w:rsid w:val="008076EC"/>
    <w:rsid w:val="008077AC"/>
    <w:rsid w:val="00807A69"/>
    <w:rsid w:val="00807DA9"/>
    <w:rsid w:val="00810EE0"/>
    <w:rsid w:val="008112F3"/>
    <w:rsid w:val="00811306"/>
    <w:rsid w:val="00811AA2"/>
    <w:rsid w:val="00811B85"/>
    <w:rsid w:val="0081230D"/>
    <w:rsid w:val="00812325"/>
    <w:rsid w:val="00812857"/>
    <w:rsid w:val="00812EAA"/>
    <w:rsid w:val="0081322C"/>
    <w:rsid w:val="008132D5"/>
    <w:rsid w:val="00813EDA"/>
    <w:rsid w:val="00814764"/>
    <w:rsid w:val="008148A5"/>
    <w:rsid w:val="008149F5"/>
    <w:rsid w:val="00814AAF"/>
    <w:rsid w:val="00814D92"/>
    <w:rsid w:val="008152FD"/>
    <w:rsid w:val="008154A4"/>
    <w:rsid w:val="008160C5"/>
    <w:rsid w:val="00816648"/>
    <w:rsid w:val="00816CA3"/>
    <w:rsid w:val="00816E18"/>
    <w:rsid w:val="00816E28"/>
    <w:rsid w:val="0081783F"/>
    <w:rsid w:val="00817B90"/>
    <w:rsid w:val="00817CB4"/>
    <w:rsid w:val="008204E0"/>
    <w:rsid w:val="00820F14"/>
    <w:rsid w:val="00820F5D"/>
    <w:rsid w:val="0082140F"/>
    <w:rsid w:val="00821624"/>
    <w:rsid w:val="00821724"/>
    <w:rsid w:val="00821EA0"/>
    <w:rsid w:val="00821F49"/>
    <w:rsid w:val="0082230C"/>
    <w:rsid w:val="00822571"/>
    <w:rsid w:val="0082262C"/>
    <w:rsid w:val="00822CCF"/>
    <w:rsid w:val="0082366C"/>
    <w:rsid w:val="00823DA2"/>
    <w:rsid w:val="00823DCC"/>
    <w:rsid w:val="00823FDF"/>
    <w:rsid w:val="00824295"/>
    <w:rsid w:val="008244FE"/>
    <w:rsid w:val="00824594"/>
    <w:rsid w:val="00824856"/>
    <w:rsid w:val="0082494C"/>
    <w:rsid w:val="00825200"/>
    <w:rsid w:val="0082527D"/>
    <w:rsid w:val="008252D3"/>
    <w:rsid w:val="00825328"/>
    <w:rsid w:val="008255E5"/>
    <w:rsid w:val="0082561A"/>
    <w:rsid w:val="008256CF"/>
    <w:rsid w:val="00825741"/>
    <w:rsid w:val="008259AF"/>
    <w:rsid w:val="00825BFF"/>
    <w:rsid w:val="00826060"/>
    <w:rsid w:val="0082655A"/>
    <w:rsid w:val="00826C8C"/>
    <w:rsid w:val="0082709A"/>
    <w:rsid w:val="00827311"/>
    <w:rsid w:val="00827683"/>
    <w:rsid w:val="00827B91"/>
    <w:rsid w:val="00827D51"/>
    <w:rsid w:val="008301CD"/>
    <w:rsid w:val="00830601"/>
    <w:rsid w:val="00831873"/>
    <w:rsid w:val="0083196C"/>
    <w:rsid w:val="00831999"/>
    <w:rsid w:val="00831CEA"/>
    <w:rsid w:val="00831D72"/>
    <w:rsid w:val="008323F9"/>
    <w:rsid w:val="008324BD"/>
    <w:rsid w:val="00832E48"/>
    <w:rsid w:val="00833036"/>
    <w:rsid w:val="00833A01"/>
    <w:rsid w:val="00833A25"/>
    <w:rsid w:val="0083419B"/>
    <w:rsid w:val="008342CD"/>
    <w:rsid w:val="00834556"/>
    <w:rsid w:val="00834670"/>
    <w:rsid w:val="00835D85"/>
    <w:rsid w:val="00836026"/>
    <w:rsid w:val="00836105"/>
    <w:rsid w:val="008361A2"/>
    <w:rsid w:val="00836525"/>
    <w:rsid w:val="00836729"/>
    <w:rsid w:val="00836B0B"/>
    <w:rsid w:val="00836B0C"/>
    <w:rsid w:val="00836EC0"/>
    <w:rsid w:val="00836F9C"/>
    <w:rsid w:val="00837811"/>
    <w:rsid w:val="0083785F"/>
    <w:rsid w:val="00837973"/>
    <w:rsid w:val="00837DD6"/>
    <w:rsid w:val="0084043B"/>
    <w:rsid w:val="008407D5"/>
    <w:rsid w:val="00840822"/>
    <w:rsid w:val="00840C0D"/>
    <w:rsid w:val="00840DCA"/>
    <w:rsid w:val="00840E07"/>
    <w:rsid w:val="00840E20"/>
    <w:rsid w:val="00840F1C"/>
    <w:rsid w:val="00840FCD"/>
    <w:rsid w:val="00841252"/>
    <w:rsid w:val="00841438"/>
    <w:rsid w:val="008415C4"/>
    <w:rsid w:val="00841710"/>
    <w:rsid w:val="00841DC5"/>
    <w:rsid w:val="00841E75"/>
    <w:rsid w:val="008420D8"/>
    <w:rsid w:val="0084220B"/>
    <w:rsid w:val="0084348C"/>
    <w:rsid w:val="008443D5"/>
    <w:rsid w:val="00844462"/>
    <w:rsid w:val="008444D3"/>
    <w:rsid w:val="00844726"/>
    <w:rsid w:val="00844983"/>
    <w:rsid w:val="00844EFB"/>
    <w:rsid w:val="00844F5C"/>
    <w:rsid w:val="008450B9"/>
    <w:rsid w:val="00845322"/>
    <w:rsid w:val="008459CD"/>
    <w:rsid w:val="00845D64"/>
    <w:rsid w:val="00845D66"/>
    <w:rsid w:val="00845EF7"/>
    <w:rsid w:val="008461BB"/>
    <w:rsid w:val="008463EC"/>
    <w:rsid w:val="00846866"/>
    <w:rsid w:val="008469F5"/>
    <w:rsid w:val="00846CD6"/>
    <w:rsid w:val="0084701D"/>
    <w:rsid w:val="008472B0"/>
    <w:rsid w:val="00847565"/>
    <w:rsid w:val="00847B21"/>
    <w:rsid w:val="00847D2B"/>
    <w:rsid w:val="00847E0E"/>
    <w:rsid w:val="0085040C"/>
    <w:rsid w:val="00850E30"/>
    <w:rsid w:val="00850FBF"/>
    <w:rsid w:val="0085101F"/>
    <w:rsid w:val="008513E8"/>
    <w:rsid w:val="00851B23"/>
    <w:rsid w:val="00851B3D"/>
    <w:rsid w:val="00851C32"/>
    <w:rsid w:val="008525E0"/>
    <w:rsid w:val="0085269B"/>
    <w:rsid w:val="00852CD7"/>
    <w:rsid w:val="00853162"/>
    <w:rsid w:val="00853BF2"/>
    <w:rsid w:val="00853D2E"/>
    <w:rsid w:val="00853F86"/>
    <w:rsid w:val="008542CB"/>
    <w:rsid w:val="008543F9"/>
    <w:rsid w:val="0085440A"/>
    <w:rsid w:val="00854445"/>
    <w:rsid w:val="008546A3"/>
    <w:rsid w:val="008547B4"/>
    <w:rsid w:val="00854947"/>
    <w:rsid w:val="00854A63"/>
    <w:rsid w:val="00854C37"/>
    <w:rsid w:val="00855229"/>
    <w:rsid w:val="008554D4"/>
    <w:rsid w:val="008556D1"/>
    <w:rsid w:val="008559BA"/>
    <w:rsid w:val="008559EE"/>
    <w:rsid w:val="00855B07"/>
    <w:rsid w:val="00855CDF"/>
    <w:rsid w:val="008563A0"/>
    <w:rsid w:val="00856584"/>
    <w:rsid w:val="00856BB5"/>
    <w:rsid w:val="00856CF5"/>
    <w:rsid w:val="00856EB8"/>
    <w:rsid w:val="00857336"/>
    <w:rsid w:val="008576D8"/>
    <w:rsid w:val="0085775B"/>
    <w:rsid w:val="00857A90"/>
    <w:rsid w:val="0086020E"/>
    <w:rsid w:val="0086097A"/>
    <w:rsid w:val="00860AC8"/>
    <w:rsid w:val="00860DB5"/>
    <w:rsid w:val="00861592"/>
    <w:rsid w:val="00861D83"/>
    <w:rsid w:val="00861F64"/>
    <w:rsid w:val="008621E3"/>
    <w:rsid w:val="00862836"/>
    <w:rsid w:val="00862CEF"/>
    <w:rsid w:val="00862DCA"/>
    <w:rsid w:val="00863042"/>
    <w:rsid w:val="008630D0"/>
    <w:rsid w:val="00863293"/>
    <w:rsid w:val="0086356E"/>
    <w:rsid w:val="008639DD"/>
    <w:rsid w:val="00863BF1"/>
    <w:rsid w:val="008641F5"/>
    <w:rsid w:val="00864266"/>
    <w:rsid w:val="008649ED"/>
    <w:rsid w:val="00864C00"/>
    <w:rsid w:val="008651BF"/>
    <w:rsid w:val="00865265"/>
    <w:rsid w:val="00865663"/>
    <w:rsid w:val="008657C6"/>
    <w:rsid w:val="008657E5"/>
    <w:rsid w:val="008658AF"/>
    <w:rsid w:val="008659D2"/>
    <w:rsid w:val="00865C32"/>
    <w:rsid w:val="00865C42"/>
    <w:rsid w:val="00865D09"/>
    <w:rsid w:val="00866852"/>
    <w:rsid w:val="00866B35"/>
    <w:rsid w:val="00867A27"/>
    <w:rsid w:val="00867CC9"/>
    <w:rsid w:val="00870689"/>
    <w:rsid w:val="008706C1"/>
    <w:rsid w:val="00870883"/>
    <w:rsid w:val="008710DA"/>
    <w:rsid w:val="008712A2"/>
    <w:rsid w:val="00871904"/>
    <w:rsid w:val="008719EC"/>
    <w:rsid w:val="00871D96"/>
    <w:rsid w:val="00871FC3"/>
    <w:rsid w:val="00872CFE"/>
    <w:rsid w:val="0087321C"/>
    <w:rsid w:val="008732BF"/>
    <w:rsid w:val="008733EB"/>
    <w:rsid w:val="00873D0B"/>
    <w:rsid w:val="00874058"/>
    <w:rsid w:val="0087417F"/>
    <w:rsid w:val="0087431A"/>
    <w:rsid w:val="00874A14"/>
    <w:rsid w:val="00874A9A"/>
    <w:rsid w:val="00875736"/>
    <w:rsid w:val="008759D0"/>
    <w:rsid w:val="00875F5E"/>
    <w:rsid w:val="008760FB"/>
    <w:rsid w:val="00876157"/>
    <w:rsid w:val="008762E8"/>
    <w:rsid w:val="0087658C"/>
    <w:rsid w:val="008765CA"/>
    <w:rsid w:val="00876788"/>
    <w:rsid w:val="00876C59"/>
    <w:rsid w:val="00877470"/>
    <w:rsid w:val="008774CE"/>
    <w:rsid w:val="008775EE"/>
    <w:rsid w:val="008800C5"/>
    <w:rsid w:val="008801A9"/>
    <w:rsid w:val="0088038F"/>
    <w:rsid w:val="00880841"/>
    <w:rsid w:val="00880AC5"/>
    <w:rsid w:val="00880E40"/>
    <w:rsid w:val="00880F11"/>
    <w:rsid w:val="0088116D"/>
    <w:rsid w:val="0088150E"/>
    <w:rsid w:val="00881528"/>
    <w:rsid w:val="00881BEC"/>
    <w:rsid w:val="00881E7C"/>
    <w:rsid w:val="008820C6"/>
    <w:rsid w:val="00882702"/>
    <w:rsid w:val="00882859"/>
    <w:rsid w:val="00882A8F"/>
    <w:rsid w:val="00882E29"/>
    <w:rsid w:val="008833C9"/>
    <w:rsid w:val="008836E7"/>
    <w:rsid w:val="00883748"/>
    <w:rsid w:val="00883C10"/>
    <w:rsid w:val="00883C53"/>
    <w:rsid w:val="00883D0E"/>
    <w:rsid w:val="00883F8B"/>
    <w:rsid w:val="00884634"/>
    <w:rsid w:val="00884A9A"/>
    <w:rsid w:val="00884ABA"/>
    <w:rsid w:val="00884E73"/>
    <w:rsid w:val="00885093"/>
    <w:rsid w:val="008853A7"/>
    <w:rsid w:val="00885449"/>
    <w:rsid w:val="0088563B"/>
    <w:rsid w:val="00885C39"/>
    <w:rsid w:val="00885C6F"/>
    <w:rsid w:val="00885EAE"/>
    <w:rsid w:val="00885FEB"/>
    <w:rsid w:val="00886148"/>
    <w:rsid w:val="008866DA"/>
    <w:rsid w:val="0088691F"/>
    <w:rsid w:val="00886A5F"/>
    <w:rsid w:val="00886C4A"/>
    <w:rsid w:val="008870B7"/>
    <w:rsid w:val="008872EF"/>
    <w:rsid w:val="0088754F"/>
    <w:rsid w:val="008906C7"/>
    <w:rsid w:val="00890AAC"/>
    <w:rsid w:val="00890DCE"/>
    <w:rsid w:val="008910DF"/>
    <w:rsid w:val="00891ADA"/>
    <w:rsid w:val="00891CDE"/>
    <w:rsid w:val="008925CC"/>
    <w:rsid w:val="00892979"/>
    <w:rsid w:val="008929D1"/>
    <w:rsid w:val="00893DD7"/>
    <w:rsid w:val="00893F74"/>
    <w:rsid w:val="00894045"/>
    <w:rsid w:val="0089505B"/>
    <w:rsid w:val="008955F7"/>
    <w:rsid w:val="008956BF"/>
    <w:rsid w:val="00895871"/>
    <w:rsid w:val="00895E43"/>
    <w:rsid w:val="00896003"/>
    <w:rsid w:val="00896398"/>
    <w:rsid w:val="008963D8"/>
    <w:rsid w:val="008963FE"/>
    <w:rsid w:val="0089645F"/>
    <w:rsid w:val="008973ED"/>
    <w:rsid w:val="008974A1"/>
    <w:rsid w:val="008A0438"/>
    <w:rsid w:val="008A05B1"/>
    <w:rsid w:val="008A0C41"/>
    <w:rsid w:val="008A10CC"/>
    <w:rsid w:val="008A1432"/>
    <w:rsid w:val="008A1560"/>
    <w:rsid w:val="008A173F"/>
    <w:rsid w:val="008A1986"/>
    <w:rsid w:val="008A1DF3"/>
    <w:rsid w:val="008A207D"/>
    <w:rsid w:val="008A20B0"/>
    <w:rsid w:val="008A27E4"/>
    <w:rsid w:val="008A2A6F"/>
    <w:rsid w:val="008A2C00"/>
    <w:rsid w:val="008A2DC6"/>
    <w:rsid w:val="008A3084"/>
    <w:rsid w:val="008A32AB"/>
    <w:rsid w:val="008A32D3"/>
    <w:rsid w:val="008A333A"/>
    <w:rsid w:val="008A350F"/>
    <w:rsid w:val="008A35ED"/>
    <w:rsid w:val="008A37B2"/>
    <w:rsid w:val="008A3E4F"/>
    <w:rsid w:val="008A492B"/>
    <w:rsid w:val="008A4AF6"/>
    <w:rsid w:val="008A4C0D"/>
    <w:rsid w:val="008A4C2E"/>
    <w:rsid w:val="008A4EDB"/>
    <w:rsid w:val="008A5184"/>
    <w:rsid w:val="008A5A94"/>
    <w:rsid w:val="008A5D42"/>
    <w:rsid w:val="008A5DEA"/>
    <w:rsid w:val="008A5F06"/>
    <w:rsid w:val="008A61A2"/>
    <w:rsid w:val="008A6462"/>
    <w:rsid w:val="008A6B10"/>
    <w:rsid w:val="008A6DE7"/>
    <w:rsid w:val="008A708B"/>
    <w:rsid w:val="008A7241"/>
    <w:rsid w:val="008A7A88"/>
    <w:rsid w:val="008A7BC9"/>
    <w:rsid w:val="008A7C01"/>
    <w:rsid w:val="008A7D84"/>
    <w:rsid w:val="008A7E5A"/>
    <w:rsid w:val="008B0082"/>
    <w:rsid w:val="008B011B"/>
    <w:rsid w:val="008B08A2"/>
    <w:rsid w:val="008B0A43"/>
    <w:rsid w:val="008B0B81"/>
    <w:rsid w:val="008B0BEA"/>
    <w:rsid w:val="008B0C16"/>
    <w:rsid w:val="008B0DF3"/>
    <w:rsid w:val="008B1939"/>
    <w:rsid w:val="008B19A6"/>
    <w:rsid w:val="008B1A67"/>
    <w:rsid w:val="008B1BBF"/>
    <w:rsid w:val="008B1E66"/>
    <w:rsid w:val="008B230C"/>
    <w:rsid w:val="008B271D"/>
    <w:rsid w:val="008B2786"/>
    <w:rsid w:val="008B27F7"/>
    <w:rsid w:val="008B2FB5"/>
    <w:rsid w:val="008B301F"/>
    <w:rsid w:val="008B351F"/>
    <w:rsid w:val="008B3670"/>
    <w:rsid w:val="008B36F0"/>
    <w:rsid w:val="008B3D0D"/>
    <w:rsid w:val="008B4251"/>
    <w:rsid w:val="008B4515"/>
    <w:rsid w:val="008B481D"/>
    <w:rsid w:val="008B4978"/>
    <w:rsid w:val="008B4996"/>
    <w:rsid w:val="008B4E27"/>
    <w:rsid w:val="008B4F54"/>
    <w:rsid w:val="008B5009"/>
    <w:rsid w:val="008B5432"/>
    <w:rsid w:val="008B58BF"/>
    <w:rsid w:val="008B5B04"/>
    <w:rsid w:val="008B6149"/>
    <w:rsid w:val="008B6355"/>
    <w:rsid w:val="008B65AD"/>
    <w:rsid w:val="008B68AD"/>
    <w:rsid w:val="008B6A97"/>
    <w:rsid w:val="008B6B15"/>
    <w:rsid w:val="008B6DF6"/>
    <w:rsid w:val="008B6F30"/>
    <w:rsid w:val="008B7440"/>
    <w:rsid w:val="008B779F"/>
    <w:rsid w:val="008B7CE5"/>
    <w:rsid w:val="008B7D24"/>
    <w:rsid w:val="008B7E1F"/>
    <w:rsid w:val="008C00E0"/>
    <w:rsid w:val="008C01CF"/>
    <w:rsid w:val="008C02F2"/>
    <w:rsid w:val="008C02F6"/>
    <w:rsid w:val="008C0394"/>
    <w:rsid w:val="008C0B49"/>
    <w:rsid w:val="008C0EE1"/>
    <w:rsid w:val="008C106D"/>
    <w:rsid w:val="008C10F9"/>
    <w:rsid w:val="008C1152"/>
    <w:rsid w:val="008C1237"/>
    <w:rsid w:val="008C15DC"/>
    <w:rsid w:val="008C1677"/>
    <w:rsid w:val="008C188C"/>
    <w:rsid w:val="008C1F03"/>
    <w:rsid w:val="008C211F"/>
    <w:rsid w:val="008C223A"/>
    <w:rsid w:val="008C279F"/>
    <w:rsid w:val="008C283E"/>
    <w:rsid w:val="008C2F08"/>
    <w:rsid w:val="008C3262"/>
    <w:rsid w:val="008C329B"/>
    <w:rsid w:val="008C343E"/>
    <w:rsid w:val="008C3557"/>
    <w:rsid w:val="008C3A0C"/>
    <w:rsid w:val="008C3BFC"/>
    <w:rsid w:val="008C4419"/>
    <w:rsid w:val="008C44BE"/>
    <w:rsid w:val="008C4722"/>
    <w:rsid w:val="008C540B"/>
    <w:rsid w:val="008C54A5"/>
    <w:rsid w:val="008C555F"/>
    <w:rsid w:val="008C572A"/>
    <w:rsid w:val="008C575F"/>
    <w:rsid w:val="008C58C7"/>
    <w:rsid w:val="008C5F72"/>
    <w:rsid w:val="008C5F99"/>
    <w:rsid w:val="008C689C"/>
    <w:rsid w:val="008C6C27"/>
    <w:rsid w:val="008C6D18"/>
    <w:rsid w:val="008C7296"/>
    <w:rsid w:val="008C7536"/>
    <w:rsid w:val="008C76B2"/>
    <w:rsid w:val="008C782F"/>
    <w:rsid w:val="008C7A81"/>
    <w:rsid w:val="008C7ED5"/>
    <w:rsid w:val="008C7FAD"/>
    <w:rsid w:val="008D0060"/>
    <w:rsid w:val="008D0161"/>
    <w:rsid w:val="008D040F"/>
    <w:rsid w:val="008D05FB"/>
    <w:rsid w:val="008D0BDB"/>
    <w:rsid w:val="008D0D43"/>
    <w:rsid w:val="008D101F"/>
    <w:rsid w:val="008D1757"/>
    <w:rsid w:val="008D1BBD"/>
    <w:rsid w:val="008D1C1F"/>
    <w:rsid w:val="008D1D54"/>
    <w:rsid w:val="008D20B6"/>
    <w:rsid w:val="008D210E"/>
    <w:rsid w:val="008D2367"/>
    <w:rsid w:val="008D23E8"/>
    <w:rsid w:val="008D2E35"/>
    <w:rsid w:val="008D312A"/>
    <w:rsid w:val="008D3308"/>
    <w:rsid w:val="008D3636"/>
    <w:rsid w:val="008D3B86"/>
    <w:rsid w:val="008D4414"/>
    <w:rsid w:val="008D4460"/>
    <w:rsid w:val="008D47DF"/>
    <w:rsid w:val="008D491F"/>
    <w:rsid w:val="008D4A86"/>
    <w:rsid w:val="008D4F32"/>
    <w:rsid w:val="008D502A"/>
    <w:rsid w:val="008D5618"/>
    <w:rsid w:val="008D5BA8"/>
    <w:rsid w:val="008D5D87"/>
    <w:rsid w:val="008D6768"/>
    <w:rsid w:val="008D686F"/>
    <w:rsid w:val="008D689E"/>
    <w:rsid w:val="008D69FF"/>
    <w:rsid w:val="008D6E31"/>
    <w:rsid w:val="008D74BF"/>
    <w:rsid w:val="008D77C5"/>
    <w:rsid w:val="008D78C9"/>
    <w:rsid w:val="008D7F9B"/>
    <w:rsid w:val="008D7FB2"/>
    <w:rsid w:val="008E019F"/>
    <w:rsid w:val="008E0403"/>
    <w:rsid w:val="008E0561"/>
    <w:rsid w:val="008E0E77"/>
    <w:rsid w:val="008E0ED3"/>
    <w:rsid w:val="008E0F06"/>
    <w:rsid w:val="008E101F"/>
    <w:rsid w:val="008E1103"/>
    <w:rsid w:val="008E1AF8"/>
    <w:rsid w:val="008E1CD6"/>
    <w:rsid w:val="008E25EE"/>
    <w:rsid w:val="008E2775"/>
    <w:rsid w:val="008E2781"/>
    <w:rsid w:val="008E279D"/>
    <w:rsid w:val="008E27E8"/>
    <w:rsid w:val="008E2947"/>
    <w:rsid w:val="008E2A68"/>
    <w:rsid w:val="008E2E67"/>
    <w:rsid w:val="008E2E82"/>
    <w:rsid w:val="008E38D6"/>
    <w:rsid w:val="008E3AF8"/>
    <w:rsid w:val="008E3EE6"/>
    <w:rsid w:val="008E447E"/>
    <w:rsid w:val="008E473E"/>
    <w:rsid w:val="008E4943"/>
    <w:rsid w:val="008E4D07"/>
    <w:rsid w:val="008E4D88"/>
    <w:rsid w:val="008E536B"/>
    <w:rsid w:val="008E55C2"/>
    <w:rsid w:val="008E55E8"/>
    <w:rsid w:val="008E5B64"/>
    <w:rsid w:val="008E6524"/>
    <w:rsid w:val="008E6657"/>
    <w:rsid w:val="008E6771"/>
    <w:rsid w:val="008E68BB"/>
    <w:rsid w:val="008E6996"/>
    <w:rsid w:val="008E7083"/>
    <w:rsid w:val="008E7730"/>
    <w:rsid w:val="008E78D3"/>
    <w:rsid w:val="008E7A66"/>
    <w:rsid w:val="008E7B85"/>
    <w:rsid w:val="008E7E62"/>
    <w:rsid w:val="008F02F6"/>
    <w:rsid w:val="008F041B"/>
    <w:rsid w:val="008F0D9C"/>
    <w:rsid w:val="008F11CB"/>
    <w:rsid w:val="008F12C8"/>
    <w:rsid w:val="008F143C"/>
    <w:rsid w:val="008F162F"/>
    <w:rsid w:val="008F19F6"/>
    <w:rsid w:val="008F1A57"/>
    <w:rsid w:val="008F1B3D"/>
    <w:rsid w:val="008F1BE0"/>
    <w:rsid w:val="008F214C"/>
    <w:rsid w:val="008F25D6"/>
    <w:rsid w:val="008F25D9"/>
    <w:rsid w:val="008F272D"/>
    <w:rsid w:val="008F2953"/>
    <w:rsid w:val="008F2CBB"/>
    <w:rsid w:val="008F318E"/>
    <w:rsid w:val="008F3FF9"/>
    <w:rsid w:val="008F40E0"/>
    <w:rsid w:val="008F4282"/>
    <w:rsid w:val="008F4EDB"/>
    <w:rsid w:val="008F5140"/>
    <w:rsid w:val="008F51EB"/>
    <w:rsid w:val="008F545E"/>
    <w:rsid w:val="008F565E"/>
    <w:rsid w:val="008F5748"/>
    <w:rsid w:val="008F5953"/>
    <w:rsid w:val="008F5AA3"/>
    <w:rsid w:val="008F5B6C"/>
    <w:rsid w:val="008F5D2C"/>
    <w:rsid w:val="008F5DA6"/>
    <w:rsid w:val="008F5EE8"/>
    <w:rsid w:val="008F61FC"/>
    <w:rsid w:val="008F6ED6"/>
    <w:rsid w:val="008F722C"/>
    <w:rsid w:val="008F73E0"/>
    <w:rsid w:val="008F7D71"/>
    <w:rsid w:val="008F7DB1"/>
    <w:rsid w:val="008F7FB9"/>
    <w:rsid w:val="0090001B"/>
    <w:rsid w:val="00900CF6"/>
    <w:rsid w:val="00900EF6"/>
    <w:rsid w:val="00901278"/>
    <w:rsid w:val="009013D9"/>
    <w:rsid w:val="009019F8"/>
    <w:rsid w:val="00901A66"/>
    <w:rsid w:val="00901CF5"/>
    <w:rsid w:val="00901FCB"/>
    <w:rsid w:val="0090228C"/>
    <w:rsid w:val="00902536"/>
    <w:rsid w:val="0090325F"/>
    <w:rsid w:val="009035E5"/>
    <w:rsid w:val="00903641"/>
    <w:rsid w:val="00903647"/>
    <w:rsid w:val="00903A5E"/>
    <w:rsid w:val="00903E23"/>
    <w:rsid w:val="00903EC7"/>
    <w:rsid w:val="00904108"/>
    <w:rsid w:val="009042A5"/>
    <w:rsid w:val="00904580"/>
    <w:rsid w:val="009045E6"/>
    <w:rsid w:val="00904C39"/>
    <w:rsid w:val="00904CA5"/>
    <w:rsid w:val="00904DC2"/>
    <w:rsid w:val="00905080"/>
    <w:rsid w:val="009050C8"/>
    <w:rsid w:val="009055CC"/>
    <w:rsid w:val="009056F7"/>
    <w:rsid w:val="0090583B"/>
    <w:rsid w:val="009059F9"/>
    <w:rsid w:val="00905B64"/>
    <w:rsid w:val="009065A5"/>
    <w:rsid w:val="009067F9"/>
    <w:rsid w:val="0090686B"/>
    <w:rsid w:val="00906F62"/>
    <w:rsid w:val="0090747B"/>
    <w:rsid w:val="00907514"/>
    <w:rsid w:val="00907910"/>
    <w:rsid w:val="009100E6"/>
    <w:rsid w:val="009105CE"/>
    <w:rsid w:val="009106D3"/>
    <w:rsid w:val="0091071E"/>
    <w:rsid w:val="009108B2"/>
    <w:rsid w:val="009109B8"/>
    <w:rsid w:val="00911006"/>
    <w:rsid w:val="00911487"/>
    <w:rsid w:val="009115C7"/>
    <w:rsid w:val="009118BA"/>
    <w:rsid w:val="00911D96"/>
    <w:rsid w:val="0091201F"/>
    <w:rsid w:val="0091266E"/>
    <w:rsid w:val="0091293B"/>
    <w:rsid w:val="00912A5E"/>
    <w:rsid w:val="00912CC3"/>
    <w:rsid w:val="00912E11"/>
    <w:rsid w:val="009136E9"/>
    <w:rsid w:val="00913BA3"/>
    <w:rsid w:val="00913CFF"/>
    <w:rsid w:val="00913F7F"/>
    <w:rsid w:val="0091421E"/>
    <w:rsid w:val="0091444F"/>
    <w:rsid w:val="00914596"/>
    <w:rsid w:val="0091459B"/>
    <w:rsid w:val="00914770"/>
    <w:rsid w:val="0091486D"/>
    <w:rsid w:val="009148A8"/>
    <w:rsid w:val="0091498B"/>
    <w:rsid w:val="00914CE6"/>
    <w:rsid w:val="0091516E"/>
    <w:rsid w:val="009151B6"/>
    <w:rsid w:val="0091533D"/>
    <w:rsid w:val="0091580A"/>
    <w:rsid w:val="00915852"/>
    <w:rsid w:val="00915BB8"/>
    <w:rsid w:val="00915C3B"/>
    <w:rsid w:val="00915DE6"/>
    <w:rsid w:val="00916048"/>
    <w:rsid w:val="00916451"/>
    <w:rsid w:val="00916A7C"/>
    <w:rsid w:val="0091768B"/>
    <w:rsid w:val="009177CA"/>
    <w:rsid w:val="0092041B"/>
    <w:rsid w:val="009204B7"/>
    <w:rsid w:val="0092059D"/>
    <w:rsid w:val="00920DED"/>
    <w:rsid w:val="00920EDD"/>
    <w:rsid w:val="0092156B"/>
    <w:rsid w:val="00921644"/>
    <w:rsid w:val="00921955"/>
    <w:rsid w:val="00921A11"/>
    <w:rsid w:val="00921FB8"/>
    <w:rsid w:val="00922345"/>
    <w:rsid w:val="009224E7"/>
    <w:rsid w:val="009228CA"/>
    <w:rsid w:val="00922C3F"/>
    <w:rsid w:val="00922DD7"/>
    <w:rsid w:val="009231E0"/>
    <w:rsid w:val="009234D3"/>
    <w:rsid w:val="00923A8A"/>
    <w:rsid w:val="00923EF7"/>
    <w:rsid w:val="00924236"/>
    <w:rsid w:val="00925076"/>
    <w:rsid w:val="00925297"/>
    <w:rsid w:val="0092567B"/>
    <w:rsid w:val="009258E9"/>
    <w:rsid w:val="00925BEF"/>
    <w:rsid w:val="00925F5F"/>
    <w:rsid w:val="0092657B"/>
    <w:rsid w:val="00926627"/>
    <w:rsid w:val="009266DC"/>
    <w:rsid w:val="00926929"/>
    <w:rsid w:val="00926946"/>
    <w:rsid w:val="00926B3D"/>
    <w:rsid w:val="00926E1C"/>
    <w:rsid w:val="00926F78"/>
    <w:rsid w:val="00927080"/>
    <w:rsid w:val="00927791"/>
    <w:rsid w:val="009277B1"/>
    <w:rsid w:val="00927FC8"/>
    <w:rsid w:val="009304C6"/>
    <w:rsid w:val="00930B8F"/>
    <w:rsid w:val="00930E68"/>
    <w:rsid w:val="00930EF9"/>
    <w:rsid w:val="00930F1D"/>
    <w:rsid w:val="009315CB"/>
    <w:rsid w:val="0093160E"/>
    <w:rsid w:val="00931924"/>
    <w:rsid w:val="00931C44"/>
    <w:rsid w:val="00931DB9"/>
    <w:rsid w:val="00932031"/>
    <w:rsid w:val="009320FC"/>
    <w:rsid w:val="00932180"/>
    <w:rsid w:val="009323DA"/>
    <w:rsid w:val="0093263D"/>
    <w:rsid w:val="0093290B"/>
    <w:rsid w:val="0093316F"/>
    <w:rsid w:val="0093338F"/>
    <w:rsid w:val="009334A3"/>
    <w:rsid w:val="00933520"/>
    <w:rsid w:val="009335AD"/>
    <w:rsid w:val="00933AD8"/>
    <w:rsid w:val="00934062"/>
    <w:rsid w:val="00934347"/>
    <w:rsid w:val="00934640"/>
    <w:rsid w:val="0093496D"/>
    <w:rsid w:val="00934D53"/>
    <w:rsid w:val="009350BB"/>
    <w:rsid w:val="00935225"/>
    <w:rsid w:val="00935556"/>
    <w:rsid w:val="00935751"/>
    <w:rsid w:val="00935829"/>
    <w:rsid w:val="00935C4D"/>
    <w:rsid w:val="00935D76"/>
    <w:rsid w:val="0093618F"/>
    <w:rsid w:val="009368BC"/>
    <w:rsid w:val="00936A00"/>
    <w:rsid w:val="00936B27"/>
    <w:rsid w:val="00936C4E"/>
    <w:rsid w:val="00936DDE"/>
    <w:rsid w:val="00936F05"/>
    <w:rsid w:val="009378ED"/>
    <w:rsid w:val="00937BB5"/>
    <w:rsid w:val="00937C70"/>
    <w:rsid w:val="009400D6"/>
    <w:rsid w:val="00940615"/>
    <w:rsid w:val="009407F5"/>
    <w:rsid w:val="0094092D"/>
    <w:rsid w:val="00940E84"/>
    <w:rsid w:val="00941210"/>
    <w:rsid w:val="00941286"/>
    <w:rsid w:val="009415DA"/>
    <w:rsid w:val="009418CE"/>
    <w:rsid w:val="00941C3F"/>
    <w:rsid w:val="00941F40"/>
    <w:rsid w:val="009423D1"/>
    <w:rsid w:val="0094243D"/>
    <w:rsid w:val="009424CD"/>
    <w:rsid w:val="00942856"/>
    <w:rsid w:val="00942F4A"/>
    <w:rsid w:val="009434AF"/>
    <w:rsid w:val="00943B0D"/>
    <w:rsid w:val="00944160"/>
    <w:rsid w:val="0094419F"/>
    <w:rsid w:val="00944208"/>
    <w:rsid w:val="00944BA4"/>
    <w:rsid w:val="009450A9"/>
    <w:rsid w:val="00945419"/>
    <w:rsid w:val="00945464"/>
    <w:rsid w:val="00945705"/>
    <w:rsid w:val="00945F95"/>
    <w:rsid w:val="00945FE2"/>
    <w:rsid w:val="00946793"/>
    <w:rsid w:val="009467A0"/>
    <w:rsid w:val="00946F5A"/>
    <w:rsid w:val="00947A97"/>
    <w:rsid w:val="00947CEB"/>
    <w:rsid w:val="00947E86"/>
    <w:rsid w:val="00950599"/>
    <w:rsid w:val="009507B2"/>
    <w:rsid w:val="00950C37"/>
    <w:rsid w:val="00951101"/>
    <w:rsid w:val="00951374"/>
    <w:rsid w:val="0095159E"/>
    <w:rsid w:val="00951FDE"/>
    <w:rsid w:val="0095241A"/>
    <w:rsid w:val="00952A0D"/>
    <w:rsid w:val="00952AC0"/>
    <w:rsid w:val="00952B79"/>
    <w:rsid w:val="00952DDE"/>
    <w:rsid w:val="00952F97"/>
    <w:rsid w:val="009532C1"/>
    <w:rsid w:val="00953346"/>
    <w:rsid w:val="00953588"/>
    <w:rsid w:val="00953882"/>
    <w:rsid w:val="00953CBC"/>
    <w:rsid w:val="00953CC0"/>
    <w:rsid w:val="00953DD6"/>
    <w:rsid w:val="0095409A"/>
    <w:rsid w:val="009543E9"/>
    <w:rsid w:val="00954771"/>
    <w:rsid w:val="00954ADF"/>
    <w:rsid w:val="00954FD6"/>
    <w:rsid w:val="00955013"/>
    <w:rsid w:val="009550D1"/>
    <w:rsid w:val="00955915"/>
    <w:rsid w:val="00955D07"/>
    <w:rsid w:val="0095622B"/>
    <w:rsid w:val="009562CD"/>
    <w:rsid w:val="009567BC"/>
    <w:rsid w:val="00956AC1"/>
    <w:rsid w:val="00956AFC"/>
    <w:rsid w:val="00956EBC"/>
    <w:rsid w:val="00957192"/>
    <w:rsid w:val="00957214"/>
    <w:rsid w:val="00957A49"/>
    <w:rsid w:val="00957AD1"/>
    <w:rsid w:val="00960323"/>
    <w:rsid w:val="00960382"/>
    <w:rsid w:val="009609A1"/>
    <w:rsid w:val="00961CA1"/>
    <w:rsid w:val="00961D5F"/>
    <w:rsid w:val="00961DD4"/>
    <w:rsid w:val="00962109"/>
    <w:rsid w:val="009626E6"/>
    <w:rsid w:val="0096272E"/>
    <w:rsid w:val="009627A3"/>
    <w:rsid w:val="009628B6"/>
    <w:rsid w:val="00962E41"/>
    <w:rsid w:val="00962F58"/>
    <w:rsid w:val="009631CD"/>
    <w:rsid w:val="00963316"/>
    <w:rsid w:val="009634D1"/>
    <w:rsid w:val="00963818"/>
    <w:rsid w:val="00963A64"/>
    <w:rsid w:val="00963CA2"/>
    <w:rsid w:val="009642AD"/>
    <w:rsid w:val="00964463"/>
    <w:rsid w:val="00964B58"/>
    <w:rsid w:val="00964EF4"/>
    <w:rsid w:val="00965B2B"/>
    <w:rsid w:val="00965C90"/>
    <w:rsid w:val="00965D0C"/>
    <w:rsid w:val="00965DCE"/>
    <w:rsid w:val="00966480"/>
    <w:rsid w:val="00966DAE"/>
    <w:rsid w:val="0096711E"/>
    <w:rsid w:val="00967234"/>
    <w:rsid w:val="00967449"/>
    <w:rsid w:val="00967723"/>
    <w:rsid w:val="00967AC8"/>
    <w:rsid w:val="00967FE5"/>
    <w:rsid w:val="009700C9"/>
    <w:rsid w:val="0097076A"/>
    <w:rsid w:val="009709A6"/>
    <w:rsid w:val="00970C54"/>
    <w:rsid w:val="00970D62"/>
    <w:rsid w:val="00970E45"/>
    <w:rsid w:val="009710F3"/>
    <w:rsid w:val="00971220"/>
    <w:rsid w:val="009712F8"/>
    <w:rsid w:val="00971437"/>
    <w:rsid w:val="00971483"/>
    <w:rsid w:val="00971580"/>
    <w:rsid w:val="009715A3"/>
    <w:rsid w:val="00972147"/>
    <w:rsid w:val="00972150"/>
    <w:rsid w:val="009723F7"/>
    <w:rsid w:val="00972474"/>
    <w:rsid w:val="009724BA"/>
    <w:rsid w:val="00972562"/>
    <w:rsid w:val="00972E6C"/>
    <w:rsid w:val="00973109"/>
    <w:rsid w:val="00973337"/>
    <w:rsid w:val="00973513"/>
    <w:rsid w:val="009736B8"/>
    <w:rsid w:val="00973C55"/>
    <w:rsid w:val="0097479D"/>
    <w:rsid w:val="009748A3"/>
    <w:rsid w:val="00974F05"/>
    <w:rsid w:val="009755DE"/>
    <w:rsid w:val="009756ED"/>
    <w:rsid w:val="0097598C"/>
    <w:rsid w:val="009759D0"/>
    <w:rsid w:val="00975D52"/>
    <w:rsid w:val="00976178"/>
    <w:rsid w:val="00976462"/>
    <w:rsid w:val="00976A37"/>
    <w:rsid w:val="00976D54"/>
    <w:rsid w:val="0097772D"/>
    <w:rsid w:val="0097787A"/>
    <w:rsid w:val="00977D94"/>
    <w:rsid w:val="00980049"/>
    <w:rsid w:val="0098042F"/>
    <w:rsid w:val="009809C4"/>
    <w:rsid w:val="00980ABA"/>
    <w:rsid w:val="00980B41"/>
    <w:rsid w:val="00980BF0"/>
    <w:rsid w:val="00981212"/>
    <w:rsid w:val="0098141A"/>
    <w:rsid w:val="0098146A"/>
    <w:rsid w:val="009814BD"/>
    <w:rsid w:val="009816A4"/>
    <w:rsid w:val="00981826"/>
    <w:rsid w:val="00981EF3"/>
    <w:rsid w:val="0098247E"/>
    <w:rsid w:val="0098319C"/>
    <w:rsid w:val="009835C8"/>
    <w:rsid w:val="00983A05"/>
    <w:rsid w:val="00983DA0"/>
    <w:rsid w:val="00983EC3"/>
    <w:rsid w:val="0098422D"/>
    <w:rsid w:val="0098443B"/>
    <w:rsid w:val="0098465F"/>
    <w:rsid w:val="00984701"/>
    <w:rsid w:val="00984B60"/>
    <w:rsid w:val="00984F5C"/>
    <w:rsid w:val="009850D8"/>
    <w:rsid w:val="00985AD3"/>
    <w:rsid w:val="00985ADC"/>
    <w:rsid w:val="00985E05"/>
    <w:rsid w:val="00985F1F"/>
    <w:rsid w:val="009862B5"/>
    <w:rsid w:val="00986EAF"/>
    <w:rsid w:val="0098707E"/>
    <w:rsid w:val="009870FD"/>
    <w:rsid w:val="00987149"/>
    <w:rsid w:val="009871F0"/>
    <w:rsid w:val="00987384"/>
    <w:rsid w:val="00987A27"/>
    <w:rsid w:val="00987FD1"/>
    <w:rsid w:val="0099073D"/>
    <w:rsid w:val="00990953"/>
    <w:rsid w:val="00990D95"/>
    <w:rsid w:val="00990F33"/>
    <w:rsid w:val="009915B6"/>
    <w:rsid w:val="009917E9"/>
    <w:rsid w:val="00991FF5"/>
    <w:rsid w:val="0099233F"/>
    <w:rsid w:val="00992650"/>
    <w:rsid w:val="0099266C"/>
    <w:rsid w:val="009928A7"/>
    <w:rsid w:val="00992912"/>
    <w:rsid w:val="00992D0F"/>
    <w:rsid w:val="00992F84"/>
    <w:rsid w:val="00993021"/>
    <w:rsid w:val="009930C1"/>
    <w:rsid w:val="00993CE1"/>
    <w:rsid w:val="009942A4"/>
    <w:rsid w:val="0099432C"/>
    <w:rsid w:val="009944D9"/>
    <w:rsid w:val="00994609"/>
    <w:rsid w:val="009947F8"/>
    <w:rsid w:val="00994881"/>
    <w:rsid w:val="009948E7"/>
    <w:rsid w:val="00994B87"/>
    <w:rsid w:val="0099674F"/>
    <w:rsid w:val="00996AB1"/>
    <w:rsid w:val="00996B19"/>
    <w:rsid w:val="00996BBC"/>
    <w:rsid w:val="00996E80"/>
    <w:rsid w:val="00997146"/>
    <w:rsid w:val="009972FA"/>
    <w:rsid w:val="009973CB"/>
    <w:rsid w:val="00997DC3"/>
    <w:rsid w:val="00997FDB"/>
    <w:rsid w:val="009A066E"/>
    <w:rsid w:val="009A095E"/>
    <w:rsid w:val="009A1266"/>
    <w:rsid w:val="009A1305"/>
    <w:rsid w:val="009A16B3"/>
    <w:rsid w:val="009A1AC6"/>
    <w:rsid w:val="009A1B27"/>
    <w:rsid w:val="009A1F1B"/>
    <w:rsid w:val="009A218D"/>
    <w:rsid w:val="009A22BB"/>
    <w:rsid w:val="009A24B8"/>
    <w:rsid w:val="009A25B9"/>
    <w:rsid w:val="009A2735"/>
    <w:rsid w:val="009A28AF"/>
    <w:rsid w:val="009A2B2C"/>
    <w:rsid w:val="009A2E65"/>
    <w:rsid w:val="009A2F00"/>
    <w:rsid w:val="009A309B"/>
    <w:rsid w:val="009A334E"/>
    <w:rsid w:val="009A349A"/>
    <w:rsid w:val="009A34DD"/>
    <w:rsid w:val="009A3636"/>
    <w:rsid w:val="009A385E"/>
    <w:rsid w:val="009A404A"/>
    <w:rsid w:val="009A4096"/>
    <w:rsid w:val="009A4154"/>
    <w:rsid w:val="009A41AF"/>
    <w:rsid w:val="009A44DA"/>
    <w:rsid w:val="009A4549"/>
    <w:rsid w:val="009A4753"/>
    <w:rsid w:val="009A4853"/>
    <w:rsid w:val="009A4F37"/>
    <w:rsid w:val="009A4F47"/>
    <w:rsid w:val="009A5181"/>
    <w:rsid w:val="009A545F"/>
    <w:rsid w:val="009A558C"/>
    <w:rsid w:val="009A5F7F"/>
    <w:rsid w:val="009A70D9"/>
    <w:rsid w:val="009A71E3"/>
    <w:rsid w:val="009A71F5"/>
    <w:rsid w:val="009A79D2"/>
    <w:rsid w:val="009A7BFC"/>
    <w:rsid w:val="009A7E39"/>
    <w:rsid w:val="009A7F04"/>
    <w:rsid w:val="009A7F87"/>
    <w:rsid w:val="009B1206"/>
    <w:rsid w:val="009B1836"/>
    <w:rsid w:val="009B193B"/>
    <w:rsid w:val="009B1AB2"/>
    <w:rsid w:val="009B1B0E"/>
    <w:rsid w:val="009B1F79"/>
    <w:rsid w:val="009B200C"/>
    <w:rsid w:val="009B2908"/>
    <w:rsid w:val="009B299E"/>
    <w:rsid w:val="009B2A1A"/>
    <w:rsid w:val="009B2EF4"/>
    <w:rsid w:val="009B3490"/>
    <w:rsid w:val="009B34E1"/>
    <w:rsid w:val="009B359F"/>
    <w:rsid w:val="009B3C13"/>
    <w:rsid w:val="009B3E1B"/>
    <w:rsid w:val="009B3F5D"/>
    <w:rsid w:val="009B480C"/>
    <w:rsid w:val="009B49BB"/>
    <w:rsid w:val="009B4C2C"/>
    <w:rsid w:val="009B5461"/>
    <w:rsid w:val="009B5854"/>
    <w:rsid w:val="009B5B93"/>
    <w:rsid w:val="009B5DF7"/>
    <w:rsid w:val="009B63B8"/>
    <w:rsid w:val="009B6967"/>
    <w:rsid w:val="009B6C63"/>
    <w:rsid w:val="009B6DDF"/>
    <w:rsid w:val="009B7206"/>
    <w:rsid w:val="009B770F"/>
    <w:rsid w:val="009B7AAD"/>
    <w:rsid w:val="009B7CA9"/>
    <w:rsid w:val="009C0680"/>
    <w:rsid w:val="009C06A8"/>
    <w:rsid w:val="009C1224"/>
    <w:rsid w:val="009C1525"/>
    <w:rsid w:val="009C16CC"/>
    <w:rsid w:val="009C171A"/>
    <w:rsid w:val="009C1726"/>
    <w:rsid w:val="009C187A"/>
    <w:rsid w:val="009C1B6B"/>
    <w:rsid w:val="009C1DE0"/>
    <w:rsid w:val="009C1E4F"/>
    <w:rsid w:val="009C22BA"/>
    <w:rsid w:val="009C2836"/>
    <w:rsid w:val="009C2C89"/>
    <w:rsid w:val="009C2EF6"/>
    <w:rsid w:val="009C3292"/>
    <w:rsid w:val="009C33C9"/>
    <w:rsid w:val="009C3A35"/>
    <w:rsid w:val="009C3D8D"/>
    <w:rsid w:val="009C3E0E"/>
    <w:rsid w:val="009C40B9"/>
    <w:rsid w:val="009C4131"/>
    <w:rsid w:val="009C4259"/>
    <w:rsid w:val="009C4A31"/>
    <w:rsid w:val="009C4DDB"/>
    <w:rsid w:val="009C4DF7"/>
    <w:rsid w:val="009C589B"/>
    <w:rsid w:val="009C5C40"/>
    <w:rsid w:val="009C6024"/>
    <w:rsid w:val="009C66F8"/>
    <w:rsid w:val="009C6980"/>
    <w:rsid w:val="009C6E40"/>
    <w:rsid w:val="009C75F5"/>
    <w:rsid w:val="009C7EAF"/>
    <w:rsid w:val="009D024B"/>
    <w:rsid w:val="009D0835"/>
    <w:rsid w:val="009D0C77"/>
    <w:rsid w:val="009D0CF6"/>
    <w:rsid w:val="009D11A2"/>
    <w:rsid w:val="009D13CA"/>
    <w:rsid w:val="009D15B4"/>
    <w:rsid w:val="009D1744"/>
    <w:rsid w:val="009D1A2A"/>
    <w:rsid w:val="009D212F"/>
    <w:rsid w:val="009D232C"/>
    <w:rsid w:val="009D23BD"/>
    <w:rsid w:val="009D2B80"/>
    <w:rsid w:val="009D2E69"/>
    <w:rsid w:val="009D301E"/>
    <w:rsid w:val="009D33EF"/>
    <w:rsid w:val="009D3E6C"/>
    <w:rsid w:val="009D4122"/>
    <w:rsid w:val="009D417D"/>
    <w:rsid w:val="009D4ABC"/>
    <w:rsid w:val="009D5630"/>
    <w:rsid w:val="009D58DF"/>
    <w:rsid w:val="009D5C07"/>
    <w:rsid w:val="009D5D4B"/>
    <w:rsid w:val="009D60FE"/>
    <w:rsid w:val="009D62B2"/>
    <w:rsid w:val="009D66E4"/>
    <w:rsid w:val="009D67F3"/>
    <w:rsid w:val="009D685F"/>
    <w:rsid w:val="009D68E5"/>
    <w:rsid w:val="009D6ED0"/>
    <w:rsid w:val="009D709B"/>
    <w:rsid w:val="009D7602"/>
    <w:rsid w:val="009D77FE"/>
    <w:rsid w:val="009D7A81"/>
    <w:rsid w:val="009D7C3F"/>
    <w:rsid w:val="009E0266"/>
    <w:rsid w:val="009E0841"/>
    <w:rsid w:val="009E0883"/>
    <w:rsid w:val="009E0AF2"/>
    <w:rsid w:val="009E0DC2"/>
    <w:rsid w:val="009E0F39"/>
    <w:rsid w:val="009E115E"/>
    <w:rsid w:val="009E18C4"/>
    <w:rsid w:val="009E1E7B"/>
    <w:rsid w:val="009E1EAA"/>
    <w:rsid w:val="009E2293"/>
    <w:rsid w:val="009E252E"/>
    <w:rsid w:val="009E2BA0"/>
    <w:rsid w:val="009E310C"/>
    <w:rsid w:val="009E31B2"/>
    <w:rsid w:val="009E34DE"/>
    <w:rsid w:val="009E3F99"/>
    <w:rsid w:val="009E47E5"/>
    <w:rsid w:val="009E48F4"/>
    <w:rsid w:val="009E4D67"/>
    <w:rsid w:val="009E4D97"/>
    <w:rsid w:val="009E4F28"/>
    <w:rsid w:val="009E5123"/>
    <w:rsid w:val="009E52E5"/>
    <w:rsid w:val="009E5473"/>
    <w:rsid w:val="009E593F"/>
    <w:rsid w:val="009E5CF2"/>
    <w:rsid w:val="009E5DEC"/>
    <w:rsid w:val="009E67B4"/>
    <w:rsid w:val="009E6BE1"/>
    <w:rsid w:val="009E6D17"/>
    <w:rsid w:val="009E73FE"/>
    <w:rsid w:val="009E77AA"/>
    <w:rsid w:val="009E7C41"/>
    <w:rsid w:val="009F042D"/>
    <w:rsid w:val="009F0901"/>
    <w:rsid w:val="009F09DD"/>
    <w:rsid w:val="009F0F59"/>
    <w:rsid w:val="009F12CD"/>
    <w:rsid w:val="009F139D"/>
    <w:rsid w:val="009F14FE"/>
    <w:rsid w:val="009F15EF"/>
    <w:rsid w:val="009F1C59"/>
    <w:rsid w:val="009F1D91"/>
    <w:rsid w:val="009F206B"/>
    <w:rsid w:val="009F2875"/>
    <w:rsid w:val="009F2B72"/>
    <w:rsid w:val="009F335A"/>
    <w:rsid w:val="009F34CE"/>
    <w:rsid w:val="009F37B3"/>
    <w:rsid w:val="009F3AA4"/>
    <w:rsid w:val="009F40F6"/>
    <w:rsid w:val="009F46AF"/>
    <w:rsid w:val="009F4ACC"/>
    <w:rsid w:val="009F4EAC"/>
    <w:rsid w:val="009F4F62"/>
    <w:rsid w:val="009F5112"/>
    <w:rsid w:val="009F6871"/>
    <w:rsid w:val="009F6CF6"/>
    <w:rsid w:val="009F6E1E"/>
    <w:rsid w:val="009F7030"/>
    <w:rsid w:val="009F712F"/>
    <w:rsid w:val="009F7431"/>
    <w:rsid w:val="009F762D"/>
    <w:rsid w:val="009F76BA"/>
    <w:rsid w:val="009F7A18"/>
    <w:rsid w:val="009F7C60"/>
    <w:rsid w:val="009F7FB1"/>
    <w:rsid w:val="00A000F1"/>
    <w:rsid w:val="00A0052A"/>
    <w:rsid w:val="00A005D9"/>
    <w:rsid w:val="00A005DA"/>
    <w:rsid w:val="00A005F9"/>
    <w:rsid w:val="00A00802"/>
    <w:rsid w:val="00A00A04"/>
    <w:rsid w:val="00A01135"/>
    <w:rsid w:val="00A01905"/>
    <w:rsid w:val="00A01A84"/>
    <w:rsid w:val="00A01DB5"/>
    <w:rsid w:val="00A029D4"/>
    <w:rsid w:val="00A02EBE"/>
    <w:rsid w:val="00A02EC0"/>
    <w:rsid w:val="00A02F95"/>
    <w:rsid w:val="00A0340B"/>
    <w:rsid w:val="00A03753"/>
    <w:rsid w:val="00A03881"/>
    <w:rsid w:val="00A039C4"/>
    <w:rsid w:val="00A03D83"/>
    <w:rsid w:val="00A04011"/>
    <w:rsid w:val="00A042CA"/>
    <w:rsid w:val="00A049EC"/>
    <w:rsid w:val="00A05013"/>
    <w:rsid w:val="00A05054"/>
    <w:rsid w:val="00A052AB"/>
    <w:rsid w:val="00A058DB"/>
    <w:rsid w:val="00A05950"/>
    <w:rsid w:val="00A063E3"/>
    <w:rsid w:val="00A066C0"/>
    <w:rsid w:val="00A06757"/>
    <w:rsid w:val="00A0682B"/>
    <w:rsid w:val="00A06C3F"/>
    <w:rsid w:val="00A06CAA"/>
    <w:rsid w:val="00A06F87"/>
    <w:rsid w:val="00A06FEC"/>
    <w:rsid w:val="00A07F27"/>
    <w:rsid w:val="00A102C2"/>
    <w:rsid w:val="00A10771"/>
    <w:rsid w:val="00A109F3"/>
    <w:rsid w:val="00A10AF0"/>
    <w:rsid w:val="00A10D28"/>
    <w:rsid w:val="00A10E98"/>
    <w:rsid w:val="00A113BA"/>
    <w:rsid w:val="00A1153A"/>
    <w:rsid w:val="00A11906"/>
    <w:rsid w:val="00A11921"/>
    <w:rsid w:val="00A11CE8"/>
    <w:rsid w:val="00A11E66"/>
    <w:rsid w:val="00A11E84"/>
    <w:rsid w:val="00A1209A"/>
    <w:rsid w:val="00A1238D"/>
    <w:rsid w:val="00A12421"/>
    <w:rsid w:val="00A124C9"/>
    <w:rsid w:val="00A12E7C"/>
    <w:rsid w:val="00A13159"/>
    <w:rsid w:val="00A13917"/>
    <w:rsid w:val="00A1398D"/>
    <w:rsid w:val="00A13A44"/>
    <w:rsid w:val="00A13CD6"/>
    <w:rsid w:val="00A13F03"/>
    <w:rsid w:val="00A14095"/>
    <w:rsid w:val="00A1434B"/>
    <w:rsid w:val="00A14E87"/>
    <w:rsid w:val="00A14EA5"/>
    <w:rsid w:val="00A15004"/>
    <w:rsid w:val="00A150B8"/>
    <w:rsid w:val="00A15783"/>
    <w:rsid w:val="00A157BF"/>
    <w:rsid w:val="00A15C6C"/>
    <w:rsid w:val="00A15C7F"/>
    <w:rsid w:val="00A160FD"/>
    <w:rsid w:val="00A166FA"/>
    <w:rsid w:val="00A16844"/>
    <w:rsid w:val="00A1694D"/>
    <w:rsid w:val="00A173EF"/>
    <w:rsid w:val="00A17B48"/>
    <w:rsid w:val="00A17E06"/>
    <w:rsid w:val="00A17E34"/>
    <w:rsid w:val="00A17FC0"/>
    <w:rsid w:val="00A20494"/>
    <w:rsid w:val="00A2054D"/>
    <w:rsid w:val="00A205ED"/>
    <w:rsid w:val="00A208CB"/>
    <w:rsid w:val="00A20969"/>
    <w:rsid w:val="00A20D53"/>
    <w:rsid w:val="00A20F38"/>
    <w:rsid w:val="00A211F1"/>
    <w:rsid w:val="00A21748"/>
    <w:rsid w:val="00A218C0"/>
    <w:rsid w:val="00A21C47"/>
    <w:rsid w:val="00A21CD5"/>
    <w:rsid w:val="00A2222D"/>
    <w:rsid w:val="00A22B62"/>
    <w:rsid w:val="00A22B65"/>
    <w:rsid w:val="00A22D7C"/>
    <w:rsid w:val="00A23055"/>
    <w:rsid w:val="00A23108"/>
    <w:rsid w:val="00A23162"/>
    <w:rsid w:val="00A23D03"/>
    <w:rsid w:val="00A23E53"/>
    <w:rsid w:val="00A23F35"/>
    <w:rsid w:val="00A24291"/>
    <w:rsid w:val="00A242EE"/>
    <w:rsid w:val="00A24469"/>
    <w:rsid w:val="00A24FCD"/>
    <w:rsid w:val="00A25251"/>
    <w:rsid w:val="00A2531B"/>
    <w:rsid w:val="00A255DD"/>
    <w:rsid w:val="00A25865"/>
    <w:rsid w:val="00A25B0E"/>
    <w:rsid w:val="00A25C09"/>
    <w:rsid w:val="00A25FBA"/>
    <w:rsid w:val="00A26E95"/>
    <w:rsid w:val="00A27547"/>
    <w:rsid w:val="00A277F5"/>
    <w:rsid w:val="00A27988"/>
    <w:rsid w:val="00A303DC"/>
    <w:rsid w:val="00A30BEA"/>
    <w:rsid w:val="00A31917"/>
    <w:rsid w:val="00A319F0"/>
    <w:rsid w:val="00A321C8"/>
    <w:rsid w:val="00A32539"/>
    <w:rsid w:val="00A32BFA"/>
    <w:rsid w:val="00A339BC"/>
    <w:rsid w:val="00A33A65"/>
    <w:rsid w:val="00A33CBA"/>
    <w:rsid w:val="00A33EF7"/>
    <w:rsid w:val="00A342A9"/>
    <w:rsid w:val="00A34457"/>
    <w:rsid w:val="00A345CC"/>
    <w:rsid w:val="00A34923"/>
    <w:rsid w:val="00A34CB1"/>
    <w:rsid w:val="00A34EAE"/>
    <w:rsid w:val="00A355DD"/>
    <w:rsid w:val="00A3563F"/>
    <w:rsid w:val="00A357BF"/>
    <w:rsid w:val="00A35A06"/>
    <w:rsid w:val="00A35B3A"/>
    <w:rsid w:val="00A35F17"/>
    <w:rsid w:val="00A36233"/>
    <w:rsid w:val="00A372E6"/>
    <w:rsid w:val="00A373EB"/>
    <w:rsid w:val="00A37670"/>
    <w:rsid w:val="00A4022E"/>
    <w:rsid w:val="00A4041F"/>
    <w:rsid w:val="00A40664"/>
    <w:rsid w:val="00A40E40"/>
    <w:rsid w:val="00A40E98"/>
    <w:rsid w:val="00A40ECE"/>
    <w:rsid w:val="00A40F15"/>
    <w:rsid w:val="00A40FFE"/>
    <w:rsid w:val="00A411AA"/>
    <w:rsid w:val="00A414D9"/>
    <w:rsid w:val="00A4189B"/>
    <w:rsid w:val="00A4189D"/>
    <w:rsid w:val="00A4190E"/>
    <w:rsid w:val="00A41D2D"/>
    <w:rsid w:val="00A41F89"/>
    <w:rsid w:val="00A4210D"/>
    <w:rsid w:val="00A42346"/>
    <w:rsid w:val="00A43246"/>
    <w:rsid w:val="00A43C71"/>
    <w:rsid w:val="00A43CC0"/>
    <w:rsid w:val="00A4419A"/>
    <w:rsid w:val="00A44A49"/>
    <w:rsid w:val="00A44C20"/>
    <w:rsid w:val="00A44D65"/>
    <w:rsid w:val="00A44F51"/>
    <w:rsid w:val="00A45086"/>
    <w:rsid w:val="00A451BB"/>
    <w:rsid w:val="00A45530"/>
    <w:rsid w:val="00A45A69"/>
    <w:rsid w:val="00A463B4"/>
    <w:rsid w:val="00A467A6"/>
    <w:rsid w:val="00A468C5"/>
    <w:rsid w:val="00A468CE"/>
    <w:rsid w:val="00A46922"/>
    <w:rsid w:val="00A46992"/>
    <w:rsid w:val="00A46A57"/>
    <w:rsid w:val="00A46B3C"/>
    <w:rsid w:val="00A475D6"/>
    <w:rsid w:val="00A47673"/>
    <w:rsid w:val="00A476DB"/>
    <w:rsid w:val="00A47B3A"/>
    <w:rsid w:val="00A500A3"/>
    <w:rsid w:val="00A500B9"/>
    <w:rsid w:val="00A50201"/>
    <w:rsid w:val="00A5091A"/>
    <w:rsid w:val="00A5094A"/>
    <w:rsid w:val="00A50A2B"/>
    <w:rsid w:val="00A51E3F"/>
    <w:rsid w:val="00A51F93"/>
    <w:rsid w:val="00A52364"/>
    <w:rsid w:val="00A52594"/>
    <w:rsid w:val="00A53BFF"/>
    <w:rsid w:val="00A54121"/>
    <w:rsid w:val="00A5439F"/>
    <w:rsid w:val="00A54AA5"/>
    <w:rsid w:val="00A54F7E"/>
    <w:rsid w:val="00A5577B"/>
    <w:rsid w:val="00A55951"/>
    <w:rsid w:val="00A55BA8"/>
    <w:rsid w:val="00A55C7E"/>
    <w:rsid w:val="00A56710"/>
    <w:rsid w:val="00A567BC"/>
    <w:rsid w:val="00A56906"/>
    <w:rsid w:val="00A56A53"/>
    <w:rsid w:val="00A56BE2"/>
    <w:rsid w:val="00A5737A"/>
    <w:rsid w:val="00A57F53"/>
    <w:rsid w:val="00A6000D"/>
    <w:rsid w:val="00A6026D"/>
    <w:rsid w:val="00A60CB3"/>
    <w:rsid w:val="00A6187E"/>
    <w:rsid w:val="00A61982"/>
    <w:rsid w:val="00A61B10"/>
    <w:rsid w:val="00A61ED1"/>
    <w:rsid w:val="00A61F0D"/>
    <w:rsid w:val="00A62292"/>
    <w:rsid w:val="00A63178"/>
    <w:rsid w:val="00A63450"/>
    <w:rsid w:val="00A6388D"/>
    <w:rsid w:val="00A638C1"/>
    <w:rsid w:val="00A63D8D"/>
    <w:rsid w:val="00A641AA"/>
    <w:rsid w:val="00A6458E"/>
    <w:rsid w:val="00A648FE"/>
    <w:rsid w:val="00A64A17"/>
    <w:rsid w:val="00A64BF5"/>
    <w:rsid w:val="00A64F19"/>
    <w:rsid w:val="00A6519A"/>
    <w:rsid w:val="00A6528E"/>
    <w:rsid w:val="00A65978"/>
    <w:rsid w:val="00A65A0C"/>
    <w:rsid w:val="00A66743"/>
    <w:rsid w:val="00A66B44"/>
    <w:rsid w:val="00A66BE0"/>
    <w:rsid w:val="00A673B4"/>
    <w:rsid w:val="00A679C8"/>
    <w:rsid w:val="00A67D7B"/>
    <w:rsid w:val="00A67EB8"/>
    <w:rsid w:val="00A70020"/>
    <w:rsid w:val="00A701AF"/>
    <w:rsid w:val="00A702B5"/>
    <w:rsid w:val="00A7035D"/>
    <w:rsid w:val="00A705F7"/>
    <w:rsid w:val="00A70601"/>
    <w:rsid w:val="00A7072A"/>
    <w:rsid w:val="00A70B0B"/>
    <w:rsid w:val="00A70B12"/>
    <w:rsid w:val="00A70B5D"/>
    <w:rsid w:val="00A70CE9"/>
    <w:rsid w:val="00A70DB8"/>
    <w:rsid w:val="00A70FC0"/>
    <w:rsid w:val="00A7124C"/>
    <w:rsid w:val="00A712FE"/>
    <w:rsid w:val="00A71528"/>
    <w:rsid w:val="00A7161B"/>
    <w:rsid w:val="00A72438"/>
    <w:rsid w:val="00A72849"/>
    <w:rsid w:val="00A731A9"/>
    <w:rsid w:val="00A738B7"/>
    <w:rsid w:val="00A73B77"/>
    <w:rsid w:val="00A73C25"/>
    <w:rsid w:val="00A73E9A"/>
    <w:rsid w:val="00A74056"/>
    <w:rsid w:val="00A74313"/>
    <w:rsid w:val="00A747C6"/>
    <w:rsid w:val="00A74D4B"/>
    <w:rsid w:val="00A74D89"/>
    <w:rsid w:val="00A74F49"/>
    <w:rsid w:val="00A75555"/>
    <w:rsid w:val="00A766A4"/>
    <w:rsid w:val="00A7699A"/>
    <w:rsid w:val="00A76DC6"/>
    <w:rsid w:val="00A76FB0"/>
    <w:rsid w:val="00A777D6"/>
    <w:rsid w:val="00A801CC"/>
    <w:rsid w:val="00A8039D"/>
    <w:rsid w:val="00A80B46"/>
    <w:rsid w:val="00A80EAC"/>
    <w:rsid w:val="00A812E5"/>
    <w:rsid w:val="00A82597"/>
    <w:rsid w:val="00A82961"/>
    <w:rsid w:val="00A82AE4"/>
    <w:rsid w:val="00A82B8A"/>
    <w:rsid w:val="00A82C5C"/>
    <w:rsid w:val="00A830CC"/>
    <w:rsid w:val="00A831C5"/>
    <w:rsid w:val="00A831E0"/>
    <w:rsid w:val="00A83224"/>
    <w:rsid w:val="00A833D3"/>
    <w:rsid w:val="00A841BA"/>
    <w:rsid w:val="00A8461F"/>
    <w:rsid w:val="00A84985"/>
    <w:rsid w:val="00A84BDA"/>
    <w:rsid w:val="00A84CCA"/>
    <w:rsid w:val="00A84CF1"/>
    <w:rsid w:val="00A84D19"/>
    <w:rsid w:val="00A84F42"/>
    <w:rsid w:val="00A84FB3"/>
    <w:rsid w:val="00A8510D"/>
    <w:rsid w:val="00A85219"/>
    <w:rsid w:val="00A85279"/>
    <w:rsid w:val="00A8557C"/>
    <w:rsid w:val="00A85742"/>
    <w:rsid w:val="00A85A87"/>
    <w:rsid w:val="00A85DBE"/>
    <w:rsid w:val="00A85DCF"/>
    <w:rsid w:val="00A85F5A"/>
    <w:rsid w:val="00A86067"/>
    <w:rsid w:val="00A860C6"/>
    <w:rsid w:val="00A863D8"/>
    <w:rsid w:val="00A867CD"/>
    <w:rsid w:val="00A86C23"/>
    <w:rsid w:val="00A86E5F"/>
    <w:rsid w:val="00A8733E"/>
    <w:rsid w:val="00A873D1"/>
    <w:rsid w:val="00A873FE"/>
    <w:rsid w:val="00A87575"/>
    <w:rsid w:val="00A87D5D"/>
    <w:rsid w:val="00A900E4"/>
    <w:rsid w:val="00A9046F"/>
    <w:rsid w:val="00A90558"/>
    <w:rsid w:val="00A908D3"/>
    <w:rsid w:val="00A91188"/>
    <w:rsid w:val="00A91387"/>
    <w:rsid w:val="00A91616"/>
    <w:rsid w:val="00A918E6"/>
    <w:rsid w:val="00A91924"/>
    <w:rsid w:val="00A91BDA"/>
    <w:rsid w:val="00A92EE5"/>
    <w:rsid w:val="00A92FD0"/>
    <w:rsid w:val="00A9304A"/>
    <w:rsid w:val="00A93447"/>
    <w:rsid w:val="00A934E3"/>
    <w:rsid w:val="00A93573"/>
    <w:rsid w:val="00A93C07"/>
    <w:rsid w:val="00A93CD2"/>
    <w:rsid w:val="00A94115"/>
    <w:rsid w:val="00A94514"/>
    <w:rsid w:val="00A946F2"/>
    <w:rsid w:val="00A94A9C"/>
    <w:rsid w:val="00A954B3"/>
    <w:rsid w:val="00A958CC"/>
    <w:rsid w:val="00A95A88"/>
    <w:rsid w:val="00A95F20"/>
    <w:rsid w:val="00A96298"/>
    <w:rsid w:val="00A9683D"/>
    <w:rsid w:val="00A96B51"/>
    <w:rsid w:val="00A97053"/>
    <w:rsid w:val="00A975AA"/>
    <w:rsid w:val="00A979B9"/>
    <w:rsid w:val="00A97C45"/>
    <w:rsid w:val="00A97C71"/>
    <w:rsid w:val="00A97E13"/>
    <w:rsid w:val="00AA043F"/>
    <w:rsid w:val="00AA04D7"/>
    <w:rsid w:val="00AA04D9"/>
    <w:rsid w:val="00AA0576"/>
    <w:rsid w:val="00AA070D"/>
    <w:rsid w:val="00AA0C56"/>
    <w:rsid w:val="00AA0C6F"/>
    <w:rsid w:val="00AA0E68"/>
    <w:rsid w:val="00AA0EB1"/>
    <w:rsid w:val="00AA19B7"/>
    <w:rsid w:val="00AA1AD4"/>
    <w:rsid w:val="00AA1DED"/>
    <w:rsid w:val="00AA207E"/>
    <w:rsid w:val="00AA26D8"/>
    <w:rsid w:val="00AA31C2"/>
    <w:rsid w:val="00AA39A3"/>
    <w:rsid w:val="00AA3B2B"/>
    <w:rsid w:val="00AA3F1C"/>
    <w:rsid w:val="00AA453D"/>
    <w:rsid w:val="00AA4ABD"/>
    <w:rsid w:val="00AA4D33"/>
    <w:rsid w:val="00AA4DA8"/>
    <w:rsid w:val="00AA4DB3"/>
    <w:rsid w:val="00AA5257"/>
    <w:rsid w:val="00AA55F1"/>
    <w:rsid w:val="00AA5847"/>
    <w:rsid w:val="00AA5B35"/>
    <w:rsid w:val="00AA622C"/>
    <w:rsid w:val="00AA6394"/>
    <w:rsid w:val="00AA6451"/>
    <w:rsid w:val="00AA6A03"/>
    <w:rsid w:val="00AA6BC1"/>
    <w:rsid w:val="00AA6E17"/>
    <w:rsid w:val="00AA7021"/>
    <w:rsid w:val="00AA7097"/>
    <w:rsid w:val="00AA7330"/>
    <w:rsid w:val="00AA7573"/>
    <w:rsid w:val="00AA770B"/>
    <w:rsid w:val="00AA7910"/>
    <w:rsid w:val="00AA7A92"/>
    <w:rsid w:val="00AA7B72"/>
    <w:rsid w:val="00AA7C10"/>
    <w:rsid w:val="00AA7C1B"/>
    <w:rsid w:val="00AA7DE6"/>
    <w:rsid w:val="00AA7E0F"/>
    <w:rsid w:val="00AA7F7A"/>
    <w:rsid w:val="00AB01EB"/>
    <w:rsid w:val="00AB0579"/>
    <w:rsid w:val="00AB0CEF"/>
    <w:rsid w:val="00AB1D19"/>
    <w:rsid w:val="00AB1DE9"/>
    <w:rsid w:val="00AB2555"/>
    <w:rsid w:val="00AB2A50"/>
    <w:rsid w:val="00AB2AA9"/>
    <w:rsid w:val="00AB2C86"/>
    <w:rsid w:val="00AB2EF2"/>
    <w:rsid w:val="00AB31EF"/>
    <w:rsid w:val="00AB35E0"/>
    <w:rsid w:val="00AB364C"/>
    <w:rsid w:val="00AB36EA"/>
    <w:rsid w:val="00AB3C36"/>
    <w:rsid w:val="00AB3F3F"/>
    <w:rsid w:val="00AB3FA3"/>
    <w:rsid w:val="00AB41CB"/>
    <w:rsid w:val="00AB4710"/>
    <w:rsid w:val="00AB489E"/>
    <w:rsid w:val="00AB4C0E"/>
    <w:rsid w:val="00AB4E2D"/>
    <w:rsid w:val="00AB4E77"/>
    <w:rsid w:val="00AB628F"/>
    <w:rsid w:val="00AB6722"/>
    <w:rsid w:val="00AB682A"/>
    <w:rsid w:val="00AB7253"/>
    <w:rsid w:val="00AB74D7"/>
    <w:rsid w:val="00AB7932"/>
    <w:rsid w:val="00AB7974"/>
    <w:rsid w:val="00AB79A7"/>
    <w:rsid w:val="00AC0126"/>
    <w:rsid w:val="00AC01B0"/>
    <w:rsid w:val="00AC02C9"/>
    <w:rsid w:val="00AC02FE"/>
    <w:rsid w:val="00AC0341"/>
    <w:rsid w:val="00AC03C0"/>
    <w:rsid w:val="00AC0678"/>
    <w:rsid w:val="00AC0A6E"/>
    <w:rsid w:val="00AC0B1F"/>
    <w:rsid w:val="00AC0D8D"/>
    <w:rsid w:val="00AC0EF2"/>
    <w:rsid w:val="00AC10ED"/>
    <w:rsid w:val="00AC21C9"/>
    <w:rsid w:val="00AC2240"/>
    <w:rsid w:val="00AC258E"/>
    <w:rsid w:val="00AC2664"/>
    <w:rsid w:val="00AC2C0D"/>
    <w:rsid w:val="00AC3A2C"/>
    <w:rsid w:val="00AC3AFF"/>
    <w:rsid w:val="00AC3CC0"/>
    <w:rsid w:val="00AC3E66"/>
    <w:rsid w:val="00AC3EF5"/>
    <w:rsid w:val="00AC42D8"/>
    <w:rsid w:val="00AC49DE"/>
    <w:rsid w:val="00AC4AEA"/>
    <w:rsid w:val="00AC4D4F"/>
    <w:rsid w:val="00AC5222"/>
    <w:rsid w:val="00AC5824"/>
    <w:rsid w:val="00AC5BBF"/>
    <w:rsid w:val="00AC5BF4"/>
    <w:rsid w:val="00AC5CB5"/>
    <w:rsid w:val="00AC6053"/>
    <w:rsid w:val="00AC624F"/>
    <w:rsid w:val="00AC629A"/>
    <w:rsid w:val="00AC6862"/>
    <w:rsid w:val="00AC6AF9"/>
    <w:rsid w:val="00AC6D91"/>
    <w:rsid w:val="00AC6F25"/>
    <w:rsid w:val="00AC7514"/>
    <w:rsid w:val="00AC7B17"/>
    <w:rsid w:val="00AC7C29"/>
    <w:rsid w:val="00AD0066"/>
    <w:rsid w:val="00AD045F"/>
    <w:rsid w:val="00AD06CF"/>
    <w:rsid w:val="00AD06F5"/>
    <w:rsid w:val="00AD1677"/>
    <w:rsid w:val="00AD1757"/>
    <w:rsid w:val="00AD18DA"/>
    <w:rsid w:val="00AD18F6"/>
    <w:rsid w:val="00AD1AE6"/>
    <w:rsid w:val="00AD22E2"/>
    <w:rsid w:val="00AD25A2"/>
    <w:rsid w:val="00AD3313"/>
    <w:rsid w:val="00AD35B9"/>
    <w:rsid w:val="00AD3EC7"/>
    <w:rsid w:val="00AD4046"/>
    <w:rsid w:val="00AD456A"/>
    <w:rsid w:val="00AD5062"/>
    <w:rsid w:val="00AD50B8"/>
    <w:rsid w:val="00AD573D"/>
    <w:rsid w:val="00AD59BA"/>
    <w:rsid w:val="00AD5CFC"/>
    <w:rsid w:val="00AD60F4"/>
    <w:rsid w:val="00AD6F06"/>
    <w:rsid w:val="00AD7302"/>
    <w:rsid w:val="00AD74E2"/>
    <w:rsid w:val="00AD7A3C"/>
    <w:rsid w:val="00AD7DE4"/>
    <w:rsid w:val="00AE08B7"/>
    <w:rsid w:val="00AE0F7C"/>
    <w:rsid w:val="00AE10F8"/>
    <w:rsid w:val="00AE121A"/>
    <w:rsid w:val="00AE1751"/>
    <w:rsid w:val="00AE17E5"/>
    <w:rsid w:val="00AE1931"/>
    <w:rsid w:val="00AE19F7"/>
    <w:rsid w:val="00AE1A94"/>
    <w:rsid w:val="00AE1AFE"/>
    <w:rsid w:val="00AE1C66"/>
    <w:rsid w:val="00AE1DF3"/>
    <w:rsid w:val="00AE1EA2"/>
    <w:rsid w:val="00AE1F8A"/>
    <w:rsid w:val="00AE1FD1"/>
    <w:rsid w:val="00AE249C"/>
    <w:rsid w:val="00AE24E7"/>
    <w:rsid w:val="00AE2642"/>
    <w:rsid w:val="00AE26FC"/>
    <w:rsid w:val="00AE2AB9"/>
    <w:rsid w:val="00AE33A7"/>
    <w:rsid w:val="00AE3542"/>
    <w:rsid w:val="00AE35DF"/>
    <w:rsid w:val="00AE37CB"/>
    <w:rsid w:val="00AE38CC"/>
    <w:rsid w:val="00AE3A46"/>
    <w:rsid w:val="00AE3BCD"/>
    <w:rsid w:val="00AE3C3D"/>
    <w:rsid w:val="00AE41A8"/>
    <w:rsid w:val="00AE43BE"/>
    <w:rsid w:val="00AE4DAF"/>
    <w:rsid w:val="00AE4E4D"/>
    <w:rsid w:val="00AE5131"/>
    <w:rsid w:val="00AE5683"/>
    <w:rsid w:val="00AE5897"/>
    <w:rsid w:val="00AE5941"/>
    <w:rsid w:val="00AE5AAF"/>
    <w:rsid w:val="00AE5BE7"/>
    <w:rsid w:val="00AE5CAC"/>
    <w:rsid w:val="00AE5DAC"/>
    <w:rsid w:val="00AE60BA"/>
    <w:rsid w:val="00AE60DF"/>
    <w:rsid w:val="00AE631A"/>
    <w:rsid w:val="00AE6386"/>
    <w:rsid w:val="00AE7847"/>
    <w:rsid w:val="00AE7B6B"/>
    <w:rsid w:val="00AF0243"/>
    <w:rsid w:val="00AF0418"/>
    <w:rsid w:val="00AF05A6"/>
    <w:rsid w:val="00AF114B"/>
    <w:rsid w:val="00AF1359"/>
    <w:rsid w:val="00AF161A"/>
    <w:rsid w:val="00AF199C"/>
    <w:rsid w:val="00AF1B8F"/>
    <w:rsid w:val="00AF1E01"/>
    <w:rsid w:val="00AF1F31"/>
    <w:rsid w:val="00AF276C"/>
    <w:rsid w:val="00AF2990"/>
    <w:rsid w:val="00AF33F8"/>
    <w:rsid w:val="00AF3CA1"/>
    <w:rsid w:val="00AF3DF0"/>
    <w:rsid w:val="00AF4739"/>
    <w:rsid w:val="00AF48A9"/>
    <w:rsid w:val="00AF4990"/>
    <w:rsid w:val="00AF4EB8"/>
    <w:rsid w:val="00AF5562"/>
    <w:rsid w:val="00AF566D"/>
    <w:rsid w:val="00AF6188"/>
    <w:rsid w:val="00AF651E"/>
    <w:rsid w:val="00AF6E42"/>
    <w:rsid w:val="00AF707B"/>
    <w:rsid w:val="00AF7A8D"/>
    <w:rsid w:val="00AF7BE2"/>
    <w:rsid w:val="00AF7C24"/>
    <w:rsid w:val="00AF7D3F"/>
    <w:rsid w:val="00AF7F28"/>
    <w:rsid w:val="00B001B6"/>
    <w:rsid w:val="00B0072B"/>
    <w:rsid w:val="00B00A07"/>
    <w:rsid w:val="00B00B26"/>
    <w:rsid w:val="00B00CE4"/>
    <w:rsid w:val="00B00F9E"/>
    <w:rsid w:val="00B011D7"/>
    <w:rsid w:val="00B011F1"/>
    <w:rsid w:val="00B01299"/>
    <w:rsid w:val="00B020B7"/>
    <w:rsid w:val="00B026FA"/>
    <w:rsid w:val="00B0273F"/>
    <w:rsid w:val="00B02ADA"/>
    <w:rsid w:val="00B02E6E"/>
    <w:rsid w:val="00B02ED5"/>
    <w:rsid w:val="00B03627"/>
    <w:rsid w:val="00B039D2"/>
    <w:rsid w:val="00B03A04"/>
    <w:rsid w:val="00B03AB8"/>
    <w:rsid w:val="00B03D25"/>
    <w:rsid w:val="00B04049"/>
    <w:rsid w:val="00B040AF"/>
    <w:rsid w:val="00B049D4"/>
    <w:rsid w:val="00B05091"/>
    <w:rsid w:val="00B0523A"/>
    <w:rsid w:val="00B052ED"/>
    <w:rsid w:val="00B05680"/>
    <w:rsid w:val="00B05701"/>
    <w:rsid w:val="00B05DFE"/>
    <w:rsid w:val="00B05F69"/>
    <w:rsid w:val="00B0601E"/>
    <w:rsid w:val="00B06460"/>
    <w:rsid w:val="00B068F7"/>
    <w:rsid w:val="00B06A67"/>
    <w:rsid w:val="00B06B7C"/>
    <w:rsid w:val="00B06D56"/>
    <w:rsid w:val="00B06EDB"/>
    <w:rsid w:val="00B0710A"/>
    <w:rsid w:val="00B07145"/>
    <w:rsid w:val="00B0723D"/>
    <w:rsid w:val="00B0797F"/>
    <w:rsid w:val="00B07D1D"/>
    <w:rsid w:val="00B10520"/>
    <w:rsid w:val="00B107B0"/>
    <w:rsid w:val="00B107D6"/>
    <w:rsid w:val="00B10889"/>
    <w:rsid w:val="00B10986"/>
    <w:rsid w:val="00B10C85"/>
    <w:rsid w:val="00B11033"/>
    <w:rsid w:val="00B113BD"/>
    <w:rsid w:val="00B113CA"/>
    <w:rsid w:val="00B11AF7"/>
    <w:rsid w:val="00B11B09"/>
    <w:rsid w:val="00B11DDF"/>
    <w:rsid w:val="00B11E0C"/>
    <w:rsid w:val="00B11FC0"/>
    <w:rsid w:val="00B14585"/>
    <w:rsid w:val="00B145B0"/>
    <w:rsid w:val="00B148F3"/>
    <w:rsid w:val="00B14A7C"/>
    <w:rsid w:val="00B14BAA"/>
    <w:rsid w:val="00B14BFD"/>
    <w:rsid w:val="00B14C52"/>
    <w:rsid w:val="00B14F21"/>
    <w:rsid w:val="00B1561A"/>
    <w:rsid w:val="00B15B7A"/>
    <w:rsid w:val="00B16028"/>
    <w:rsid w:val="00B16141"/>
    <w:rsid w:val="00B161E5"/>
    <w:rsid w:val="00B162B2"/>
    <w:rsid w:val="00B1680D"/>
    <w:rsid w:val="00B168AF"/>
    <w:rsid w:val="00B168E7"/>
    <w:rsid w:val="00B16DCE"/>
    <w:rsid w:val="00B16E84"/>
    <w:rsid w:val="00B17113"/>
    <w:rsid w:val="00B171F7"/>
    <w:rsid w:val="00B17372"/>
    <w:rsid w:val="00B1766F"/>
    <w:rsid w:val="00B17D20"/>
    <w:rsid w:val="00B20584"/>
    <w:rsid w:val="00B20928"/>
    <w:rsid w:val="00B20BF6"/>
    <w:rsid w:val="00B20C18"/>
    <w:rsid w:val="00B2138E"/>
    <w:rsid w:val="00B226E3"/>
    <w:rsid w:val="00B227C3"/>
    <w:rsid w:val="00B228D3"/>
    <w:rsid w:val="00B234C4"/>
    <w:rsid w:val="00B2357E"/>
    <w:rsid w:val="00B236DE"/>
    <w:rsid w:val="00B23991"/>
    <w:rsid w:val="00B24F02"/>
    <w:rsid w:val="00B250B2"/>
    <w:rsid w:val="00B25263"/>
    <w:rsid w:val="00B25570"/>
    <w:rsid w:val="00B25981"/>
    <w:rsid w:val="00B25E29"/>
    <w:rsid w:val="00B26120"/>
    <w:rsid w:val="00B2700A"/>
    <w:rsid w:val="00B27464"/>
    <w:rsid w:val="00B275EE"/>
    <w:rsid w:val="00B2781B"/>
    <w:rsid w:val="00B2786D"/>
    <w:rsid w:val="00B27B57"/>
    <w:rsid w:val="00B301C5"/>
    <w:rsid w:val="00B301E9"/>
    <w:rsid w:val="00B305C4"/>
    <w:rsid w:val="00B3086D"/>
    <w:rsid w:val="00B30A1F"/>
    <w:rsid w:val="00B31041"/>
    <w:rsid w:val="00B31088"/>
    <w:rsid w:val="00B310C4"/>
    <w:rsid w:val="00B31548"/>
    <w:rsid w:val="00B315CA"/>
    <w:rsid w:val="00B315E7"/>
    <w:rsid w:val="00B3181C"/>
    <w:rsid w:val="00B325E1"/>
    <w:rsid w:val="00B3270B"/>
    <w:rsid w:val="00B32D0B"/>
    <w:rsid w:val="00B33634"/>
    <w:rsid w:val="00B33795"/>
    <w:rsid w:val="00B33922"/>
    <w:rsid w:val="00B33AAC"/>
    <w:rsid w:val="00B33BD0"/>
    <w:rsid w:val="00B340C2"/>
    <w:rsid w:val="00B34471"/>
    <w:rsid w:val="00B34BB6"/>
    <w:rsid w:val="00B3512C"/>
    <w:rsid w:val="00B353E0"/>
    <w:rsid w:val="00B357CC"/>
    <w:rsid w:val="00B360BB"/>
    <w:rsid w:val="00B361AA"/>
    <w:rsid w:val="00B36262"/>
    <w:rsid w:val="00B362CE"/>
    <w:rsid w:val="00B3631C"/>
    <w:rsid w:val="00B363DB"/>
    <w:rsid w:val="00B36E23"/>
    <w:rsid w:val="00B36F41"/>
    <w:rsid w:val="00B3705B"/>
    <w:rsid w:val="00B3727C"/>
    <w:rsid w:val="00B4044A"/>
    <w:rsid w:val="00B4046B"/>
    <w:rsid w:val="00B40661"/>
    <w:rsid w:val="00B40D14"/>
    <w:rsid w:val="00B40D50"/>
    <w:rsid w:val="00B40EB4"/>
    <w:rsid w:val="00B410BE"/>
    <w:rsid w:val="00B411A6"/>
    <w:rsid w:val="00B411B3"/>
    <w:rsid w:val="00B413C8"/>
    <w:rsid w:val="00B4162A"/>
    <w:rsid w:val="00B4175B"/>
    <w:rsid w:val="00B417A2"/>
    <w:rsid w:val="00B41D1A"/>
    <w:rsid w:val="00B42045"/>
    <w:rsid w:val="00B421BB"/>
    <w:rsid w:val="00B422FA"/>
    <w:rsid w:val="00B42BF3"/>
    <w:rsid w:val="00B42CDE"/>
    <w:rsid w:val="00B42D27"/>
    <w:rsid w:val="00B4363D"/>
    <w:rsid w:val="00B4369E"/>
    <w:rsid w:val="00B43C9D"/>
    <w:rsid w:val="00B43CBE"/>
    <w:rsid w:val="00B4448C"/>
    <w:rsid w:val="00B44576"/>
    <w:rsid w:val="00B4466F"/>
    <w:rsid w:val="00B4481B"/>
    <w:rsid w:val="00B44E9F"/>
    <w:rsid w:val="00B44FCF"/>
    <w:rsid w:val="00B45D87"/>
    <w:rsid w:val="00B462CF"/>
    <w:rsid w:val="00B4653F"/>
    <w:rsid w:val="00B4672E"/>
    <w:rsid w:val="00B467C8"/>
    <w:rsid w:val="00B46851"/>
    <w:rsid w:val="00B46BEE"/>
    <w:rsid w:val="00B46CAD"/>
    <w:rsid w:val="00B46EF4"/>
    <w:rsid w:val="00B4746D"/>
    <w:rsid w:val="00B47789"/>
    <w:rsid w:val="00B478D9"/>
    <w:rsid w:val="00B5004F"/>
    <w:rsid w:val="00B503E9"/>
    <w:rsid w:val="00B50425"/>
    <w:rsid w:val="00B50BA0"/>
    <w:rsid w:val="00B50C38"/>
    <w:rsid w:val="00B50F95"/>
    <w:rsid w:val="00B51673"/>
    <w:rsid w:val="00B519B8"/>
    <w:rsid w:val="00B51B1F"/>
    <w:rsid w:val="00B51BD2"/>
    <w:rsid w:val="00B52361"/>
    <w:rsid w:val="00B52E26"/>
    <w:rsid w:val="00B52E82"/>
    <w:rsid w:val="00B530B9"/>
    <w:rsid w:val="00B53422"/>
    <w:rsid w:val="00B5379D"/>
    <w:rsid w:val="00B53835"/>
    <w:rsid w:val="00B539AA"/>
    <w:rsid w:val="00B53B0A"/>
    <w:rsid w:val="00B53C81"/>
    <w:rsid w:val="00B53D67"/>
    <w:rsid w:val="00B53FEF"/>
    <w:rsid w:val="00B540BC"/>
    <w:rsid w:val="00B54308"/>
    <w:rsid w:val="00B5478F"/>
    <w:rsid w:val="00B54819"/>
    <w:rsid w:val="00B54934"/>
    <w:rsid w:val="00B554A6"/>
    <w:rsid w:val="00B554C1"/>
    <w:rsid w:val="00B55D22"/>
    <w:rsid w:val="00B55D4B"/>
    <w:rsid w:val="00B560CA"/>
    <w:rsid w:val="00B5627E"/>
    <w:rsid w:val="00B5646E"/>
    <w:rsid w:val="00B566D0"/>
    <w:rsid w:val="00B567AB"/>
    <w:rsid w:val="00B568D6"/>
    <w:rsid w:val="00B56A5A"/>
    <w:rsid w:val="00B56AC1"/>
    <w:rsid w:val="00B56C13"/>
    <w:rsid w:val="00B56E26"/>
    <w:rsid w:val="00B57256"/>
    <w:rsid w:val="00B575B1"/>
    <w:rsid w:val="00B576EB"/>
    <w:rsid w:val="00B600BB"/>
    <w:rsid w:val="00B601DD"/>
    <w:rsid w:val="00B6035E"/>
    <w:rsid w:val="00B60447"/>
    <w:rsid w:val="00B60562"/>
    <w:rsid w:val="00B607BE"/>
    <w:rsid w:val="00B60B5C"/>
    <w:rsid w:val="00B61156"/>
    <w:rsid w:val="00B6152E"/>
    <w:rsid w:val="00B61909"/>
    <w:rsid w:val="00B61A39"/>
    <w:rsid w:val="00B61CB3"/>
    <w:rsid w:val="00B61DB1"/>
    <w:rsid w:val="00B61F5E"/>
    <w:rsid w:val="00B62543"/>
    <w:rsid w:val="00B62742"/>
    <w:rsid w:val="00B62872"/>
    <w:rsid w:val="00B62A50"/>
    <w:rsid w:val="00B62AAA"/>
    <w:rsid w:val="00B62ACF"/>
    <w:rsid w:val="00B62E07"/>
    <w:rsid w:val="00B63056"/>
    <w:rsid w:val="00B632C7"/>
    <w:rsid w:val="00B634F2"/>
    <w:rsid w:val="00B6375C"/>
    <w:rsid w:val="00B63825"/>
    <w:rsid w:val="00B63E44"/>
    <w:rsid w:val="00B63E4C"/>
    <w:rsid w:val="00B64284"/>
    <w:rsid w:val="00B6441B"/>
    <w:rsid w:val="00B645CF"/>
    <w:rsid w:val="00B645F1"/>
    <w:rsid w:val="00B64792"/>
    <w:rsid w:val="00B64B01"/>
    <w:rsid w:val="00B64C2A"/>
    <w:rsid w:val="00B6518D"/>
    <w:rsid w:val="00B65A3F"/>
    <w:rsid w:val="00B660C3"/>
    <w:rsid w:val="00B66132"/>
    <w:rsid w:val="00B66B33"/>
    <w:rsid w:val="00B67996"/>
    <w:rsid w:val="00B67A91"/>
    <w:rsid w:val="00B67DC0"/>
    <w:rsid w:val="00B702D3"/>
    <w:rsid w:val="00B70475"/>
    <w:rsid w:val="00B70479"/>
    <w:rsid w:val="00B70689"/>
    <w:rsid w:val="00B70915"/>
    <w:rsid w:val="00B70C9F"/>
    <w:rsid w:val="00B712C2"/>
    <w:rsid w:val="00B7156A"/>
    <w:rsid w:val="00B71779"/>
    <w:rsid w:val="00B7178D"/>
    <w:rsid w:val="00B71E81"/>
    <w:rsid w:val="00B7238D"/>
    <w:rsid w:val="00B7245E"/>
    <w:rsid w:val="00B72743"/>
    <w:rsid w:val="00B72B25"/>
    <w:rsid w:val="00B7317B"/>
    <w:rsid w:val="00B73D26"/>
    <w:rsid w:val="00B7406C"/>
    <w:rsid w:val="00B744F7"/>
    <w:rsid w:val="00B7465A"/>
    <w:rsid w:val="00B74858"/>
    <w:rsid w:val="00B74DB6"/>
    <w:rsid w:val="00B75122"/>
    <w:rsid w:val="00B75729"/>
    <w:rsid w:val="00B75740"/>
    <w:rsid w:val="00B760AE"/>
    <w:rsid w:val="00B7621E"/>
    <w:rsid w:val="00B76D5A"/>
    <w:rsid w:val="00B76EA8"/>
    <w:rsid w:val="00B77744"/>
    <w:rsid w:val="00B77DA6"/>
    <w:rsid w:val="00B77F88"/>
    <w:rsid w:val="00B77FE3"/>
    <w:rsid w:val="00B80208"/>
    <w:rsid w:val="00B80704"/>
    <w:rsid w:val="00B80C2A"/>
    <w:rsid w:val="00B80C33"/>
    <w:rsid w:val="00B80D30"/>
    <w:rsid w:val="00B80D7B"/>
    <w:rsid w:val="00B80EE9"/>
    <w:rsid w:val="00B80F9C"/>
    <w:rsid w:val="00B8101C"/>
    <w:rsid w:val="00B8121B"/>
    <w:rsid w:val="00B812AC"/>
    <w:rsid w:val="00B8192E"/>
    <w:rsid w:val="00B81E2A"/>
    <w:rsid w:val="00B81E4F"/>
    <w:rsid w:val="00B828A3"/>
    <w:rsid w:val="00B82AFA"/>
    <w:rsid w:val="00B82CB6"/>
    <w:rsid w:val="00B82E2E"/>
    <w:rsid w:val="00B8346D"/>
    <w:rsid w:val="00B834AC"/>
    <w:rsid w:val="00B83AD7"/>
    <w:rsid w:val="00B83EA9"/>
    <w:rsid w:val="00B84055"/>
    <w:rsid w:val="00B84151"/>
    <w:rsid w:val="00B84766"/>
    <w:rsid w:val="00B84FCB"/>
    <w:rsid w:val="00B8513C"/>
    <w:rsid w:val="00B851CE"/>
    <w:rsid w:val="00B856CE"/>
    <w:rsid w:val="00B85C0E"/>
    <w:rsid w:val="00B86792"/>
    <w:rsid w:val="00B867F3"/>
    <w:rsid w:val="00B86A3E"/>
    <w:rsid w:val="00B86B0C"/>
    <w:rsid w:val="00B86E7A"/>
    <w:rsid w:val="00B8755F"/>
    <w:rsid w:val="00B87619"/>
    <w:rsid w:val="00B87665"/>
    <w:rsid w:val="00B876DD"/>
    <w:rsid w:val="00B8782C"/>
    <w:rsid w:val="00B879BD"/>
    <w:rsid w:val="00B87B59"/>
    <w:rsid w:val="00B90635"/>
    <w:rsid w:val="00B90801"/>
    <w:rsid w:val="00B90BFC"/>
    <w:rsid w:val="00B90CCD"/>
    <w:rsid w:val="00B90D03"/>
    <w:rsid w:val="00B910D9"/>
    <w:rsid w:val="00B911AB"/>
    <w:rsid w:val="00B91603"/>
    <w:rsid w:val="00B9188F"/>
    <w:rsid w:val="00B91DE3"/>
    <w:rsid w:val="00B91F86"/>
    <w:rsid w:val="00B9205E"/>
    <w:rsid w:val="00B922FC"/>
    <w:rsid w:val="00B9252C"/>
    <w:rsid w:val="00B930A3"/>
    <w:rsid w:val="00B9321F"/>
    <w:rsid w:val="00B938ED"/>
    <w:rsid w:val="00B93A87"/>
    <w:rsid w:val="00B93CFF"/>
    <w:rsid w:val="00B93E4C"/>
    <w:rsid w:val="00B93F23"/>
    <w:rsid w:val="00B94244"/>
    <w:rsid w:val="00B9431C"/>
    <w:rsid w:val="00B94334"/>
    <w:rsid w:val="00B94BD6"/>
    <w:rsid w:val="00B951A3"/>
    <w:rsid w:val="00B95592"/>
    <w:rsid w:val="00B958C1"/>
    <w:rsid w:val="00B95B68"/>
    <w:rsid w:val="00B9635E"/>
    <w:rsid w:val="00B964FB"/>
    <w:rsid w:val="00B966DA"/>
    <w:rsid w:val="00B970A4"/>
    <w:rsid w:val="00B97112"/>
    <w:rsid w:val="00B97925"/>
    <w:rsid w:val="00BA071C"/>
    <w:rsid w:val="00BA0A46"/>
    <w:rsid w:val="00BA0AB2"/>
    <w:rsid w:val="00BA1002"/>
    <w:rsid w:val="00BA160E"/>
    <w:rsid w:val="00BA1A7F"/>
    <w:rsid w:val="00BA1BB5"/>
    <w:rsid w:val="00BA1BC7"/>
    <w:rsid w:val="00BA1ECA"/>
    <w:rsid w:val="00BA273E"/>
    <w:rsid w:val="00BA2B93"/>
    <w:rsid w:val="00BA3581"/>
    <w:rsid w:val="00BA3B8E"/>
    <w:rsid w:val="00BA4381"/>
    <w:rsid w:val="00BA451F"/>
    <w:rsid w:val="00BA45A6"/>
    <w:rsid w:val="00BA4B59"/>
    <w:rsid w:val="00BA537D"/>
    <w:rsid w:val="00BA6373"/>
    <w:rsid w:val="00BA6661"/>
    <w:rsid w:val="00BA68B1"/>
    <w:rsid w:val="00BA6991"/>
    <w:rsid w:val="00BA6CE7"/>
    <w:rsid w:val="00BA700A"/>
    <w:rsid w:val="00BA705B"/>
    <w:rsid w:val="00BA7082"/>
    <w:rsid w:val="00BA7A07"/>
    <w:rsid w:val="00BA7A20"/>
    <w:rsid w:val="00BA7B10"/>
    <w:rsid w:val="00BB00F8"/>
    <w:rsid w:val="00BB01E5"/>
    <w:rsid w:val="00BB1317"/>
    <w:rsid w:val="00BB141E"/>
    <w:rsid w:val="00BB1E47"/>
    <w:rsid w:val="00BB21CA"/>
    <w:rsid w:val="00BB258C"/>
    <w:rsid w:val="00BB25E2"/>
    <w:rsid w:val="00BB27D9"/>
    <w:rsid w:val="00BB282F"/>
    <w:rsid w:val="00BB32E7"/>
    <w:rsid w:val="00BB34F4"/>
    <w:rsid w:val="00BB3BBE"/>
    <w:rsid w:val="00BB4089"/>
    <w:rsid w:val="00BB4460"/>
    <w:rsid w:val="00BB4C4D"/>
    <w:rsid w:val="00BB50A0"/>
    <w:rsid w:val="00BB53B1"/>
    <w:rsid w:val="00BB55C8"/>
    <w:rsid w:val="00BB5736"/>
    <w:rsid w:val="00BB57D5"/>
    <w:rsid w:val="00BB5A97"/>
    <w:rsid w:val="00BB5D16"/>
    <w:rsid w:val="00BB5E95"/>
    <w:rsid w:val="00BB640B"/>
    <w:rsid w:val="00BB69BF"/>
    <w:rsid w:val="00BB6A75"/>
    <w:rsid w:val="00BB6D4D"/>
    <w:rsid w:val="00BB6DEA"/>
    <w:rsid w:val="00BB731D"/>
    <w:rsid w:val="00BB73EF"/>
    <w:rsid w:val="00BB7422"/>
    <w:rsid w:val="00BB76F8"/>
    <w:rsid w:val="00BB7707"/>
    <w:rsid w:val="00BB7B55"/>
    <w:rsid w:val="00BC0759"/>
    <w:rsid w:val="00BC12E3"/>
    <w:rsid w:val="00BC1651"/>
    <w:rsid w:val="00BC177E"/>
    <w:rsid w:val="00BC1CC0"/>
    <w:rsid w:val="00BC201D"/>
    <w:rsid w:val="00BC20A7"/>
    <w:rsid w:val="00BC2517"/>
    <w:rsid w:val="00BC260F"/>
    <w:rsid w:val="00BC2989"/>
    <w:rsid w:val="00BC2AB8"/>
    <w:rsid w:val="00BC2AF3"/>
    <w:rsid w:val="00BC2F41"/>
    <w:rsid w:val="00BC2FBB"/>
    <w:rsid w:val="00BC330E"/>
    <w:rsid w:val="00BC3319"/>
    <w:rsid w:val="00BC4045"/>
    <w:rsid w:val="00BC41B1"/>
    <w:rsid w:val="00BC44E3"/>
    <w:rsid w:val="00BC4965"/>
    <w:rsid w:val="00BC4AA3"/>
    <w:rsid w:val="00BC4EED"/>
    <w:rsid w:val="00BC529F"/>
    <w:rsid w:val="00BC5303"/>
    <w:rsid w:val="00BC5731"/>
    <w:rsid w:val="00BC58A6"/>
    <w:rsid w:val="00BC5BA8"/>
    <w:rsid w:val="00BC5C60"/>
    <w:rsid w:val="00BC5CAD"/>
    <w:rsid w:val="00BC6103"/>
    <w:rsid w:val="00BC6274"/>
    <w:rsid w:val="00BC656A"/>
    <w:rsid w:val="00BC65DE"/>
    <w:rsid w:val="00BC67E6"/>
    <w:rsid w:val="00BC6ED7"/>
    <w:rsid w:val="00BC7446"/>
    <w:rsid w:val="00BC76E9"/>
    <w:rsid w:val="00BC7D8D"/>
    <w:rsid w:val="00BD0431"/>
    <w:rsid w:val="00BD0491"/>
    <w:rsid w:val="00BD0520"/>
    <w:rsid w:val="00BD111E"/>
    <w:rsid w:val="00BD113C"/>
    <w:rsid w:val="00BD166B"/>
    <w:rsid w:val="00BD19D4"/>
    <w:rsid w:val="00BD1B39"/>
    <w:rsid w:val="00BD2853"/>
    <w:rsid w:val="00BD2B56"/>
    <w:rsid w:val="00BD2D2F"/>
    <w:rsid w:val="00BD2FF9"/>
    <w:rsid w:val="00BD35C7"/>
    <w:rsid w:val="00BD3BF0"/>
    <w:rsid w:val="00BD3E60"/>
    <w:rsid w:val="00BD440E"/>
    <w:rsid w:val="00BD4602"/>
    <w:rsid w:val="00BD4783"/>
    <w:rsid w:val="00BD48E3"/>
    <w:rsid w:val="00BD49AC"/>
    <w:rsid w:val="00BD4A6F"/>
    <w:rsid w:val="00BD4C8E"/>
    <w:rsid w:val="00BD4E6C"/>
    <w:rsid w:val="00BD4F6E"/>
    <w:rsid w:val="00BD5B1C"/>
    <w:rsid w:val="00BD607B"/>
    <w:rsid w:val="00BD61A4"/>
    <w:rsid w:val="00BD64BD"/>
    <w:rsid w:val="00BD6B4E"/>
    <w:rsid w:val="00BD6E79"/>
    <w:rsid w:val="00BD7392"/>
    <w:rsid w:val="00BD7A69"/>
    <w:rsid w:val="00BD7BA7"/>
    <w:rsid w:val="00BE0026"/>
    <w:rsid w:val="00BE008E"/>
    <w:rsid w:val="00BE05B6"/>
    <w:rsid w:val="00BE06D2"/>
    <w:rsid w:val="00BE0965"/>
    <w:rsid w:val="00BE0A64"/>
    <w:rsid w:val="00BE0C9E"/>
    <w:rsid w:val="00BE0F2D"/>
    <w:rsid w:val="00BE15A9"/>
    <w:rsid w:val="00BE16C7"/>
    <w:rsid w:val="00BE1B0C"/>
    <w:rsid w:val="00BE1BB3"/>
    <w:rsid w:val="00BE1C1B"/>
    <w:rsid w:val="00BE2307"/>
    <w:rsid w:val="00BE247B"/>
    <w:rsid w:val="00BE24CB"/>
    <w:rsid w:val="00BE251E"/>
    <w:rsid w:val="00BE28D0"/>
    <w:rsid w:val="00BE28DB"/>
    <w:rsid w:val="00BE2C02"/>
    <w:rsid w:val="00BE2DD2"/>
    <w:rsid w:val="00BE2F44"/>
    <w:rsid w:val="00BE334E"/>
    <w:rsid w:val="00BE3435"/>
    <w:rsid w:val="00BE34A2"/>
    <w:rsid w:val="00BE34EB"/>
    <w:rsid w:val="00BE3FB5"/>
    <w:rsid w:val="00BE4035"/>
    <w:rsid w:val="00BE40BA"/>
    <w:rsid w:val="00BE41F4"/>
    <w:rsid w:val="00BE4359"/>
    <w:rsid w:val="00BE49B6"/>
    <w:rsid w:val="00BE4BDE"/>
    <w:rsid w:val="00BE4F43"/>
    <w:rsid w:val="00BE518D"/>
    <w:rsid w:val="00BE6465"/>
    <w:rsid w:val="00BE6A24"/>
    <w:rsid w:val="00BE7153"/>
    <w:rsid w:val="00BE734B"/>
    <w:rsid w:val="00BF022A"/>
    <w:rsid w:val="00BF0337"/>
    <w:rsid w:val="00BF0341"/>
    <w:rsid w:val="00BF046B"/>
    <w:rsid w:val="00BF08DD"/>
    <w:rsid w:val="00BF12E8"/>
    <w:rsid w:val="00BF15BD"/>
    <w:rsid w:val="00BF167B"/>
    <w:rsid w:val="00BF1D03"/>
    <w:rsid w:val="00BF2113"/>
    <w:rsid w:val="00BF2233"/>
    <w:rsid w:val="00BF238F"/>
    <w:rsid w:val="00BF257E"/>
    <w:rsid w:val="00BF2686"/>
    <w:rsid w:val="00BF2A2B"/>
    <w:rsid w:val="00BF2AD9"/>
    <w:rsid w:val="00BF2CD3"/>
    <w:rsid w:val="00BF2F97"/>
    <w:rsid w:val="00BF34D9"/>
    <w:rsid w:val="00BF35BB"/>
    <w:rsid w:val="00BF3BBA"/>
    <w:rsid w:val="00BF4945"/>
    <w:rsid w:val="00BF4AD1"/>
    <w:rsid w:val="00BF4B48"/>
    <w:rsid w:val="00BF4F53"/>
    <w:rsid w:val="00BF52D8"/>
    <w:rsid w:val="00BF52F6"/>
    <w:rsid w:val="00BF54FE"/>
    <w:rsid w:val="00BF59C6"/>
    <w:rsid w:val="00BF5BA9"/>
    <w:rsid w:val="00BF5C3F"/>
    <w:rsid w:val="00BF5D1D"/>
    <w:rsid w:val="00BF5E78"/>
    <w:rsid w:val="00BF6447"/>
    <w:rsid w:val="00BF64F2"/>
    <w:rsid w:val="00BF666C"/>
    <w:rsid w:val="00BF6A53"/>
    <w:rsid w:val="00BF6C16"/>
    <w:rsid w:val="00BF6C19"/>
    <w:rsid w:val="00BF6E6A"/>
    <w:rsid w:val="00BF6FB7"/>
    <w:rsid w:val="00BF7439"/>
    <w:rsid w:val="00BF7C63"/>
    <w:rsid w:val="00BF7EA0"/>
    <w:rsid w:val="00C00409"/>
    <w:rsid w:val="00C006AC"/>
    <w:rsid w:val="00C009C3"/>
    <w:rsid w:val="00C00BB7"/>
    <w:rsid w:val="00C00E19"/>
    <w:rsid w:val="00C00E69"/>
    <w:rsid w:val="00C010F5"/>
    <w:rsid w:val="00C01989"/>
    <w:rsid w:val="00C01A08"/>
    <w:rsid w:val="00C01A2D"/>
    <w:rsid w:val="00C01B3B"/>
    <w:rsid w:val="00C02091"/>
    <w:rsid w:val="00C020B0"/>
    <w:rsid w:val="00C021C0"/>
    <w:rsid w:val="00C025C6"/>
    <w:rsid w:val="00C026C2"/>
    <w:rsid w:val="00C02FFC"/>
    <w:rsid w:val="00C0310A"/>
    <w:rsid w:val="00C0317E"/>
    <w:rsid w:val="00C03202"/>
    <w:rsid w:val="00C033A5"/>
    <w:rsid w:val="00C03E53"/>
    <w:rsid w:val="00C04192"/>
    <w:rsid w:val="00C043BF"/>
    <w:rsid w:val="00C044B3"/>
    <w:rsid w:val="00C04651"/>
    <w:rsid w:val="00C04824"/>
    <w:rsid w:val="00C04ACE"/>
    <w:rsid w:val="00C04D39"/>
    <w:rsid w:val="00C05CE6"/>
    <w:rsid w:val="00C06215"/>
    <w:rsid w:val="00C06339"/>
    <w:rsid w:val="00C06426"/>
    <w:rsid w:val="00C06B25"/>
    <w:rsid w:val="00C06E8E"/>
    <w:rsid w:val="00C071EF"/>
    <w:rsid w:val="00C075EE"/>
    <w:rsid w:val="00C07932"/>
    <w:rsid w:val="00C0797C"/>
    <w:rsid w:val="00C07ECA"/>
    <w:rsid w:val="00C104EE"/>
    <w:rsid w:val="00C105A9"/>
    <w:rsid w:val="00C105CB"/>
    <w:rsid w:val="00C106C8"/>
    <w:rsid w:val="00C1084F"/>
    <w:rsid w:val="00C10A53"/>
    <w:rsid w:val="00C10AC2"/>
    <w:rsid w:val="00C10F2F"/>
    <w:rsid w:val="00C11416"/>
    <w:rsid w:val="00C12148"/>
    <w:rsid w:val="00C12215"/>
    <w:rsid w:val="00C1264E"/>
    <w:rsid w:val="00C12985"/>
    <w:rsid w:val="00C12992"/>
    <w:rsid w:val="00C12AAF"/>
    <w:rsid w:val="00C12BC3"/>
    <w:rsid w:val="00C134D5"/>
    <w:rsid w:val="00C13542"/>
    <w:rsid w:val="00C1356F"/>
    <w:rsid w:val="00C139A7"/>
    <w:rsid w:val="00C13EF2"/>
    <w:rsid w:val="00C142DC"/>
    <w:rsid w:val="00C14405"/>
    <w:rsid w:val="00C145A2"/>
    <w:rsid w:val="00C146D1"/>
    <w:rsid w:val="00C14F11"/>
    <w:rsid w:val="00C152CB"/>
    <w:rsid w:val="00C15F24"/>
    <w:rsid w:val="00C16323"/>
    <w:rsid w:val="00C16469"/>
    <w:rsid w:val="00C16A5B"/>
    <w:rsid w:val="00C16FB9"/>
    <w:rsid w:val="00C17047"/>
    <w:rsid w:val="00C170A1"/>
    <w:rsid w:val="00C1729D"/>
    <w:rsid w:val="00C17345"/>
    <w:rsid w:val="00C17E93"/>
    <w:rsid w:val="00C2064A"/>
    <w:rsid w:val="00C2066E"/>
    <w:rsid w:val="00C20B50"/>
    <w:rsid w:val="00C20CF2"/>
    <w:rsid w:val="00C20D98"/>
    <w:rsid w:val="00C20F0C"/>
    <w:rsid w:val="00C21044"/>
    <w:rsid w:val="00C213D8"/>
    <w:rsid w:val="00C214DF"/>
    <w:rsid w:val="00C21926"/>
    <w:rsid w:val="00C21A0A"/>
    <w:rsid w:val="00C21AA4"/>
    <w:rsid w:val="00C222D8"/>
    <w:rsid w:val="00C22C0C"/>
    <w:rsid w:val="00C22CC1"/>
    <w:rsid w:val="00C22CDD"/>
    <w:rsid w:val="00C22F2B"/>
    <w:rsid w:val="00C23776"/>
    <w:rsid w:val="00C23A01"/>
    <w:rsid w:val="00C23B50"/>
    <w:rsid w:val="00C23B67"/>
    <w:rsid w:val="00C240F8"/>
    <w:rsid w:val="00C24295"/>
    <w:rsid w:val="00C242FC"/>
    <w:rsid w:val="00C247B0"/>
    <w:rsid w:val="00C25586"/>
    <w:rsid w:val="00C25E6E"/>
    <w:rsid w:val="00C25F99"/>
    <w:rsid w:val="00C261C6"/>
    <w:rsid w:val="00C2648A"/>
    <w:rsid w:val="00C26666"/>
    <w:rsid w:val="00C267A1"/>
    <w:rsid w:val="00C26A45"/>
    <w:rsid w:val="00C27208"/>
    <w:rsid w:val="00C27756"/>
    <w:rsid w:val="00C27846"/>
    <w:rsid w:val="00C278F7"/>
    <w:rsid w:val="00C27E2D"/>
    <w:rsid w:val="00C27F96"/>
    <w:rsid w:val="00C300EA"/>
    <w:rsid w:val="00C30106"/>
    <w:rsid w:val="00C30AD2"/>
    <w:rsid w:val="00C30AE1"/>
    <w:rsid w:val="00C30C5E"/>
    <w:rsid w:val="00C30DD2"/>
    <w:rsid w:val="00C3119B"/>
    <w:rsid w:val="00C31689"/>
    <w:rsid w:val="00C319D6"/>
    <w:rsid w:val="00C3204F"/>
    <w:rsid w:val="00C32471"/>
    <w:rsid w:val="00C326CD"/>
    <w:rsid w:val="00C327BD"/>
    <w:rsid w:val="00C32C0D"/>
    <w:rsid w:val="00C3305A"/>
    <w:rsid w:val="00C33353"/>
    <w:rsid w:val="00C33B13"/>
    <w:rsid w:val="00C33FBE"/>
    <w:rsid w:val="00C3440D"/>
    <w:rsid w:val="00C34489"/>
    <w:rsid w:val="00C3461E"/>
    <w:rsid w:val="00C34DB7"/>
    <w:rsid w:val="00C34DC5"/>
    <w:rsid w:val="00C34DCF"/>
    <w:rsid w:val="00C34EF9"/>
    <w:rsid w:val="00C34F7B"/>
    <w:rsid w:val="00C351B6"/>
    <w:rsid w:val="00C354FE"/>
    <w:rsid w:val="00C355B3"/>
    <w:rsid w:val="00C35866"/>
    <w:rsid w:val="00C358F8"/>
    <w:rsid w:val="00C3591C"/>
    <w:rsid w:val="00C35F77"/>
    <w:rsid w:val="00C36080"/>
    <w:rsid w:val="00C37026"/>
    <w:rsid w:val="00C3790A"/>
    <w:rsid w:val="00C37A49"/>
    <w:rsid w:val="00C37B1E"/>
    <w:rsid w:val="00C37C8C"/>
    <w:rsid w:val="00C37F96"/>
    <w:rsid w:val="00C40251"/>
    <w:rsid w:val="00C402DD"/>
    <w:rsid w:val="00C4044E"/>
    <w:rsid w:val="00C404A7"/>
    <w:rsid w:val="00C406F0"/>
    <w:rsid w:val="00C40815"/>
    <w:rsid w:val="00C40FC3"/>
    <w:rsid w:val="00C410AA"/>
    <w:rsid w:val="00C413ED"/>
    <w:rsid w:val="00C4148E"/>
    <w:rsid w:val="00C41990"/>
    <w:rsid w:val="00C41C3A"/>
    <w:rsid w:val="00C421DA"/>
    <w:rsid w:val="00C4233C"/>
    <w:rsid w:val="00C42543"/>
    <w:rsid w:val="00C429F4"/>
    <w:rsid w:val="00C42C17"/>
    <w:rsid w:val="00C42E30"/>
    <w:rsid w:val="00C4331C"/>
    <w:rsid w:val="00C433D2"/>
    <w:rsid w:val="00C4385C"/>
    <w:rsid w:val="00C44244"/>
    <w:rsid w:val="00C44BAC"/>
    <w:rsid w:val="00C44D76"/>
    <w:rsid w:val="00C44DB3"/>
    <w:rsid w:val="00C45739"/>
    <w:rsid w:val="00C4585F"/>
    <w:rsid w:val="00C458C7"/>
    <w:rsid w:val="00C45C59"/>
    <w:rsid w:val="00C45CA5"/>
    <w:rsid w:val="00C45E3A"/>
    <w:rsid w:val="00C45F9A"/>
    <w:rsid w:val="00C461E7"/>
    <w:rsid w:val="00C4627B"/>
    <w:rsid w:val="00C4661A"/>
    <w:rsid w:val="00C46BDD"/>
    <w:rsid w:val="00C46FAE"/>
    <w:rsid w:val="00C473A4"/>
    <w:rsid w:val="00C4785D"/>
    <w:rsid w:val="00C47950"/>
    <w:rsid w:val="00C50486"/>
    <w:rsid w:val="00C50492"/>
    <w:rsid w:val="00C50569"/>
    <w:rsid w:val="00C506A9"/>
    <w:rsid w:val="00C506DD"/>
    <w:rsid w:val="00C506F8"/>
    <w:rsid w:val="00C50D24"/>
    <w:rsid w:val="00C5128D"/>
    <w:rsid w:val="00C513B4"/>
    <w:rsid w:val="00C51E99"/>
    <w:rsid w:val="00C52A27"/>
    <w:rsid w:val="00C52B63"/>
    <w:rsid w:val="00C52DAD"/>
    <w:rsid w:val="00C5309F"/>
    <w:rsid w:val="00C53208"/>
    <w:rsid w:val="00C535D8"/>
    <w:rsid w:val="00C538F2"/>
    <w:rsid w:val="00C53A6A"/>
    <w:rsid w:val="00C53E9D"/>
    <w:rsid w:val="00C54140"/>
    <w:rsid w:val="00C541C2"/>
    <w:rsid w:val="00C543F1"/>
    <w:rsid w:val="00C54480"/>
    <w:rsid w:val="00C546C4"/>
    <w:rsid w:val="00C550A1"/>
    <w:rsid w:val="00C551FB"/>
    <w:rsid w:val="00C554D5"/>
    <w:rsid w:val="00C5604D"/>
    <w:rsid w:val="00C5678F"/>
    <w:rsid w:val="00C567CA"/>
    <w:rsid w:val="00C56995"/>
    <w:rsid w:val="00C56BB6"/>
    <w:rsid w:val="00C56E84"/>
    <w:rsid w:val="00C570D4"/>
    <w:rsid w:val="00C576D6"/>
    <w:rsid w:val="00C57A44"/>
    <w:rsid w:val="00C57D2B"/>
    <w:rsid w:val="00C57F28"/>
    <w:rsid w:val="00C603FD"/>
    <w:rsid w:val="00C60BFB"/>
    <w:rsid w:val="00C60DD9"/>
    <w:rsid w:val="00C60F83"/>
    <w:rsid w:val="00C61170"/>
    <w:rsid w:val="00C61410"/>
    <w:rsid w:val="00C618BD"/>
    <w:rsid w:val="00C61981"/>
    <w:rsid w:val="00C61B7B"/>
    <w:rsid w:val="00C61C7F"/>
    <w:rsid w:val="00C61CA1"/>
    <w:rsid w:val="00C61D39"/>
    <w:rsid w:val="00C61E7D"/>
    <w:rsid w:val="00C61EC4"/>
    <w:rsid w:val="00C626E5"/>
    <w:rsid w:val="00C62F82"/>
    <w:rsid w:val="00C635B5"/>
    <w:rsid w:val="00C63675"/>
    <w:rsid w:val="00C636EC"/>
    <w:rsid w:val="00C637B1"/>
    <w:rsid w:val="00C63E2E"/>
    <w:rsid w:val="00C64866"/>
    <w:rsid w:val="00C649E8"/>
    <w:rsid w:val="00C64EB4"/>
    <w:rsid w:val="00C64FD1"/>
    <w:rsid w:val="00C65339"/>
    <w:rsid w:val="00C65489"/>
    <w:rsid w:val="00C65593"/>
    <w:rsid w:val="00C65705"/>
    <w:rsid w:val="00C65C3A"/>
    <w:rsid w:val="00C66161"/>
    <w:rsid w:val="00C666DA"/>
    <w:rsid w:val="00C675E0"/>
    <w:rsid w:val="00C6775E"/>
    <w:rsid w:val="00C677F8"/>
    <w:rsid w:val="00C67BAA"/>
    <w:rsid w:val="00C67D87"/>
    <w:rsid w:val="00C700FA"/>
    <w:rsid w:val="00C7046E"/>
    <w:rsid w:val="00C714A2"/>
    <w:rsid w:val="00C71EC0"/>
    <w:rsid w:val="00C71ECC"/>
    <w:rsid w:val="00C71F27"/>
    <w:rsid w:val="00C72113"/>
    <w:rsid w:val="00C7341C"/>
    <w:rsid w:val="00C73666"/>
    <w:rsid w:val="00C740F9"/>
    <w:rsid w:val="00C744E5"/>
    <w:rsid w:val="00C746EB"/>
    <w:rsid w:val="00C747F2"/>
    <w:rsid w:val="00C7486F"/>
    <w:rsid w:val="00C74961"/>
    <w:rsid w:val="00C76044"/>
    <w:rsid w:val="00C76B7A"/>
    <w:rsid w:val="00C76C3A"/>
    <w:rsid w:val="00C76CFE"/>
    <w:rsid w:val="00C76E9E"/>
    <w:rsid w:val="00C7761B"/>
    <w:rsid w:val="00C7770F"/>
    <w:rsid w:val="00C77C49"/>
    <w:rsid w:val="00C77E42"/>
    <w:rsid w:val="00C77F39"/>
    <w:rsid w:val="00C8013C"/>
    <w:rsid w:val="00C8044D"/>
    <w:rsid w:val="00C80E75"/>
    <w:rsid w:val="00C81DD0"/>
    <w:rsid w:val="00C81EF4"/>
    <w:rsid w:val="00C8204C"/>
    <w:rsid w:val="00C822DC"/>
    <w:rsid w:val="00C8240F"/>
    <w:rsid w:val="00C825E7"/>
    <w:rsid w:val="00C82D56"/>
    <w:rsid w:val="00C82FBD"/>
    <w:rsid w:val="00C83187"/>
    <w:rsid w:val="00C8319B"/>
    <w:rsid w:val="00C83A1B"/>
    <w:rsid w:val="00C83AB3"/>
    <w:rsid w:val="00C83BA3"/>
    <w:rsid w:val="00C840D6"/>
    <w:rsid w:val="00C84669"/>
    <w:rsid w:val="00C8471E"/>
    <w:rsid w:val="00C8473A"/>
    <w:rsid w:val="00C84A42"/>
    <w:rsid w:val="00C8514C"/>
    <w:rsid w:val="00C85165"/>
    <w:rsid w:val="00C85434"/>
    <w:rsid w:val="00C8575D"/>
    <w:rsid w:val="00C85957"/>
    <w:rsid w:val="00C85AB5"/>
    <w:rsid w:val="00C85F31"/>
    <w:rsid w:val="00C860F5"/>
    <w:rsid w:val="00C86CD4"/>
    <w:rsid w:val="00C86D2E"/>
    <w:rsid w:val="00C86DFB"/>
    <w:rsid w:val="00C87950"/>
    <w:rsid w:val="00C879B6"/>
    <w:rsid w:val="00C87A7E"/>
    <w:rsid w:val="00C87D15"/>
    <w:rsid w:val="00C90151"/>
    <w:rsid w:val="00C90454"/>
    <w:rsid w:val="00C90C00"/>
    <w:rsid w:val="00C914C6"/>
    <w:rsid w:val="00C915AC"/>
    <w:rsid w:val="00C91865"/>
    <w:rsid w:val="00C91B67"/>
    <w:rsid w:val="00C91D0B"/>
    <w:rsid w:val="00C927F6"/>
    <w:rsid w:val="00C92C76"/>
    <w:rsid w:val="00C92FF2"/>
    <w:rsid w:val="00C935CB"/>
    <w:rsid w:val="00C93E5B"/>
    <w:rsid w:val="00C9403F"/>
    <w:rsid w:val="00C9455C"/>
    <w:rsid w:val="00C94677"/>
    <w:rsid w:val="00C94B54"/>
    <w:rsid w:val="00C94C69"/>
    <w:rsid w:val="00C94D27"/>
    <w:rsid w:val="00C956D5"/>
    <w:rsid w:val="00C9575F"/>
    <w:rsid w:val="00C95805"/>
    <w:rsid w:val="00C958C7"/>
    <w:rsid w:val="00C96505"/>
    <w:rsid w:val="00C9711B"/>
    <w:rsid w:val="00C97213"/>
    <w:rsid w:val="00C972A7"/>
    <w:rsid w:val="00C976CC"/>
    <w:rsid w:val="00C9779A"/>
    <w:rsid w:val="00C97933"/>
    <w:rsid w:val="00C97BCF"/>
    <w:rsid w:val="00C97C8C"/>
    <w:rsid w:val="00CA0946"/>
    <w:rsid w:val="00CA09CA"/>
    <w:rsid w:val="00CA1237"/>
    <w:rsid w:val="00CA138B"/>
    <w:rsid w:val="00CA1907"/>
    <w:rsid w:val="00CA267C"/>
    <w:rsid w:val="00CA2951"/>
    <w:rsid w:val="00CA2A01"/>
    <w:rsid w:val="00CA2B93"/>
    <w:rsid w:val="00CA2C23"/>
    <w:rsid w:val="00CA2D31"/>
    <w:rsid w:val="00CA34AF"/>
    <w:rsid w:val="00CA351F"/>
    <w:rsid w:val="00CA35C4"/>
    <w:rsid w:val="00CA3A62"/>
    <w:rsid w:val="00CA3E74"/>
    <w:rsid w:val="00CA4066"/>
    <w:rsid w:val="00CA40E8"/>
    <w:rsid w:val="00CA4DD7"/>
    <w:rsid w:val="00CA517A"/>
    <w:rsid w:val="00CA525F"/>
    <w:rsid w:val="00CA53CF"/>
    <w:rsid w:val="00CA5CDA"/>
    <w:rsid w:val="00CA5D86"/>
    <w:rsid w:val="00CA5F04"/>
    <w:rsid w:val="00CA603C"/>
    <w:rsid w:val="00CA63DE"/>
    <w:rsid w:val="00CA6568"/>
    <w:rsid w:val="00CA6A87"/>
    <w:rsid w:val="00CA6BD1"/>
    <w:rsid w:val="00CA7072"/>
    <w:rsid w:val="00CA7400"/>
    <w:rsid w:val="00CA74B4"/>
    <w:rsid w:val="00CA7714"/>
    <w:rsid w:val="00CA78C1"/>
    <w:rsid w:val="00CA7CFC"/>
    <w:rsid w:val="00CB07C9"/>
    <w:rsid w:val="00CB0C74"/>
    <w:rsid w:val="00CB1599"/>
    <w:rsid w:val="00CB160E"/>
    <w:rsid w:val="00CB1A18"/>
    <w:rsid w:val="00CB1D30"/>
    <w:rsid w:val="00CB22E8"/>
    <w:rsid w:val="00CB23F0"/>
    <w:rsid w:val="00CB2A77"/>
    <w:rsid w:val="00CB2C43"/>
    <w:rsid w:val="00CB2CC2"/>
    <w:rsid w:val="00CB2CF9"/>
    <w:rsid w:val="00CB34D0"/>
    <w:rsid w:val="00CB3683"/>
    <w:rsid w:val="00CB4175"/>
    <w:rsid w:val="00CB420C"/>
    <w:rsid w:val="00CB44AC"/>
    <w:rsid w:val="00CB45B4"/>
    <w:rsid w:val="00CB4639"/>
    <w:rsid w:val="00CB4822"/>
    <w:rsid w:val="00CB48A6"/>
    <w:rsid w:val="00CB494B"/>
    <w:rsid w:val="00CB498D"/>
    <w:rsid w:val="00CB49CE"/>
    <w:rsid w:val="00CB4D5B"/>
    <w:rsid w:val="00CB4FD3"/>
    <w:rsid w:val="00CB530C"/>
    <w:rsid w:val="00CB558A"/>
    <w:rsid w:val="00CB5704"/>
    <w:rsid w:val="00CB5D76"/>
    <w:rsid w:val="00CB6198"/>
    <w:rsid w:val="00CB6587"/>
    <w:rsid w:val="00CB666C"/>
    <w:rsid w:val="00CB6C75"/>
    <w:rsid w:val="00CB71FC"/>
    <w:rsid w:val="00CB72CC"/>
    <w:rsid w:val="00CB7336"/>
    <w:rsid w:val="00CB74BE"/>
    <w:rsid w:val="00CB7703"/>
    <w:rsid w:val="00CB7808"/>
    <w:rsid w:val="00CC05FB"/>
    <w:rsid w:val="00CC1090"/>
    <w:rsid w:val="00CC154C"/>
    <w:rsid w:val="00CC1717"/>
    <w:rsid w:val="00CC179E"/>
    <w:rsid w:val="00CC1D16"/>
    <w:rsid w:val="00CC1EB3"/>
    <w:rsid w:val="00CC26AC"/>
    <w:rsid w:val="00CC26B2"/>
    <w:rsid w:val="00CC292F"/>
    <w:rsid w:val="00CC2D71"/>
    <w:rsid w:val="00CC36EB"/>
    <w:rsid w:val="00CC3716"/>
    <w:rsid w:val="00CC3737"/>
    <w:rsid w:val="00CC3A66"/>
    <w:rsid w:val="00CC3ABA"/>
    <w:rsid w:val="00CC3C53"/>
    <w:rsid w:val="00CC3E2A"/>
    <w:rsid w:val="00CC4071"/>
    <w:rsid w:val="00CC4127"/>
    <w:rsid w:val="00CC4327"/>
    <w:rsid w:val="00CC4439"/>
    <w:rsid w:val="00CC48A8"/>
    <w:rsid w:val="00CC4B7F"/>
    <w:rsid w:val="00CC4F58"/>
    <w:rsid w:val="00CC52CC"/>
    <w:rsid w:val="00CC583E"/>
    <w:rsid w:val="00CC58CF"/>
    <w:rsid w:val="00CC6078"/>
    <w:rsid w:val="00CC64D5"/>
    <w:rsid w:val="00CC6760"/>
    <w:rsid w:val="00CC690A"/>
    <w:rsid w:val="00CC69D0"/>
    <w:rsid w:val="00CC6B4B"/>
    <w:rsid w:val="00CC6DAD"/>
    <w:rsid w:val="00CC6E5F"/>
    <w:rsid w:val="00CC70A1"/>
    <w:rsid w:val="00CC714F"/>
    <w:rsid w:val="00CC7511"/>
    <w:rsid w:val="00CC7C1E"/>
    <w:rsid w:val="00CC7C4D"/>
    <w:rsid w:val="00CD09CC"/>
    <w:rsid w:val="00CD0A62"/>
    <w:rsid w:val="00CD0E40"/>
    <w:rsid w:val="00CD15BE"/>
    <w:rsid w:val="00CD1A6A"/>
    <w:rsid w:val="00CD1E8F"/>
    <w:rsid w:val="00CD258A"/>
    <w:rsid w:val="00CD2778"/>
    <w:rsid w:val="00CD281F"/>
    <w:rsid w:val="00CD28DF"/>
    <w:rsid w:val="00CD2BF8"/>
    <w:rsid w:val="00CD2CB0"/>
    <w:rsid w:val="00CD2D59"/>
    <w:rsid w:val="00CD2EB6"/>
    <w:rsid w:val="00CD31C7"/>
    <w:rsid w:val="00CD3332"/>
    <w:rsid w:val="00CD4075"/>
    <w:rsid w:val="00CD4AB3"/>
    <w:rsid w:val="00CD4AF3"/>
    <w:rsid w:val="00CD5005"/>
    <w:rsid w:val="00CD514B"/>
    <w:rsid w:val="00CD5182"/>
    <w:rsid w:val="00CD5525"/>
    <w:rsid w:val="00CD59DE"/>
    <w:rsid w:val="00CD5BF9"/>
    <w:rsid w:val="00CD6472"/>
    <w:rsid w:val="00CD648E"/>
    <w:rsid w:val="00CD6B5A"/>
    <w:rsid w:val="00CD6B87"/>
    <w:rsid w:val="00CD7065"/>
    <w:rsid w:val="00CD7246"/>
    <w:rsid w:val="00CD796E"/>
    <w:rsid w:val="00CD7B31"/>
    <w:rsid w:val="00CE0ED5"/>
    <w:rsid w:val="00CE10A7"/>
    <w:rsid w:val="00CE11F6"/>
    <w:rsid w:val="00CE15B0"/>
    <w:rsid w:val="00CE1BCD"/>
    <w:rsid w:val="00CE1D7D"/>
    <w:rsid w:val="00CE1E7C"/>
    <w:rsid w:val="00CE20D0"/>
    <w:rsid w:val="00CE2762"/>
    <w:rsid w:val="00CE2A29"/>
    <w:rsid w:val="00CE2A45"/>
    <w:rsid w:val="00CE2E78"/>
    <w:rsid w:val="00CE2F51"/>
    <w:rsid w:val="00CE3492"/>
    <w:rsid w:val="00CE3605"/>
    <w:rsid w:val="00CE363E"/>
    <w:rsid w:val="00CE36BD"/>
    <w:rsid w:val="00CE36D5"/>
    <w:rsid w:val="00CE38DE"/>
    <w:rsid w:val="00CE3B17"/>
    <w:rsid w:val="00CE3D87"/>
    <w:rsid w:val="00CE48E5"/>
    <w:rsid w:val="00CE4986"/>
    <w:rsid w:val="00CE4A12"/>
    <w:rsid w:val="00CE52C7"/>
    <w:rsid w:val="00CE5303"/>
    <w:rsid w:val="00CE5595"/>
    <w:rsid w:val="00CE6730"/>
    <w:rsid w:val="00CE6769"/>
    <w:rsid w:val="00CE6910"/>
    <w:rsid w:val="00CE6AF1"/>
    <w:rsid w:val="00CE6DB0"/>
    <w:rsid w:val="00CE722B"/>
    <w:rsid w:val="00CE72E3"/>
    <w:rsid w:val="00CE7388"/>
    <w:rsid w:val="00CE7482"/>
    <w:rsid w:val="00CE7827"/>
    <w:rsid w:val="00CE7863"/>
    <w:rsid w:val="00CE7A0C"/>
    <w:rsid w:val="00CF0EAE"/>
    <w:rsid w:val="00CF130E"/>
    <w:rsid w:val="00CF1339"/>
    <w:rsid w:val="00CF136F"/>
    <w:rsid w:val="00CF1924"/>
    <w:rsid w:val="00CF1C41"/>
    <w:rsid w:val="00CF1FC4"/>
    <w:rsid w:val="00CF2003"/>
    <w:rsid w:val="00CF20CC"/>
    <w:rsid w:val="00CF26CE"/>
    <w:rsid w:val="00CF2ED1"/>
    <w:rsid w:val="00CF323F"/>
    <w:rsid w:val="00CF374E"/>
    <w:rsid w:val="00CF3B6D"/>
    <w:rsid w:val="00CF3C09"/>
    <w:rsid w:val="00CF3E37"/>
    <w:rsid w:val="00CF401F"/>
    <w:rsid w:val="00CF4467"/>
    <w:rsid w:val="00CF45DE"/>
    <w:rsid w:val="00CF499E"/>
    <w:rsid w:val="00CF5231"/>
    <w:rsid w:val="00CF5D51"/>
    <w:rsid w:val="00CF64F9"/>
    <w:rsid w:val="00CF67B7"/>
    <w:rsid w:val="00CF6F7C"/>
    <w:rsid w:val="00CF7424"/>
    <w:rsid w:val="00CF774E"/>
    <w:rsid w:val="00CF7816"/>
    <w:rsid w:val="00CF7E95"/>
    <w:rsid w:val="00D0060B"/>
    <w:rsid w:val="00D0149D"/>
    <w:rsid w:val="00D01585"/>
    <w:rsid w:val="00D01CB6"/>
    <w:rsid w:val="00D023EF"/>
    <w:rsid w:val="00D02CF0"/>
    <w:rsid w:val="00D02E20"/>
    <w:rsid w:val="00D0318F"/>
    <w:rsid w:val="00D03336"/>
    <w:rsid w:val="00D03406"/>
    <w:rsid w:val="00D037C5"/>
    <w:rsid w:val="00D03D8A"/>
    <w:rsid w:val="00D03DEE"/>
    <w:rsid w:val="00D03FDC"/>
    <w:rsid w:val="00D041CD"/>
    <w:rsid w:val="00D0446C"/>
    <w:rsid w:val="00D04ADB"/>
    <w:rsid w:val="00D04B91"/>
    <w:rsid w:val="00D04D8E"/>
    <w:rsid w:val="00D04F9F"/>
    <w:rsid w:val="00D051F8"/>
    <w:rsid w:val="00D053DC"/>
    <w:rsid w:val="00D054A9"/>
    <w:rsid w:val="00D05573"/>
    <w:rsid w:val="00D05620"/>
    <w:rsid w:val="00D058DD"/>
    <w:rsid w:val="00D059AD"/>
    <w:rsid w:val="00D05D69"/>
    <w:rsid w:val="00D05FA8"/>
    <w:rsid w:val="00D06239"/>
    <w:rsid w:val="00D06863"/>
    <w:rsid w:val="00D07554"/>
    <w:rsid w:val="00D075C5"/>
    <w:rsid w:val="00D07A45"/>
    <w:rsid w:val="00D07AAC"/>
    <w:rsid w:val="00D07D9E"/>
    <w:rsid w:val="00D1069A"/>
    <w:rsid w:val="00D108CB"/>
    <w:rsid w:val="00D10E82"/>
    <w:rsid w:val="00D11094"/>
    <w:rsid w:val="00D11222"/>
    <w:rsid w:val="00D119EE"/>
    <w:rsid w:val="00D11B55"/>
    <w:rsid w:val="00D11C3E"/>
    <w:rsid w:val="00D1280B"/>
    <w:rsid w:val="00D12B4E"/>
    <w:rsid w:val="00D13380"/>
    <w:rsid w:val="00D135B2"/>
    <w:rsid w:val="00D13913"/>
    <w:rsid w:val="00D13C39"/>
    <w:rsid w:val="00D14082"/>
    <w:rsid w:val="00D1425E"/>
    <w:rsid w:val="00D1453F"/>
    <w:rsid w:val="00D145C1"/>
    <w:rsid w:val="00D14C94"/>
    <w:rsid w:val="00D14F0F"/>
    <w:rsid w:val="00D14F6D"/>
    <w:rsid w:val="00D15120"/>
    <w:rsid w:val="00D15124"/>
    <w:rsid w:val="00D151C5"/>
    <w:rsid w:val="00D151C9"/>
    <w:rsid w:val="00D15CA1"/>
    <w:rsid w:val="00D15FE5"/>
    <w:rsid w:val="00D162E9"/>
    <w:rsid w:val="00D1671B"/>
    <w:rsid w:val="00D16A6D"/>
    <w:rsid w:val="00D1748A"/>
    <w:rsid w:val="00D17649"/>
    <w:rsid w:val="00D179F9"/>
    <w:rsid w:val="00D203CB"/>
    <w:rsid w:val="00D20ADE"/>
    <w:rsid w:val="00D20AE7"/>
    <w:rsid w:val="00D20C73"/>
    <w:rsid w:val="00D21290"/>
    <w:rsid w:val="00D213FA"/>
    <w:rsid w:val="00D21532"/>
    <w:rsid w:val="00D21CFC"/>
    <w:rsid w:val="00D21EAA"/>
    <w:rsid w:val="00D21F85"/>
    <w:rsid w:val="00D21FDD"/>
    <w:rsid w:val="00D222F2"/>
    <w:rsid w:val="00D223D9"/>
    <w:rsid w:val="00D224FE"/>
    <w:rsid w:val="00D232AA"/>
    <w:rsid w:val="00D23646"/>
    <w:rsid w:val="00D237F5"/>
    <w:rsid w:val="00D23BE1"/>
    <w:rsid w:val="00D243C9"/>
    <w:rsid w:val="00D249DF"/>
    <w:rsid w:val="00D24A67"/>
    <w:rsid w:val="00D24CA8"/>
    <w:rsid w:val="00D24D26"/>
    <w:rsid w:val="00D26193"/>
    <w:rsid w:val="00D26ABF"/>
    <w:rsid w:val="00D26DA3"/>
    <w:rsid w:val="00D27232"/>
    <w:rsid w:val="00D2749A"/>
    <w:rsid w:val="00D27592"/>
    <w:rsid w:val="00D27712"/>
    <w:rsid w:val="00D27DE4"/>
    <w:rsid w:val="00D27F83"/>
    <w:rsid w:val="00D27FBD"/>
    <w:rsid w:val="00D30205"/>
    <w:rsid w:val="00D3048B"/>
    <w:rsid w:val="00D30839"/>
    <w:rsid w:val="00D30AC2"/>
    <w:rsid w:val="00D30BED"/>
    <w:rsid w:val="00D30E9C"/>
    <w:rsid w:val="00D311F4"/>
    <w:rsid w:val="00D314EF"/>
    <w:rsid w:val="00D31754"/>
    <w:rsid w:val="00D31D2D"/>
    <w:rsid w:val="00D31F53"/>
    <w:rsid w:val="00D32691"/>
    <w:rsid w:val="00D32774"/>
    <w:rsid w:val="00D33232"/>
    <w:rsid w:val="00D332B8"/>
    <w:rsid w:val="00D33479"/>
    <w:rsid w:val="00D33818"/>
    <w:rsid w:val="00D339C6"/>
    <w:rsid w:val="00D33AF0"/>
    <w:rsid w:val="00D33D4F"/>
    <w:rsid w:val="00D33E09"/>
    <w:rsid w:val="00D33F75"/>
    <w:rsid w:val="00D340FC"/>
    <w:rsid w:val="00D345DD"/>
    <w:rsid w:val="00D346F1"/>
    <w:rsid w:val="00D3476A"/>
    <w:rsid w:val="00D34EF9"/>
    <w:rsid w:val="00D35345"/>
    <w:rsid w:val="00D356F8"/>
    <w:rsid w:val="00D35716"/>
    <w:rsid w:val="00D364B9"/>
    <w:rsid w:val="00D364EC"/>
    <w:rsid w:val="00D36844"/>
    <w:rsid w:val="00D36AA7"/>
    <w:rsid w:val="00D36D04"/>
    <w:rsid w:val="00D36EBE"/>
    <w:rsid w:val="00D3720E"/>
    <w:rsid w:val="00D37371"/>
    <w:rsid w:val="00D374AD"/>
    <w:rsid w:val="00D403E6"/>
    <w:rsid w:val="00D404E2"/>
    <w:rsid w:val="00D40557"/>
    <w:rsid w:val="00D40BF7"/>
    <w:rsid w:val="00D40E0E"/>
    <w:rsid w:val="00D41200"/>
    <w:rsid w:val="00D4133E"/>
    <w:rsid w:val="00D41C63"/>
    <w:rsid w:val="00D42BD6"/>
    <w:rsid w:val="00D43120"/>
    <w:rsid w:val="00D4324E"/>
    <w:rsid w:val="00D43560"/>
    <w:rsid w:val="00D43AD3"/>
    <w:rsid w:val="00D43AF5"/>
    <w:rsid w:val="00D43EAE"/>
    <w:rsid w:val="00D44975"/>
    <w:rsid w:val="00D45676"/>
    <w:rsid w:val="00D45693"/>
    <w:rsid w:val="00D45857"/>
    <w:rsid w:val="00D45E37"/>
    <w:rsid w:val="00D46300"/>
    <w:rsid w:val="00D4663F"/>
    <w:rsid w:val="00D46724"/>
    <w:rsid w:val="00D46A0F"/>
    <w:rsid w:val="00D46A39"/>
    <w:rsid w:val="00D46B41"/>
    <w:rsid w:val="00D46EFA"/>
    <w:rsid w:val="00D4701C"/>
    <w:rsid w:val="00D473D8"/>
    <w:rsid w:val="00D47468"/>
    <w:rsid w:val="00D476F6"/>
    <w:rsid w:val="00D47720"/>
    <w:rsid w:val="00D47940"/>
    <w:rsid w:val="00D47BB7"/>
    <w:rsid w:val="00D47CD8"/>
    <w:rsid w:val="00D50050"/>
    <w:rsid w:val="00D50182"/>
    <w:rsid w:val="00D50299"/>
    <w:rsid w:val="00D50932"/>
    <w:rsid w:val="00D50D02"/>
    <w:rsid w:val="00D50FDD"/>
    <w:rsid w:val="00D5154D"/>
    <w:rsid w:val="00D51777"/>
    <w:rsid w:val="00D51812"/>
    <w:rsid w:val="00D51E46"/>
    <w:rsid w:val="00D52DBF"/>
    <w:rsid w:val="00D52EF1"/>
    <w:rsid w:val="00D5303A"/>
    <w:rsid w:val="00D53187"/>
    <w:rsid w:val="00D536FF"/>
    <w:rsid w:val="00D5379C"/>
    <w:rsid w:val="00D53866"/>
    <w:rsid w:val="00D53D44"/>
    <w:rsid w:val="00D53F89"/>
    <w:rsid w:val="00D542EA"/>
    <w:rsid w:val="00D545B8"/>
    <w:rsid w:val="00D54609"/>
    <w:rsid w:val="00D54D3B"/>
    <w:rsid w:val="00D54DF8"/>
    <w:rsid w:val="00D54EDC"/>
    <w:rsid w:val="00D54FAD"/>
    <w:rsid w:val="00D550B5"/>
    <w:rsid w:val="00D5528F"/>
    <w:rsid w:val="00D556AF"/>
    <w:rsid w:val="00D55AD5"/>
    <w:rsid w:val="00D565BA"/>
    <w:rsid w:val="00D568B8"/>
    <w:rsid w:val="00D56AC0"/>
    <w:rsid w:val="00D56DE2"/>
    <w:rsid w:val="00D56E10"/>
    <w:rsid w:val="00D56E8E"/>
    <w:rsid w:val="00D56E96"/>
    <w:rsid w:val="00D56EC7"/>
    <w:rsid w:val="00D56F18"/>
    <w:rsid w:val="00D575A2"/>
    <w:rsid w:val="00D60013"/>
    <w:rsid w:val="00D601E4"/>
    <w:rsid w:val="00D602E9"/>
    <w:rsid w:val="00D60A86"/>
    <w:rsid w:val="00D60D9A"/>
    <w:rsid w:val="00D60F99"/>
    <w:rsid w:val="00D61C31"/>
    <w:rsid w:val="00D61CD0"/>
    <w:rsid w:val="00D61E58"/>
    <w:rsid w:val="00D62601"/>
    <w:rsid w:val="00D62628"/>
    <w:rsid w:val="00D62698"/>
    <w:rsid w:val="00D626E1"/>
    <w:rsid w:val="00D62787"/>
    <w:rsid w:val="00D629DE"/>
    <w:rsid w:val="00D62B2F"/>
    <w:rsid w:val="00D62D47"/>
    <w:rsid w:val="00D62E9B"/>
    <w:rsid w:val="00D62FFC"/>
    <w:rsid w:val="00D631C3"/>
    <w:rsid w:val="00D63306"/>
    <w:rsid w:val="00D6336D"/>
    <w:rsid w:val="00D63961"/>
    <w:rsid w:val="00D639B3"/>
    <w:rsid w:val="00D63CC8"/>
    <w:rsid w:val="00D64789"/>
    <w:rsid w:val="00D6500B"/>
    <w:rsid w:val="00D6500D"/>
    <w:rsid w:val="00D65052"/>
    <w:rsid w:val="00D65065"/>
    <w:rsid w:val="00D65066"/>
    <w:rsid w:val="00D651CB"/>
    <w:rsid w:val="00D652B7"/>
    <w:rsid w:val="00D65B06"/>
    <w:rsid w:val="00D6624E"/>
    <w:rsid w:val="00D66640"/>
    <w:rsid w:val="00D6670A"/>
    <w:rsid w:val="00D668D1"/>
    <w:rsid w:val="00D669C8"/>
    <w:rsid w:val="00D67050"/>
    <w:rsid w:val="00D67210"/>
    <w:rsid w:val="00D700A4"/>
    <w:rsid w:val="00D709C3"/>
    <w:rsid w:val="00D70B3E"/>
    <w:rsid w:val="00D712CC"/>
    <w:rsid w:val="00D713A3"/>
    <w:rsid w:val="00D717F9"/>
    <w:rsid w:val="00D71CE0"/>
    <w:rsid w:val="00D72053"/>
    <w:rsid w:val="00D720EC"/>
    <w:rsid w:val="00D72125"/>
    <w:rsid w:val="00D72D8B"/>
    <w:rsid w:val="00D72F13"/>
    <w:rsid w:val="00D72F5E"/>
    <w:rsid w:val="00D734BB"/>
    <w:rsid w:val="00D73778"/>
    <w:rsid w:val="00D738C6"/>
    <w:rsid w:val="00D73970"/>
    <w:rsid w:val="00D73B56"/>
    <w:rsid w:val="00D73F13"/>
    <w:rsid w:val="00D744E7"/>
    <w:rsid w:val="00D74BCF"/>
    <w:rsid w:val="00D7536B"/>
    <w:rsid w:val="00D7578D"/>
    <w:rsid w:val="00D75791"/>
    <w:rsid w:val="00D765FD"/>
    <w:rsid w:val="00D76DD1"/>
    <w:rsid w:val="00D76EF6"/>
    <w:rsid w:val="00D77606"/>
    <w:rsid w:val="00D77BA5"/>
    <w:rsid w:val="00D77C5D"/>
    <w:rsid w:val="00D77D3A"/>
    <w:rsid w:val="00D80126"/>
    <w:rsid w:val="00D806D5"/>
    <w:rsid w:val="00D8093D"/>
    <w:rsid w:val="00D80D8F"/>
    <w:rsid w:val="00D80E00"/>
    <w:rsid w:val="00D80F52"/>
    <w:rsid w:val="00D80FF7"/>
    <w:rsid w:val="00D811B0"/>
    <w:rsid w:val="00D818AE"/>
    <w:rsid w:val="00D81C35"/>
    <w:rsid w:val="00D81E96"/>
    <w:rsid w:val="00D82370"/>
    <w:rsid w:val="00D82D3C"/>
    <w:rsid w:val="00D8301A"/>
    <w:rsid w:val="00D83305"/>
    <w:rsid w:val="00D8378E"/>
    <w:rsid w:val="00D839A3"/>
    <w:rsid w:val="00D83BB8"/>
    <w:rsid w:val="00D8444E"/>
    <w:rsid w:val="00D8478D"/>
    <w:rsid w:val="00D84A05"/>
    <w:rsid w:val="00D84D39"/>
    <w:rsid w:val="00D85143"/>
    <w:rsid w:val="00D8573F"/>
    <w:rsid w:val="00D85C29"/>
    <w:rsid w:val="00D8604B"/>
    <w:rsid w:val="00D861CC"/>
    <w:rsid w:val="00D86247"/>
    <w:rsid w:val="00D86521"/>
    <w:rsid w:val="00D87034"/>
    <w:rsid w:val="00D870EF"/>
    <w:rsid w:val="00D87196"/>
    <w:rsid w:val="00D87875"/>
    <w:rsid w:val="00D8788D"/>
    <w:rsid w:val="00D903CB"/>
    <w:rsid w:val="00D904EA"/>
    <w:rsid w:val="00D9088B"/>
    <w:rsid w:val="00D909C5"/>
    <w:rsid w:val="00D90B2F"/>
    <w:rsid w:val="00D90E02"/>
    <w:rsid w:val="00D91310"/>
    <w:rsid w:val="00D9132C"/>
    <w:rsid w:val="00D9135F"/>
    <w:rsid w:val="00D9136C"/>
    <w:rsid w:val="00D913B1"/>
    <w:rsid w:val="00D913EC"/>
    <w:rsid w:val="00D91651"/>
    <w:rsid w:val="00D91A54"/>
    <w:rsid w:val="00D923BA"/>
    <w:rsid w:val="00D925C1"/>
    <w:rsid w:val="00D92617"/>
    <w:rsid w:val="00D93050"/>
    <w:rsid w:val="00D93209"/>
    <w:rsid w:val="00D93245"/>
    <w:rsid w:val="00D936C1"/>
    <w:rsid w:val="00D93CA3"/>
    <w:rsid w:val="00D93CA9"/>
    <w:rsid w:val="00D93CE3"/>
    <w:rsid w:val="00D93F63"/>
    <w:rsid w:val="00D94025"/>
    <w:rsid w:val="00D9448B"/>
    <w:rsid w:val="00D9465A"/>
    <w:rsid w:val="00D94A18"/>
    <w:rsid w:val="00D94A9F"/>
    <w:rsid w:val="00D94DA6"/>
    <w:rsid w:val="00D95390"/>
    <w:rsid w:val="00D95610"/>
    <w:rsid w:val="00D95C58"/>
    <w:rsid w:val="00D960D7"/>
    <w:rsid w:val="00D96564"/>
    <w:rsid w:val="00D96BE3"/>
    <w:rsid w:val="00D96D0D"/>
    <w:rsid w:val="00D971EB"/>
    <w:rsid w:val="00D972F2"/>
    <w:rsid w:val="00D9743A"/>
    <w:rsid w:val="00D979CF"/>
    <w:rsid w:val="00D97ABE"/>
    <w:rsid w:val="00DA0322"/>
    <w:rsid w:val="00DA093F"/>
    <w:rsid w:val="00DA0AF0"/>
    <w:rsid w:val="00DA0B98"/>
    <w:rsid w:val="00DA0F46"/>
    <w:rsid w:val="00DA11CD"/>
    <w:rsid w:val="00DA13C3"/>
    <w:rsid w:val="00DA1830"/>
    <w:rsid w:val="00DA1C79"/>
    <w:rsid w:val="00DA2306"/>
    <w:rsid w:val="00DA2642"/>
    <w:rsid w:val="00DA2AAB"/>
    <w:rsid w:val="00DA2D8C"/>
    <w:rsid w:val="00DA3096"/>
    <w:rsid w:val="00DA31EF"/>
    <w:rsid w:val="00DA342F"/>
    <w:rsid w:val="00DA34EA"/>
    <w:rsid w:val="00DA3588"/>
    <w:rsid w:val="00DA3720"/>
    <w:rsid w:val="00DA3D21"/>
    <w:rsid w:val="00DA423F"/>
    <w:rsid w:val="00DA477A"/>
    <w:rsid w:val="00DA50D1"/>
    <w:rsid w:val="00DA5675"/>
    <w:rsid w:val="00DA5B49"/>
    <w:rsid w:val="00DA5E7C"/>
    <w:rsid w:val="00DA5F04"/>
    <w:rsid w:val="00DA60DC"/>
    <w:rsid w:val="00DA6553"/>
    <w:rsid w:val="00DA66C5"/>
    <w:rsid w:val="00DA6AE4"/>
    <w:rsid w:val="00DA6E7A"/>
    <w:rsid w:val="00DA71BC"/>
    <w:rsid w:val="00DA7B2E"/>
    <w:rsid w:val="00DA7DD1"/>
    <w:rsid w:val="00DA7F94"/>
    <w:rsid w:val="00DB0103"/>
    <w:rsid w:val="00DB01D8"/>
    <w:rsid w:val="00DB0315"/>
    <w:rsid w:val="00DB06F6"/>
    <w:rsid w:val="00DB0C6C"/>
    <w:rsid w:val="00DB0CAE"/>
    <w:rsid w:val="00DB0E40"/>
    <w:rsid w:val="00DB114C"/>
    <w:rsid w:val="00DB172E"/>
    <w:rsid w:val="00DB1A5E"/>
    <w:rsid w:val="00DB1E0F"/>
    <w:rsid w:val="00DB221C"/>
    <w:rsid w:val="00DB27F5"/>
    <w:rsid w:val="00DB3539"/>
    <w:rsid w:val="00DB357B"/>
    <w:rsid w:val="00DB3AB6"/>
    <w:rsid w:val="00DB3D7D"/>
    <w:rsid w:val="00DB42E5"/>
    <w:rsid w:val="00DB4E23"/>
    <w:rsid w:val="00DB5618"/>
    <w:rsid w:val="00DB571E"/>
    <w:rsid w:val="00DB5835"/>
    <w:rsid w:val="00DB5966"/>
    <w:rsid w:val="00DB5AF3"/>
    <w:rsid w:val="00DB5E6A"/>
    <w:rsid w:val="00DB5EC4"/>
    <w:rsid w:val="00DB613C"/>
    <w:rsid w:val="00DB65C0"/>
    <w:rsid w:val="00DB672F"/>
    <w:rsid w:val="00DB67C0"/>
    <w:rsid w:val="00DB6B30"/>
    <w:rsid w:val="00DB6C5E"/>
    <w:rsid w:val="00DB6ECC"/>
    <w:rsid w:val="00DB6F74"/>
    <w:rsid w:val="00DB707C"/>
    <w:rsid w:val="00DB72FF"/>
    <w:rsid w:val="00DB753D"/>
    <w:rsid w:val="00DB78E4"/>
    <w:rsid w:val="00DB79DB"/>
    <w:rsid w:val="00DB7EFD"/>
    <w:rsid w:val="00DB7F4B"/>
    <w:rsid w:val="00DC0219"/>
    <w:rsid w:val="00DC0235"/>
    <w:rsid w:val="00DC04E9"/>
    <w:rsid w:val="00DC088E"/>
    <w:rsid w:val="00DC0D4E"/>
    <w:rsid w:val="00DC1392"/>
    <w:rsid w:val="00DC1BEE"/>
    <w:rsid w:val="00DC1CD2"/>
    <w:rsid w:val="00DC1EB0"/>
    <w:rsid w:val="00DC1EF7"/>
    <w:rsid w:val="00DC2258"/>
    <w:rsid w:val="00DC22AC"/>
    <w:rsid w:val="00DC244A"/>
    <w:rsid w:val="00DC2728"/>
    <w:rsid w:val="00DC2953"/>
    <w:rsid w:val="00DC2D26"/>
    <w:rsid w:val="00DC2EFF"/>
    <w:rsid w:val="00DC2F0F"/>
    <w:rsid w:val="00DC3257"/>
    <w:rsid w:val="00DC3326"/>
    <w:rsid w:val="00DC34F8"/>
    <w:rsid w:val="00DC3724"/>
    <w:rsid w:val="00DC3B4A"/>
    <w:rsid w:val="00DC45A6"/>
    <w:rsid w:val="00DC4612"/>
    <w:rsid w:val="00DC4732"/>
    <w:rsid w:val="00DC482A"/>
    <w:rsid w:val="00DC4B01"/>
    <w:rsid w:val="00DC4E35"/>
    <w:rsid w:val="00DC5047"/>
    <w:rsid w:val="00DC52D6"/>
    <w:rsid w:val="00DC58B0"/>
    <w:rsid w:val="00DC5D5C"/>
    <w:rsid w:val="00DC5E5C"/>
    <w:rsid w:val="00DC62A2"/>
    <w:rsid w:val="00DC65F4"/>
    <w:rsid w:val="00DC69D1"/>
    <w:rsid w:val="00DC6D0B"/>
    <w:rsid w:val="00DC6D0C"/>
    <w:rsid w:val="00DC70A0"/>
    <w:rsid w:val="00DC724B"/>
    <w:rsid w:val="00DC76BD"/>
    <w:rsid w:val="00DC7B00"/>
    <w:rsid w:val="00DC7DC2"/>
    <w:rsid w:val="00DD010E"/>
    <w:rsid w:val="00DD083C"/>
    <w:rsid w:val="00DD0A93"/>
    <w:rsid w:val="00DD1089"/>
    <w:rsid w:val="00DD11CE"/>
    <w:rsid w:val="00DD13C4"/>
    <w:rsid w:val="00DD1A6C"/>
    <w:rsid w:val="00DD1D89"/>
    <w:rsid w:val="00DD2754"/>
    <w:rsid w:val="00DD2878"/>
    <w:rsid w:val="00DD2B52"/>
    <w:rsid w:val="00DD2F41"/>
    <w:rsid w:val="00DD36AE"/>
    <w:rsid w:val="00DD387D"/>
    <w:rsid w:val="00DD3D2E"/>
    <w:rsid w:val="00DD4A19"/>
    <w:rsid w:val="00DD4DA2"/>
    <w:rsid w:val="00DD51A7"/>
    <w:rsid w:val="00DD56A4"/>
    <w:rsid w:val="00DD60BD"/>
    <w:rsid w:val="00DD617C"/>
    <w:rsid w:val="00DD73BF"/>
    <w:rsid w:val="00DD79B6"/>
    <w:rsid w:val="00DE0083"/>
    <w:rsid w:val="00DE025C"/>
    <w:rsid w:val="00DE077C"/>
    <w:rsid w:val="00DE07D2"/>
    <w:rsid w:val="00DE097C"/>
    <w:rsid w:val="00DE1508"/>
    <w:rsid w:val="00DE1574"/>
    <w:rsid w:val="00DE19AA"/>
    <w:rsid w:val="00DE1D83"/>
    <w:rsid w:val="00DE23F9"/>
    <w:rsid w:val="00DE2A1B"/>
    <w:rsid w:val="00DE30A9"/>
    <w:rsid w:val="00DE338C"/>
    <w:rsid w:val="00DE34D6"/>
    <w:rsid w:val="00DE3691"/>
    <w:rsid w:val="00DE38D0"/>
    <w:rsid w:val="00DE3D29"/>
    <w:rsid w:val="00DE3F51"/>
    <w:rsid w:val="00DE42A7"/>
    <w:rsid w:val="00DE4708"/>
    <w:rsid w:val="00DE48BD"/>
    <w:rsid w:val="00DE48F8"/>
    <w:rsid w:val="00DE4970"/>
    <w:rsid w:val="00DE498B"/>
    <w:rsid w:val="00DE49A3"/>
    <w:rsid w:val="00DE4D2B"/>
    <w:rsid w:val="00DE4D2D"/>
    <w:rsid w:val="00DE5229"/>
    <w:rsid w:val="00DE579C"/>
    <w:rsid w:val="00DE57B6"/>
    <w:rsid w:val="00DE59A4"/>
    <w:rsid w:val="00DE5A6A"/>
    <w:rsid w:val="00DE6192"/>
    <w:rsid w:val="00DE6436"/>
    <w:rsid w:val="00DE7299"/>
    <w:rsid w:val="00DE7387"/>
    <w:rsid w:val="00DE7499"/>
    <w:rsid w:val="00DE7665"/>
    <w:rsid w:val="00DE767B"/>
    <w:rsid w:val="00DE76CF"/>
    <w:rsid w:val="00DE7A5D"/>
    <w:rsid w:val="00DE7C43"/>
    <w:rsid w:val="00DE7FD5"/>
    <w:rsid w:val="00DF07AF"/>
    <w:rsid w:val="00DF087B"/>
    <w:rsid w:val="00DF0971"/>
    <w:rsid w:val="00DF1372"/>
    <w:rsid w:val="00DF1897"/>
    <w:rsid w:val="00DF1A48"/>
    <w:rsid w:val="00DF1D71"/>
    <w:rsid w:val="00DF1FE9"/>
    <w:rsid w:val="00DF20CB"/>
    <w:rsid w:val="00DF214E"/>
    <w:rsid w:val="00DF2166"/>
    <w:rsid w:val="00DF23DB"/>
    <w:rsid w:val="00DF258A"/>
    <w:rsid w:val="00DF2641"/>
    <w:rsid w:val="00DF2677"/>
    <w:rsid w:val="00DF30C0"/>
    <w:rsid w:val="00DF3200"/>
    <w:rsid w:val="00DF33B9"/>
    <w:rsid w:val="00DF3462"/>
    <w:rsid w:val="00DF3730"/>
    <w:rsid w:val="00DF3A38"/>
    <w:rsid w:val="00DF3D34"/>
    <w:rsid w:val="00DF3DCF"/>
    <w:rsid w:val="00DF3F74"/>
    <w:rsid w:val="00DF4300"/>
    <w:rsid w:val="00DF489F"/>
    <w:rsid w:val="00DF61B5"/>
    <w:rsid w:val="00DF6C2B"/>
    <w:rsid w:val="00DF7242"/>
    <w:rsid w:val="00DF73B9"/>
    <w:rsid w:val="00DF74EA"/>
    <w:rsid w:val="00DF7655"/>
    <w:rsid w:val="00DF7C4F"/>
    <w:rsid w:val="00DF7C83"/>
    <w:rsid w:val="00DF7CA1"/>
    <w:rsid w:val="00DF7E55"/>
    <w:rsid w:val="00E00697"/>
    <w:rsid w:val="00E00AD4"/>
    <w:rsid w:val="00E01168"/>
    <w:rsid w:val="00E0129C"/>
    <w:rsid w:val="00E012C5"/>
    <w:rsid w:val="00E013DB"/>
    <w:rsid w:val="00E01445"/>
    <w:rsid w:val="00E016D7"/>
    <w:rsid w:val="00E01753"/>
    <w:rsid w:val="00E017F8"/>
    <w:rsid w:val="00E01ECD"/>
    <w:rsid w:val="00E02007"/>
    <w:rsid w:val="00E024EE"/>
    <w:rsid w:val="00E027C4"/>
    <w:rsid w:val="00E0291F"/>
    <w:rsid w:val="00E02A64"/>
    <w:rsid w:val="00E02C9F"/>
    <w:rsid w:val="00E02F21"/>
    <w:rsid w:val="00E03021"/>
    <w:rsid w:val="00E034F9"/>
    <w:rsid w:val="00E037A9"/>
    <w:rsid w:val="00E03D6B"/>
    <w:rsid w:val="00E03F2D"/>
    <w:rsid w:val="00E055A9"/>
    <w:rsid w:val="00E056D7"/>
    <w:rsid w:val="00E056FC"/>
    <w:rsid w:val="00E05865"/>
    <w:rsid w:val="00E0594E"/>
    <w:rsid w:val="00E063D7"/>
    <w:rsid w:val="00E06628"/>
    <w:rsid w:val="00E0671E"/>
    <w:rsid w:val="00E06737"/>
    <w:rsid w:val="00E06ACA"/>
    <w:rsid w:val="00E072C5"/>
    <w:rsid w:val="00E07DF2"/>
    <w:rsid w:val="00E10213"/>
    <w:rsid w:val="00E102F6"/>
    <w:rsid w:val="00E10718"/>
    <w:rsid w:val="00E10948"/>
    <w:rsid w:val="00E109C5"/>
    <w:rsid w:val="00E10F94"/>
    <w:rsid w:val="00E11354"/>
    <w:rsid w:val="00E11371"/>
    <w:rsid w:val="00E11497"/>
    <w:rsid w:val="00E119EE"/>
    <w:rsid w:val="00E11FB2"/>
    <w:rsid w:val="00E12043"/>
    <w:rsid w:val="00E12EF8"/>
    <w:rsid w:val="00E133EF"/>
    <w:rsid w:val="00E1376E"/>
    <w:rsid w:val="00E1390F"/>
    <w:rsid w:val="00E13ADB"/>
    <w:rsid w:val="00E14171"/>
    <w:rsid w:val="00E14384"/>
    <w:rsid w:val="00E14F04"/>
    <w:rsid w:val="00E155F0"/>
    <w:rsid w:val="00E15839"/>
    <w:rsid w:val="00E15FCC"/>
    <w:rsid w:val="00E160FE"/>
    <w:rsid w:val="00E16547"/>
    <w:rsid w:val="00E167C7"/>
    <w:rsid w:val="00E1696D"/>
    <w:rsid w:val="00E16A37"/>
    <w:rsid w:val="00E174E0"/>
    <w:rsid w:val="00E17DFE"/>
    <w:rsid w:val="00E17EA9"/>
    <w:rsid w:val="00E209CF"/>
    <w:rsid w:val="00E20C02"/>
    <w:rsid w:val="00E20ECC"/>
    <w:rsid w:val="00E20F12"/>
    <w:rsid w:val="00E20F68"/>
    <w:rsid w:val="00E2100C"/>
    <w:rsid w:val="00E2111C"/>
    <w:rsid w:val="00E211CC"/>
    <w:rsid w:val="00E21573"/>
    <w:rsid w:val="00E21DA3"/>
    <w:rsid w:val="00E21F67"/>
    <w:rsid w:val="00E225B4"/>
    <w:rsid w:val="00E22873"/>
    <w:rsid w:val="00E229C9"/>
    <w:rsid w:val="00E22F96"/>
    <w:rsid w:val="00E2323B"/>
    <w:rsid w:val="00E237DE"/>
    <w:rsid w:val="00E2388F"/>
    <w:rsid w:val="00E239E0"/>
    <w:rsid w:val="00E23F52"/>
    <w:rsid w:val="00E23FDE"/>
    <w:rsid w:val="00E240BC"/>
    <w:rsid w:val="00E24128"/>
    <w:rsid w:val="00E241EF"/>
    <w:rsid w:val="00E245C5"/>
    <w:rsid w:val="00E246A2"/>
    <w:rsid w:val="00E247D2"/>
    <w:rsid w:val="00E253AA"/>
    <w:rsid w:val="00E2584E"/>
    <w:rsid w:val="00E259DE"/>
    <w:rsid w:val="00E25B7F"/>
    <w:rsid w:val="00E25C3E"/>
    <w:rsid w:val="00E25E22"/>
    <w:rsid w:val="00E261FD"/>
    <w:rsid w:val="00E266A9"/>
    <w:rsid w:val="00E267EA"/>
    <w:rsid w:val="00E26878"/>
    <w:rsid w:val="00E270D8"/>
    <w:rsid w:val="00E271AE"/>
    <w:rsid w:val="00E27356"/>
    <w:rsid w:val="00E27807"/>
    <w:rsid w:val="00E303FE"/>
    <w:rsid w:val="00E30555"/>
    <w:rsid w:val="00E3145F"/>
    <w:rsid w:val="00E31AAB"/>
    <w:rsid w:val="00E3234B"/>
    <w:rsid w:val="00E334B5"/>
    <w:rsid w:val="00E33530"/>
    <w:rsid w:val="00E336F2"/>
    <w:rsid w:val="00E33773"/>
    <w:rsid w:val="00E337DC"/>
    <w:rsid w:val="00E33A40"/>
    <w:rsid w:val="00E33EBF"/>
    <w:rsid w:val="00E34AD1"/>
    <w:rsid w:val="00E34B70"/>
    <w:rsid w:val="00E34CB9"/>
    <w:rsid w:val="00E351C4"/>
    <w:rsid w:val="00E35687"/>
    <w:rsid w:val="00E3593D"/>
    <w:rsid w:val="00E3654C"/>
    <w:rsid w:val="00E36555"/>
    <w:rsid w:val="00E3663B"/>
    <w:rsid w:val="00E36A18"/>
    <w:rsid w:val="00E3719C"/>
    <w:rsid w:val="00E378A9"/>
    <w:rsid w:val="00E37A73"/>
    <w:rsid w:val="00E40534"/>
    <w:rsid w:val="00E40C2F"/>
    <w:rsid w:val="00E41703"/>
    <w:rsid w:val="00E4176A"/>
    <w:rsid w:val="00E41D4B"/>
    <w:rsid w:val="00E41DE9"/>
    <w:rsid w:val="00E41F20"/>
    <w:rsid w:val="00E42530"/>
    <w:rsid w:val="00E4272A"/>
    <w:rsid w:val="00E42953"/>
    <w:rsid w:val="00E42AAD"/>
    <w:rsid w:val="00E42CCD"/>
    <w:rsid w:val="00E43216"/>
    <w:rsid w:val="00E432CD"/>
    <w:rsid w:val="00E4332B"/>
    <w:rsid w:val="00E437FD"/>
    <w:rsid w:val="00E43882"/>
    <w:rsid w:val="00E439AD"/>
    <w:rsid w:val="00E442BE"/>
    <w:rsid w:val="00E443C8"/>
    <w:rsid w:val="00E446CA"/>
    <w:rsid w:val="00E44754"/>
    <w:rsid w:val="00E44803"/>
    <w:rsid w:val="00E44951"/>
    <w:rsid w:val="00E44D37"/>
    <w:rsid w:val="00E44F4F"/>
    <w:rsid w:val="00E4505C"/>
    <w:rsid w:val="00E4512B"/>
    <w:rsid w:val="00E452B6"/>
    <w:rsid w:val="00E4556B"/>
    <w:rsid w:val="00E45A88"/>
    <w:rsid w:val="00E45E93"/>
    <w:rsid w:val="00E460B6"/>
    <w:rsid w:val="00E463DC"/>
    <w:rsid w:val="00E46934"/>
    <w:rsid w:val="00E46B8A"/>
    <w:rsid w:val="00E4757A"/>
    <w:rsid w:val="00E475B7"/>
    <w:rsid w:val="00E478FE"/>
    <w:rsid w:val="00E5010A"/>
    <w:rsid w:val="00E50130"/>
    <w:rsid w:val="00E502F4"/>
    <w:rsid w:val="00E504E9"/>
    <w:rsid w:val="00E5080D"/>
    <w:rsid w:val="00E5089D"/>
    <w:rsid w:val="00E50990"/>
    <w:rsid w:val="00E50BB5"/>
    <w:rsid w:val="00E50C1D"/>
    <w:rsid w:val="00E50C9B"/>
    <w:rsid w:val="00E50CAE"/>
    <w:rsid w:val="00E510FB"/>
    <w:rsid w:val="00E51384"/>
    <w:rsid w:val="00E51A35"/>
    <w:rsid w:val="00E51AB3"/>
    <w:rsid w:val="00E51D0E"/>
    <w:rsid w:val="00E51E86"/>
    <w:rsid w:val="00E52103"/>
    <w:rsid w:val="00E52343"/>
    <w:rsid w:val="00E52676"/>
    <w:rsid w:val="00E527D9"/>
    <w:rsid w:val="00E5285E"/>
    <w:rsid w:val="00E52AB6"/>
    <w:rsid w:val="00E52C6F"/>
    <w:rsid w:val="00E52EF7"/>
    <w:rsid w:val="00E53358"/>
    <w:rsid w:val="00E5345B"/>
    <w:rsid w:val="00E5373D"/>
    <w:rsid w:val="00E53922"/>
    <w:rsid w:val="00E541FE"/>
    <w:rsid w:val="00E54360"/>
    <w:rsid w:val="00E54552"/>
    <w:rsid w:val="00E5461D"/>
    <w:rsid w:val="00E54BBB"/>
    <w:rsid w:val="00E55022"/>
    <w:rsid w:val="00E55B0A"/>
    <w:rsid w:val="00E55B84"/>
    <w:rsid w:val="00E5626C"/>
    <w:rsid w:val="00E562B7"/>
    <w:rsid w:val="00E56474"/>
    <w:rsid w:val="00E56BC7"/>
    <w:rsid w:val="00E56C18"/>
    <w:rsid w:val="00E56D1E"/>
    <w:rsid w:val="00E56F27"/>
    <w:rsid w:val="00E56F62"/>
    <w:rsid w:val="00E56FB7"/>
    <w:rsid w:val="00E5703D"/>
    <w:rsid w:val="00E57392"/>
    <w:rsid w:val="00E5749A"/>
    <w:rsid w:val="00E5789C"/>
    <w:rsid w:val="00E5794B"/>
    <w:rsid w:val="00E57F3D"/>
    <w:rsid w:val="00E601DD"/>
    <w:rsid w:val="00E60230"/>
    <w:rsid w:val="00E606E4"/>
    <w:rsid w:val="00E609FC"/>
    <w:rsid w:val="00E60AC4"/>
    <w:rsid w:val="00E60ED2"/>
    <w:rsid w:val="00E6133A"/>
    <w:rsid w:val="00E61491"/>
    <w:rsid w:val="00E61522"/>
    <w:rsid w:val="00E618CD"/>
    <w:rsid w:val="00E61D24"/>
    <w:rsid w:val="00E61E30"/>
    <w:rsid w:val="00E61F89"/>
    <w:rsid w:val="00E620F8"/>
    <w:rsid w:val="00E62331"/>
    <w:rsid w:val="00E62B91"/>
    <w:rsid w:val="00E632FE"/>
    <w:rsid w:val="00E63443"/>
    <w:rsid w:val="00E63492"/>
    <w:rsid w:val="00E63ADE"/>
    <w:rsid w:val="00E642D8"/>
    <w:rsid w:val="00E64C2A"/>
    <w:rsid w:val="00E65020"/>
    <w:rsid w:val="00E65720"/>
    <w:rsid w:val="00E65CB2"/>
    <w:rsid w:val="00E65F45"/>
    <w:rsid w:val="00E664EC"/>
    <w:rsid w:val="00E665CA"/>
    <w:rsid w:val="00E66B64"/>
    <w:rsid w:val="00E66D2D"/>
    <w:rsid w:val="00E66F35"/>
    <w:rsid w:val="00E674ED"/>
    <w:rsid w:val="00E67B32"/>
    <w:rsid w:val="00E67B7E"/>
    <w:rsid w:val="00E67D31"/>
    <w:rsid w:val="00E67EC5"/>
    <w:rsid w:val="00E70C38"/>
    <w:rsid w:val="00E70EC8"/>
    <w:rsid w:val="00E71001"/>
    <w:rsid w:val="00E711C0"/>
    <w:rsid w:val="00E71848"/>
    <w:rsid w:val="00E71998"/>
    <w:rsid w:val="00E721A2"/>
    <w:rsid w:val="00E723B7"/>
    <w:rsid w:val="00E7299E"/>
    <w:rsid w:val="00E72A77"/>
    <w:rsid w:val="00E72AE4"/>
    <w:rsid w:val="00E72DE9"/>
    <w:rsid w:val="00E72DF1"/>
    <w:rsid w:val="00E7308D"/>
    <w:rsid w:val="00E73DF8"/>
    <w:rsid w:val="00E7412C"/>
    <w:rsid w:val="00E74FF3"/>
    <w:rsid w:val="00E7501D"/>
    <w:rsid w:val="00E7509B"/>
    <w:rsid w:val="00E754E6"/>
    <w:rsid w:val="00E75875"/>
    <w:rsid w:val="00E75A0D"/>
    <w:rsid w:val="00E75B6E"/>
    <w:rsid w:val="00E76D7E"/>
    <w:rsid w:val="00E76E04"/>
    <w:rsid w:val="00E7737F"/>
    <w:rsid w:val="00E77482"/>
    <w:rsid w:val="00E776F6"/>
    <w:rsid w:val="00E7784E"/>
    <w:rsid w:val="00E77B4E"/>
    <w:rsid w:val="00E802AF"/>
    <w:rsid w:val="00E80420"/>
    <w:rsid w:val="00E80D2D"/>
    <w:rsid w:val="00E80E96"/>
    <w:rsid w:val="00E81079"/>
    <w:rsid w:val="00E811DA"/>
    <w:rsid w:val="00E8122C"/>
    <w:rsid w:val="00E81266"/>
    <w:rsid w:val="00E812D3"/>
    <w:rsid w:val="00E81693"/>
    <w:rsid w:val="00E816A3"/>
    <w:rsid w:val="00E81953"/>
    <w:rsid w:val="00E82400"/>
    <w:rsid w:val="00E8243C"/>
    <w:rsid w:val="00E824A0"/>
    <w:rsid w:val="00E827EC"/>
    <w:rsid w:val="00E834F1"/>
    <w:rsid w:val="00E83945"/>
    <w:rsid w:val="00E83C50"/>
    <w:rsid w:val="00E84BD6"/>
    <w:rsid w:val="00E84D25"/>
    <w:rsid w:val="00E84F1E"/>
    <w:rsid w:val="00E85140"/>
    <w:rsid w:val="00E85509"/>
    <w:rsid w:val="00E8558D"/>
    <w:rsid w:val="00E8580C"/>
    <w:rsid w:val="00E858D7"/>
    <w:rsid w:val="00E85B69"/>
    <w:rsid w:val="00E86435"/>
    <w:rsid w:val="00E865E4"/>
    <w:rsid w:val="00E868F3"/>
    <w:rsid w:val="00E86A0D"/>
    <w:rsid w:val="00E86A98"/>
    <w:rsid w:val="00E87131"/>
    <w:rsid w:val="00E87CD0"/>
    <w:rsid w:val="00E9040D"/>
    <w:rsid w:val="00E90701"/>
    <w:rsid w:val="00E9072C"/>
    <w:rsid w:val="00E90871"/>
    <w:rsid w:val="00E90ABF"/>
    <w:rsid w:val="00E90BFE"/>
    <w:rsid w:val="00E90C7B"/>
    <w:rsid w:val="00E91A6F"/>
    <w:rsid w:val="00E92618"/>
    <w:rsid w:val="00E926F7"/>
    <w:rsid w:val="00E9283B"/>
    <w:rsid w:val="00E92980"/>
    <w:rsid w:val="00E92A25"/>
    <w:rsid w:val="00E92B4D"/>
    <w:rsid w:val="00E92C4C"/>
    <w:rsid w:val="00E92D97"/>
    <w:rsid w:val="00E92FC4"/>
    <w:rsid w:val="00E9355E"/>
    <w:rsid w:val="00E939B4"/>
    <w:rsid w:val="00E94361"/>
    <w:rsid w:val="00E94505"/>
    <w:rsid w:val="00E9452E"/>
    <w:rsid w:val="00E960F5"/>
    <w:rsid w:val="00E96208"/>
    <w:rsid w:val="00E9682A"/>
    <w:rsid w:val="00E968C9"/>
    <w:rsid w:val="00E96A5B"/>
    <w:rsid w:val="00E96B53"/>
    <w:rsid w:val="00E971C5"/>
    <w:rsid w:val="00E97A66"/>
    <w:rsid w:val="00E97C5B"/>
    <w:rsid w:val="00EA01BB"/>
    <w:rsid w:val="00EA04E2"/>
    <w:rsid w:val="00EA06A2"/>
    <w:rsid w:val="00EA0A56"/>
    <w:rsid w:val="00EA16EC"/>
    <w:rsid w:val="00EA1BC8"/>
    <w:rsid w:val="00EA25C9"/>
    <w:rsid w:val="00EA2881"/>
    <w:rsid w:val="00EA2D02"/>
    <w:rsid w:val="00EA2F91"/>
    <w:rsid w:val="00EA30EB"/>
    <w:rsid w:val="00EA31C1"/>
    <w:rsid w:val="00EA3533"/>
    <w:rsid w:val="00EA3698"/>
    <w:rsid w:val="00EA3CDD"/>
    <w:rsid w:val="00EA3E24"/>
    <w:rsid w:val="00EA3EE8"/>
    <w:rsid w:val="00EA4322"/>
    <w:rsid w:val="00EA43EE"/>
    <w:rsid w:val="00EA44E6"/>
    <w:rsid w:val="00EA45AD"/>
    <w:rsid w:val="00EA4654"/>
    <w:rsid w:val="00EA4700"/>
    <w:rsid w:val="00EA495E"/>
    <w:rsid w:val="00EA4B3B"/>
    <w:rsid w:val="00EA518F"/>
    <w:rsid w:val="00EA5485"/>
    <w:rsid w:val="00EA57C3"/>
    <w:rsid w:val="00EA583F"/>
    <w:rsid w:val="00EA597C"/>
    <w:rsid w:val="00EA5A58"/>
    <w:rsid w:val="00EA5AF6"/>
    <w:rsid w:val="00EA5DBE"/>
    <w:rsid w:val="00EA69D4"/>
    <w:rsid w:val="00EA6F50"/>
    <w:rsid w:val="00EA795B"/>
    <w:rsid w:val="00EA7A09"/>
    <w:rsid w:val="00EA7B05"/>
    <w:rsid w:val="00EA7CD0"/>
    <w:rsid w:val="00EA7FB4"/>
    <w:rsid w:val="00EA7FD5"/>
    <w:rsid w:val="00EB0229"/>
    <w:rsid w:val="00EB041F"/>
    <w:rsid w:val="00EB0459"/>
    <w:rsid w:val="00EB0B56"/>
    <w:rsid w:val="00EB0C85"/>
    <w:rsid w:val="00EB0ED9"/>
    <w:rsid w:val="00EB11D1"/>
    <w:rsid w:val="00EB12EF"/>
    <w:rsid w:val="00EB174F"/>
    <w:rsid w:val="00EB200F"/>
    <w:rsid w:val="00EB2955"/>
    <w:rsid w:val="00EB2AB0"/>
    <w:rsid w:val="00EB320B"/>
    <w:rsid w:val="00EB3213"/>
    <w:rsid w:val="00EB3492"/>
    <w:rsid w:val="00EB3546"/>
    <w:rsid w:val="00EB4267"/>
    <w:rsid w:val="00EB4630"/>
    <w:rsid w:val="00EB463A"/>
    <w:rsid w:val="00EB4676"/>
    <w:rsid w:val="00EB4680"/>
    <w:rsid w:val="00EB4DE4"/>
    <w:rsid w:val="00EB4DE8"/>
    <w:rsid w:val="00EB59E3"/>
    <w:rsid w:val="00EB5AC0"/>
    <w:rsid w:val="00EB5B24"/>
    <w:rsid w:val="00EB5D9C"/>
    <w:rsid w:val="00EB5E86"/>
    <w:rsid w:val="00EB5F62"/>
    <w:rsid w:val="00EB6230"/>
    <w:rsid w:val="00EB62E5"/>
    <w:rsid w:val="00EB67FA"/>
    <w:rsid w:val="00EB6C37"/>
    <w:rsid w:val="00EB6D58"/>
    <w:rsid w:val="00EB6F96"/>
    <w:rsid w:val="00EB7692"/>
    <w:rsid w:val="00EB7751"/>
    <w:rsid w:val="00EB7783"/>
    <w:rsid w:val="00EB77D7"/>
    <w:rsid w:val="00EB7A4A"/>
    <w:rsid w:val="00EB7BD3"/>
    <w:rsid w:val="00EB7C6F"/>
    <w:rsid w:val="00EB7C9B"/>
    <w:rsid w:val="00EB7D94"/>
    <w:rsid w:val="00EB7F29"/>
    <w:rsid w:val="00EB7F9B"/>
    <w:rsid w:val="00EC00DF"/>
    <w:rsid w:val="00EC057A"/>
    <w:rsid w:val="00EC08AB"/>
    <w:rsid w:val="00EC0A06"/>
    <w:rsid w:val="00EC0A62"/>
    <w:rsid w:val="00EC0AE2"/>
    <w:rsid w:val="00EC10B2"/>
    <w:rsid w:val="00EC12F8"/>
    <w:rsid w:val="00EC186C"/>
    <w:rsid w:val="00EC195E"/>
    <w:rsid w:val="00EC2299"/>
    <w:rsid w:val="00EC2639"/>
    <w:rsid w:val="00EC2820"/>
    <w:rsid w:val="00EC2840"/>
    <w:rsid w:val="00EC2DEA"/>
    <w:rsid w:val="00EC2F1F"/>
    <w:rsid w:val="00EC31D5"/>
    <w:rsid w:val="00EC3A59"/>
    <w:rsid w:val="00EC3DBB"/>
    <w:rsid w:val="00EC42B9"/>
    <w:rsid w:val="00EC47A3"/>
    <w:rsid w:val="00EC47F3"/>
    <w:rsid w:val="00EC4C2A"/>
    <w:rsid w:val="00EC4F7B"/>
    <w:rsid w:val="00EC5436"/>
    <w:rsid w:val="00EC57F6"/>
    <w:rsid w:val="00EC5928"/>
    <w:rsid w:val="00EC5F8D"/>
    <w:rsid w:val="00EC6346"/>
    <w:rsid w:val="00EC6377"/>
    <w:rsid w:val="00EC6490"/>
    <w:rsid w:val="00EC68D1"/>
    <w:rsid w:val="00EC6D34"/>
    <w:rsid w:val="00EC70A4"/>
    <w:rsid w:val="00EC7750"/>
    <w:rsid w:val="00EC7A30"/>
    <w:rsid w:val="00EC7B97"/>
    <w:rsid w:val="00ED0056"/>
    <w:rsid w:val="00ED09B2"/>
    <w:rsid w:val="00ED0D26"/>
    <w:rsid w:val="00ED137D"/>
    <w:rsid w:val="00ED1496"/>
    <w:rsid w:val="00ED16BD"/>
    <w:rsid w:val="00ED178E"/>
    <w:rsid w:val="00ED1835"/>
    <w:rsid w:val="00ED1AA3"/>
    <w:rsid w:val="00ED2289"/>
    <w:rsid w:val="00ED240E"/>
    <w:rsid w:val="00ED2490"/>
    <w:rsid w:val="00ED2890"/>
    <w:rsid w:val="00ED2A8A"/>
    <w:rsid w:val="00ED3016"/>
    <w:rsid w:val="00ED40BA"/>
    <w:rsid w:val="00ED44B9"/>
    <w:rsid w:val="00ED45A6"/>
    <w:rsid w:val="00ED49D6"/>
    <w:rsid w:val="00ED4F18"/>
    <w:rsid w:val="00ED51AA"/>
    <w:rsid w:val="00ED5232"/>
    <w:rsid w:val="00ED53F1"/>
    <w:rsid w:val="00ED53FF"/>
    <w:rsid w:val="00ED5636"/>
    <w:rsid w:val="00ED5C9F"/>
    <w:rsid w:val="00ED5E34"/>
    <w:rsid w:val="00ED64E1"/>
    <w:rsid w:val="00ED6976"/>
    <w:rsid w:val="00ED73DB"/>
    <w:rsid w:val="00ED766F"/>
    <w:rsid w:val="00ED785D"/>
    <w:rsid w:val="00ED7A81"/>
    <w:rsid w:val="00ED7BB4"/>
    <w:rsid w:val="00ED7E3F"/>
    <w:rsid w:val="00EE02ED"/>
    <w:rsid w:val="00EE02FD"/>
    <w:rsid w:val="00EE059A"/>
    <w:rsid w:val="00EE12A2"/>
    <w:rsid w:val="00EE16DC"/>
    <w:rsid w:val="00EE1AD2"/>
    <w:rsid w:val="00EE1EEC"/>
    <w:rsid w:val="00EE23A3"/>
    <w:rsid w:val="00EE26CD"/>
    <w:rsid w:val="00EE27A0"/>
    <w:rsid w:val="00EE2A9F"/>
    <w:rsid w:val="00EE2EF7"/>
    <w:rsid w:val="00EE2F18"/>
    <w:rsid w:val="00EE327B"/>
    <w:rsid w:val="00EE3406"/>
    <w:rsid w:val="00EE3E28"/>
    <w:rsid w:val="00EE3F04"/>
    <w:rsid w:val="00EE40CC"/>
    <w:rsid w:val="00EE4283"/>
    <w:rsid w:val="00EE4799"/>
    <w:rsid w:val="00EE48D8"/>
    <w:rsid w:val="00EE490B"/>
    <w:rsid w:val="00EE56C6"/>
    <w:rsid w:val="00EE5A0A"/>
    <w:rsid w:val="00EE5A75"/>
    <w:rsid w:val="00EE5B7C"/>
    <w:rsid w:val="00EE60E1"/>
    <w:rsid w:val="00EE655A"/>
    <w:rsid w:val="00EE65A7"/>
    <w:rsid w:val="00EE683D"/>
    <w:rsid w:val="00EE6E9E"/>
    <w:rsid w:val="00EE74AD"/>
    <w:rsid w:val="00EE74ED"/>
    <w:rsid w:val="00EE751C"/>
    <w:rsid w:val="00EE75A7"/>
    <w:rsid w:val="00EE7879"/>
    <w:rsid w:val="00EE7934"/>
    <w:rsid w:val="00EE7BA1"/>
    <w:rsid w:val="00EF095D"/>
    <w:rsid w:val="00EF0B1C"/>
    <w:rsid w:val="00EF0D3D"/>
    <w:rsid w:val="00EF0E8A"/>
    <w:rsid w:val="00EF12B2"/>
    <w:rsid w:val="00EF151F"/>
    <w:rsid w:val="00EF17E8"/>
    <w:rsid w:val="00EF203A"/>
    <w:rsid w:val="00EF24C1"/>
    <w:rsid w:val="00EF2726"/>
    <w:rsid w:val="00EF2750"/>
    <w:rsid w:val="00EF282D"/>
    <w:rsid w:val="00EF2C61"/>
    <w:rsid w:val="00EF2D0E"/>
    <w:rsid w:val="00EF398A"/>
    <w:rsid w:val="00EF3A12"/>
    <w:rsid w:val="00EF3D1A"/>
    <w:rsid w:val="00EF4216"/>
    <w:rsid w:val="00EF45D1"/>
    <w:rsid w:val="00EF5062"/>
    <w:rsid w:val="00EF58BE"/>
    <w:rsid w:val="00EF59AD"/>
    <w:rsid w:val="00EF5F55"/>
    <w:rsid w:val="00EF60AC"/>
    <w:rsid w:val="00EF616E"/>
    <w:rsid w:val="00EF6D10"/>
    <w:rsid w:val="00EF702B"/>
    <w:rsid w:val="00EF7149"/>
    <w:rsid w:val="00EF737F"/>
    <w:rsid w:val="00EF7873"/>
    <w:rsid w:val="00F004ED"/>
    <w:rsid w:val="00F00C25"/>
    <w:rsid w:val="00F00C62"/>
    <w:rsid w:val="00F00F6C"/>
    <w:rsid w:val="00F01B0F"/>
    <w:rsid w:val="00F01D9A"/>
    <w:rsid w:val="00F02473"/>
    <w:rsid w:val="00F025DB"/>
    <w:rsid w:val="00F0260B"/>
    <w:rsid w:val="00F02688"/>
    <w:rsid w:val="00F02835"/>
    <w:rsid w:val="00F02C6D"/>
    <w:rsid w:val="00F02F8A"/>
    <w:rsid w:val="00F034A2"/>
    <w:rsid w:val="00F0374C"/>
    <w:rsid w:val="00F03762"/>
    <w:rsid w:val="00F03966"/>
    <w:rsid w:val="00F03CE2"/>
    <w:rsid w:val="00F03FDE"/>
    <w:rsid w:val="00F04019"/>
    <w:rsid w:val="00F040A0"/>
    <w:rsid w:val="00F04503"/>
    <w:rsid w:val="00F0456B"/>
    <w:rsid w:val="00F045CA"/>
    <w:rsid w:val="00F045FB"/>
    <w:rsid w:val="00F04F5D"/>
    <w:rsid w:val="00F05157"/>
    <w:rsid w:val="00F05168"/>
    <w:rsid w:val="00F05AC6"/>
    <w:rsid w:val="00F05BBF"/>
    <w:rsid w:val="00F0615A"/>
    <w:rsid w:val="00F062C7"/>
    <w:rsid w:val="00F06330"/>
    <w:rsid w:val="00F068FC"/>
    <w:rsid w:val="00F06A79"/>
    <w:rsid w:val="00F06A98"/>
    <w:rsid w:val="00F06C84"/>
    <w:rsid w:val="00F06E11"/>
    <w:rsid w:val="00F070CC"/>
    <w:rsid w:val="00F073FF"/>
    <w:rsid w:val="00F07616"/>
    <w:rsid w:val="00F0775A"/>
    <w:rsid w:val="00F077B1"/>
    <w:rsid w:val="00F079E9"/>
    <w:rsid w:val="00F1027D"/>
    <w:rsid w:val="00F10AA5"/>
    <w:rsid w:val="00F111CA"/>
    <w:rsid w:val="00F112F2"/>
    <w:rsid w:val="00F1156A"/>
    <w:rsid w:val="00F11E67"/>
    <w:rsid w:val="00F11F33"/>
    <w:rsid w:val="00F11FCC"/>
    <w:rsid w:val="00F12519"/>
    <w:rsid w:val="00F12881"/>
    <w:rsid w:val="00F135A2"/>
    <w:rsid w:val="00F136AC"/>
    <w:rsid w:val="00F14435"/>
    <w:rsid w:val="00F14896"/>
    <w:rsid w:val="00F14973"/>
    <w:rsid w:val="00F14ABF"/>
    <w:rsid w:val="00F14EDE"/>
    <w:rsid w:val="00F15272"/>
    <w:rsid w:val="00F1532D"/>
    <w:rsid w:val="00F1545A"/>
    <w:rsid w:val="00F15630"/>
    <w:rsid w:val="00F15645"/>
    <w:rsid w:val="00F15851"/>
    <w:rsid w:val="00F158AC"/>
    <w:rsid w:val="00F1647C"/>
    <w:rsid w:val="00F16D7B"/>
    <w:rsid w:val="00F17135"/>
    <w:rsid w:val="00F17144"/>
    <w:rsid w:val="00F173AA"/>
    <w:rsid w:val="00F176F4"/>
    <w:rsid w:val="00F17BF1"/>
    <w:rsid w:val="00F17E01"/>
    <w:rsid w:val="00F201C8"/>
    <w:rsid w:val="00F201D4"/>
    <w:rsid w:val="00F205C6"/>
    <w:rsid w:val="00F20E12"/>
    <w:rsid w:val="00F21329"/>
    <w:rsid w:val="00F21395"/>
    <w:rsid w:val="00F2166A"/>
    <w:rsid w:val="00F21CFA"/>
    <w:rsid w:val="00F222D6"/>
    <w:rsid w:val="00F225FC"/>
    <w:rsid w:val="00F22799"/>
    <w:rsid w:val="00F22FE6"/>
    <w:rsid w:val="00F230ED"/>
    <w:rsid w:val="00F23391"/>
    <w:rsid w:val="00F233FB"/>
    <w:rsid w:val="00F23CD8"/>
    <w:rsid w:val="00F241FE"/>
    <w:rsid w:val="00F24764"/>
    <w:rsid w:val="00F2494E"/>
    <w:rsid w:val="00F24A12"/>
    <w:rsid w:val="00F24E0A"/>
    <w:rsid w:val="00F2523A"/>
    <w:rsid w:val="00F2559C"/>
    <w:rsid w:val="00F2572A"/>
    <w:rsid w:val="00F257BD"/>
    <w:rsid w:val="00F259A2"/>
    <w:rsid w:val="00F25E23"/>
    <w:rsid w:val="00F26162"/>
    <w:rsid w:val="00F263EE"/>
    <w:rsid w:val="00F266A4"/>
    <w:rsid w:val="00F269E0"/>
    <w:rsid w:val="00F26ECE"/>
    <w:rsid w:val="00F271F3"/>
    <w:rsid w:val="00F272C0"/>
    <w:rsid w:val="00F27371"/>
    <w:rsid w:val="00F27689"/>
    <w:rsid w:val="00F27D69"/>
    <w:rsid w:val="00F27E47"/>
    <w:rsid w:val="00F27E92"/>
    <w:rsid w:val="00F30109"/>
    <w:rsid w:val="00F3016A"/>
    <w:rsid w:val="00F30EF0"/>
    <w:rsid w:val="00F31527"/>
    <w:rsid w:val="00F31965"/>
    <w:rsid w:val="00F31C46"/>
    <w:rsid w:val="00F31E58"/>
    <w:rsid w:val="00F32051"/>
    <w:rsid w:val="00F32101"/>
    <w:rsid w:val="00F321B2"/>
    <w:rsid w:val="00F324A1"/>
    <w:rsid w:val="00F3257A"/>
    <w:rsid w:val="00F32643"/>
    <w:rsid w:val="00F32B9A"/>
    <w:rsid w:val="00F3384B"/>
    <w:rsid w:val="00F33B0E"/>
    <w:rsid w:val="00F3403A"/>
    <w:rsid w:val="00F34570"/>
    <w:rsid w:val="00F34748"/>
    <w:rsid w:val="00F3498D"/>
    <w:rsid w:val="00F35082"/>
    <w:rsid w:val="00F353BB"/>
    <w:rsid w:val="00F35613"/>
    <w:rsid w:val="00F35619"/>
    <w:rsid w:val="00F35ADA"/>
    <w:rsid w:val="00F36198"/>
    <w:rsid w:val="00F3695A"/>
    <w:rsid w:val="00F36B99"/>
    <w:rsid w:val="00F36ED9"/>
    <w:rsid w:val="00F36EE1"/>
    <w:rsid w:val="00F372A4"/>
    <w:rsid w:val="00F373EE"/>
    <w:rsid w:val="00F374F4"/>
    <w:rsid w:val="00F375D3"/>
    <w:rsid w:val="00F37A17"/>
    <w:rsid w:val="00F40244"/>
    <w:rsid w:val="00F40268"/>
    <w:rsid w:val="00F40796"/>
    <w:rsid w:val="00F409F0"/>
    <w:rsid w:val="00F40EF9"/>
    <w:rsid w:val="00F40F40"/>
    <w:rsid w:val="00F40FCE"/>
    <w:rsid w:val="00F415A5"/>
    <w:rsid w:val="00F41C80"/>
    <w:rsid w:val="00F41ECA"/>
    <w:rsid w:val="00F41FA4"/>
    <w:rsid w:val="00F421F5"/>
    <w:rsid w:val="00F42608"/>
    <w:rsid w:val="00F4287D"/>
    <w:rsid w:val="00F42AED"/>
    <w:rsid w:val="00F4330A"/>
    <w:rsid w:val="00F4369F"/>
    <w:rsid w:val="00F436C4"/>
    <w:rsid w:val="00F436D2"/>
    <w:rsid w:val="00F439DA"/>
    <w:rsid w:val="00F43D7C"/>
    <w:rsid w:val="00F43DC2"/>
    <w:rsid w:val="00F4412B"/>
    <w:rsid w:val="00F441F8"/>
    <w:rsid w:val="00F44358"/>
    <w:rsid w:val="00F44476"/>
    <w:rsid w:val="00F44649"/>
    <w:rsid w:val="00F44EFB"/>
    <w:rsid w:val="00F45583"/>
    <w:rsid w:val="00F4580F"/>
    <w:rsid w:val="00F458FD"/>
    <w:rsid w:val="00F45A13"/>
    <w:rsid w:val="00F45DC5"/>
    <w:rsid w:val="00F46B21"/>
    <w:rsid w:val="00F46B8E"/>
    <w:rsid w:val="00F46E69"/>
    <w:rsid w:val="00F4759A"/>
    <w:rsid w:val="00F47811"/>
    <w:rsid w:val="00F505BD"/>
    <w:rsid w:val="00F50F38"/>
    <w:rsid w:val="00F5146E"/>
    <w:rsid w:val="00F517ED"/>
    <w:rsid w:val="00F5195A"/>
    <w:rsid w:val="00F520AA"/>
    <w:rsid w:val="00F52781"/>
    <w:rsid w:val="00F5279D"/>
    <w:rsid w:val="00F52A95"/>
    <w:rsid w:val="00F52B50"/>
    <w:rsid w:val="00F52E01"/>
    <w:rsid w:val="00F530E9"/>
    <w:rsid w:val="00F536CC"/>
    <w:rsid w:val="00F537B6"/>
    <w:rsid w:val="00F53F5A"/>
    <w:rsid w:val="00F54054"/>
    <w:rsid w:val="00F54559"/>
    <w:rsid w:val="00F5499C"/>
    <w:rsid w:val="00F54ADE"/>
    <w:rsid w:val="00F54E24"/>
    <w:rsid w:val="00F55359"/>
    <w:rsid w:val="00F5559A"/>
    <w:rsid w:val="00F55A1F"/>
    <w:rsid w:val="00F561A1"/>
    <w:rsid w:val="00F56661"/>
    <w:rsid w:val="00F56851"/>
    <w:rsid w:val="00F56FE0"/>
    <w:rsid w:val="00F57123"/>
    <w:rsid w:val="00F5715C"/>
    <w:rsid w:val="00F57872"/>
    <w:rsid w:val="00F57DCD"/>
    <w:rsid w:val="00F60328"/>
    <w:rsid w:val="00F60913"/>
    <w:rsid w:val="00F60CF5"/>
    <w:rsid w:val="00F613DB"/>
    <w:rsid w:val="00F61581"/>
    <w:rsid w:val="00F6160E"/>
    <w:rsid w:val="00F61CB2"/>
    <w:rsid w:val="00F61FF5"/>
    <w:rsid w:val="00F62427"/>
    <w:rsid w:val="00F62491"/>
    <w:rsid w:val="00F62597"/>
    <w:rsid w:val="00F62B0E"/>
    <w:rsid w:val="00F62CE8"/>
    <w:rsid w:val="00F62E0C"/>
    <w:rsid w:val="00F6318C"/>
    <w:rsid w:val="00F631D5"/>
    <w:rsid w:val="00F635C5"/>
    <w:rsid w:val="00F63652"/>
    <w:rsid w:val="00F63A4C"/>
    <w:rsid w:val="00F63CB7"/>
    <w:rsid w:val="00F645A9"/>
    <w:rsid w:val="00F65706"/>
    <w:rsid w:val="00F6584D"/>
    <w:rsid w:val="00F65E35"/>
    <w:rsid w:val="00F65FE4"/>
    <w:rsid w:val="00F6610F"/>
    <w:rsid w:val="00F6612B"/>
    <w:rsid w:val="00F66889"/>
    <w:rsid w:val="00F66A28"/>
    <w:rsid w:val="00F66BAA"/>
    <w:rsid w:val="00F66BD7"/>
    <w:rsid w:val="00F66D97"/>
    <w:rsid w:val="00F6718E"/>
    <w:rsid w:val="00F6734A"/>
    <w:rsid w:val="00F67563"/>
    <w:rsid w:val="00F67584"/>
    <w:rsid w:val="00F675EA"/>
    <w:rsid w:val="00F6772C"/>
    <w:rsid w:val="00F679B3"/>
    <w:rsid w:val="00F67C50"/>
    <w:rsid w:val="00F67F38"/>
    <w:rsid w:val="00F70003"/>
    <w:rsid w:val="00F70631"/>
    <w:rsid w:val="00F70C0E"/>
    <w:rsid w:val="00F7132F"/>
    <w:rsid w:val="00F716EA"/>
    <w:rsid w:val="00F71725"/>
    <w:rsid w:val="00F717B3"/>
    <w:rsid w:val="00F71974"/>
    <w:rsid w:val="00F719B5"/>
    <w:rsid w:val="00F719E1"/>
    <w:rsid w:val="00F71A6C"/>
    <w:rsid w:val="00F71C02"/>
    <w:rsid w:val="00F721CC"/>
    <w:rsid w:val="00F72436"/>
    <w:rsid w:val="00F726A3"/>
    <w:rsid w:val="00F727A8"/>
    <w:rsid w:val="00F72AA5"/>
    <w:rsid w:val="00F73412"/>
    <w:rsid w:val="00F73497"/>
    <w:rsid w:val="00F73D06"/>
    <w:rsid w:val="00F740CE"/>
    <w:rsid w:val="00F74326"/>
    <w:rsid w:val="00F74781"/>
    <w:rsid w:val="00F748ED"/>
    <w:rsid w:val="00F752F0"/>
    <w:rsid w:val="00F7576E"/>
    <w:rsid w:val="00F757F3"/>
    <w:rsid w:val="00F75FBD"/>
    <w:rsid w:val="00F7637E"/>
    <w:rsid w:val="00F7640D"/>
    <w:rsid w:val="00F76BE4"/>
    <w:rsid w:val="00F76E3C"/>
    <w:rsid w:val="00F7742C"/>
    <w:rsid w:val="00F77762"/>
    <w:rsid w:val="00F77C92"/>
    <w:rsid w:val="00F800A1"/>
    <w:rsid w:val="00F8030A"/>
    <w:rsid w:val="00F80516"/>
    <w:rsid w:val="00F80F12"/>
    <w:rsid w:val="00F81315"/>
    <w:rsid w:val="00F814A0"/>
    <w:rsid w:val="00F818FD"/>
    <w:rsid w:val="00F81A15"/>
    <w:rsid w:val="00F81C2B"/>
    <w:rsid w:val="00F82580"/>
    <w:rsid w:val="00F828C4"/>
    <w:rsid w:val="00F82ABA"/>
    <w:rsid w:val="00F833E5"/>
    <w:rsid w:val="00F83572"/>
    <w:rsid w:val="00F83790"/>
    <w:rsid w:val="00F838B8"/>
    <w:rsid w:val="00F839D2"/>
    <w:rsid w:val="00F83D6B"/>
    <w:rsid w:val="00F84016"/>
    <w:rsid w:val="00F84735"/>
    <w:rsid w:val="00F849D7"/>
    <w:rsid w:val="00F84B2C"/>
    <w:rsid w:val="00F84C44"/>
    <w:rsid w:val="00F84C78"/>
    <w:rsid w:val="00F84F74"/>
    <w:rsid w:val="00F85046"/>
    <w:rsid w:val="00F85344"/>
    <w:rsid w:val="00F857E5"/>
    <w:rsid w:val="00F85B2C"/>
    <w:rsid w:val="00F86078"/>
    <w:rsid w:val="00F86231"/>
    <w:rsid w:val="00F863DB"/>
    <w:rsid w:val="00F86595"/>
    <w:rsid w:val="00F86979"/>
    <w:rsid w:val="00F86BB1"/>
    <w:rsid w:val="00F86EF2"/>
    <w:rsid w:val="00F8708F"/>
    <w:rsid w:val="00F8772B"/>
    <w:rsid w:val="00F87742"/>
    <w:rsid w:val="00F877D1"/>
    <w:rsid w:val="00F90582"/>
    <w:rsid w:val="00F90605"/>
    <w:rsid w:val="00F906B1"/>
    <w:rsid w:val="00F90C8C"/>
    <w:rsid w:val="00F90E04"/>
    <w:rsid w:val="00F90F15"/>
    <w:rsid w:val="00F91121"/>
    <w:rsid w:val="00F91A6F"/>
    <w:rsid w:val="00F91A78"/>
    <w:rsid w:val="00F91B9A"/>
    <w:rsid w:val="00F91C93"/>
    <w:rsid w:val="00F92573"/>
    <w:rsid w:val="00F92C74"/>
    <w:rsid w:val="00F932A2"/>
    <w:rsid w:val="00F93DA1"/>
    <w:rsid w:val="00F93DD3"/>
    <w:rsid w:val="00F94285"/>
    <w:rsid w:val="00F94677"/>
    <w:rsid w:val="00F949BD"/>
    <w:rsid w:val="00F949E4"/>
    <w:rsid w:val="00F94F51"/>
    <w:rsid w:val="00F9558B"/>
    <w:rsid w:val="00F95647"/>
    <w:rsid w:val="00F9572B"/>
    <w:rsid w:val="00F95DB7"/>
    <w:rsid w:val="00F96514"/>
    <w:rsid w:val="00F9675A"/>
    <w:rsid w:val="00F968D4"/>
    <w:rsid w:val="00F96ABE"/>
    <w:rsid w:val="00F96C95"/>
    <w:rsid w:val="00F96FC6"/>
    <w:rsid w:val="00F97183"/>
    <w:rsid w:val="00F97663"/>
    <w:rsid w:val="00F97978"/>
    <w:rsid w:val="00F97D6C"/>
    <w:rsid w:val="00F97E49"/>
    <w:rsid w:val="00F97FFD"/>
    <w:rsid w:val="00FA008A"/>
    <w:rsid w:val="00FA06B3"/>
    <w:rsid w:val="00FA0A28"/>
    <w:rsid w:val="00FA186E"/>
    <w:rsid w:val="00FA2156"/>
    <w:rsid w:val="00FA2257"/>
    <w:rsid w:val="00FA2324"/>
    <w:rsid w:val="00FA2385"/>
    <w:rsid w:val="00FA24B6"/>
    <w:rsid w:val="00FA2A06"/>
    <w:rsid w:val="00FA2A1D"/>
    <w:rsid w:val="00FA2AF7"/>
    <w:rsid w:val="00FA31B8"/>
    <w:rsid w:val="00FA426B"/>
    <w:rsid w:val="00FA4941"/>
    <w:rsid w:val="00FA5015"/>
    <w:rsid w:val="00FA559A"/>
    <w:rsid w:val="00FA582F"/>
    <w:rsid w:val="00FA58D6"/>
    <w:rsid w:val="00FA59B4"/>
    <w:rsid w:val="00FA5A23"/>
    <w:rsid w:val="00FA5ACA"/>
    <w:rsid w:val="00FA690A"/>
    <w:rsid w:val="00FA69FF"/>
    <w:rsid w:val="00FA6EBD"/>
    <w:rsid w:val="00FA730B"/>
    <w:rsid w:val="00FA7385"/>
    <w:rsid w:val="00FA7390"/>
    <w:rsid w:val="00FA7468"/>
    <w:rsid w:val="00FA7610"/>
    <w:rsid w:val="00FA7AE2"/>
    <w:rsid w:val="00FA7F3C"/>
    <w:rsid w:val="00FB01A2"/>
    <w:rsid w:val="00FB03F5"/>
    <w:rsid w:val="00FB09E3"/>
    <w:rsid w:val="00FB1B17"/>
    <w:rsid w:val="00FB1D79"/>
    <w:rsid w:val="00FB1E5F"/>
    <w:rsid w:val="00FB262C"/>
    <w:rsid w:val="00FB3087"/>
    <w:rsid w:val="00FB3155"/>
    <w:rsid w:val="00FB32A6"/>
    <w:rsid w:val="00FB334D"/>
    <w:rsid w:val="00FB3D8C"/>
    <w:rsid w:val="00FB3FD6"/>
    <w:rsid w:val="00FB45D6"/>
    <w:rsid w:val="00FB4A49"/>
    <w:rsid w:val="00FB4C0E"/>
    <w:rsid w:val="00FB4D66"/>
    <w:rsid w:val="00FB4E87"/>
    <w:rsid w:val="00FB4EF2"/>
    <w:rsid w:val="00FB4FF5"/>
    <w:rsid w:val="00FB51C5"/>
    <w:rsid w:val="00FB52F3"/>
    <w:rsid w:val="00FB610B"/>
    <w:rsid w:val="00FB65EA"/>
    <w:rsid w:val="00FB67BD"/>
    <w:rsid w:val="00FB6F01"/>
    <w:rsid w:val="00FB754E"/>
    <w:rsid w:val="00FB7BD7"/>
    <w:rsid w:val="00FB7D3F"/>
    <w:rsid w:val="00FC002D"/>
    <w:rsid w:val="00FC004C"/>
    <w:rsid w:val="00FC04F9"/>
    <w:rsid w:val="00FC083E"/>
    <w:rsid w:val="00FC0891"/>
    <w:rsid w:val="00FC0C4E"/>
    <w:rsid w:val="00FC1342"/>
    <w:rsid w:val="00FC1512"/>
    <w:rsid w:val="00FC15B8"/>
    <w:rsid w:val="00FC16B6"/>
    <w:rsid w:val="00FC1AE3"/>
    <w:rsid w:val="00FC1ECC"/>
    <w:rsid w:val="00FC20D8"/>
    <w:rsid w:val="00FC2560"/>
    <w:rsid w:val="00FC27F1"/>
    <w:rsid w:val="00FC2AEB"/>
    <w:rsid w:val="00FC2D55"/>
    <w:rsid w:val="00FC2D77"/>
    <w:rsid w:val="00FC2E22"/>
    <w:rsid w:val="00FC2E2F"/>
    <w:rsid w:val="00FC2E85"/>
    <w:rsid w:val="00FC2FCB"/>
    <w:rsid w:val="00FC3128"/>
    <w:rsid w:val="00FC3AB4"/>
    <w:rsid w:val="00FC3EB6"/>
    <w:rsid w:val="00FC3F58"/>
    <w:rsid w:val="00FC4950"/>
    <w:rsid w:val="00FC578C"/>
    <w:rsid w:val="00FC5A31"/>
    <w:rsid w:val="00FC6970"/>
    <w:rsid w:val="00FC6F72"/>
    <w:rsid w:val="00FC6FCF"/>
    <w:rsid w:val="00FC7251"/>
    <w:rsid w:val="00FC7311"/>
    <w:rsid w:val="00FC7478"/>
    <w:rsid w:val="00FC74F7"/>
    <w:rsid w:val="00FC7A33"/>
    <w:rsid w:val="00FD016F"/>
    <w:rsid w:val="00FD03A9"/>
    <w:rsid w:val="00FD066B"/>
    <w:rsid w:val="00FD0713"/>
    <w:rsid w:val="00FD0838"/>
    <w:rsid w:val="00FD0DB1"/>
    <w:rsid w:val="00FD128B"/>
    <w:rsid w:val="00FD1645"/>
    <w:rsid w:val="00FD1A54"/>
    <w:rsid w:val="00FD1E34"/>
    <w:rsid w:val="00FD1E46"/>
    <w:rsid w:val="00FD23EC"/>
    <w:rsid w:val="00FD2B17"/>
    <w:rsid w:val="00FD2F62"/>
    <w:rsid w:val="00FD2F9D"/>
    <w:rsid w:val="00FD305D"/>
    <w:rsid w:val="00FD3318"/>
    <w:rsid w:val="00FD3366"/>
    <w:rsid w:val="00FD39B9"/>
    <w:rsid w:val="00FD3B0E"/>
    <w:rsid w:val="00FD3F25"/>
    <w:rsid w:val="00FD3F31"/>
    <w:rsid w:val="00FD444D"/>
    <w:rsid w:val="00FD45F0"/>
    <w:rsid w:val="00FD47A4"/>
    <w:rsid w:val="00FD4A0F"/>
    <w:rsid w:val="00FD4FBC"/>
    <w:rsid w:val="00FD5128"/>
    <w:rsid w:val="00FD516E"/>
    <w:rsid w:val="00FD5AB3"/>
    <w:rsid w:val="00FD5AC0"/>
    <w:rsid w:val="00FD5B34"/>
    <w:rsid w:val="00FD608B"/>
    <w:rsid w:val="00FD635E"/>
    <w:rsid w:val="00FD6388"/>
    <w:rsid w:val="00FD68DF"/>
    <w:rsid w:val="00FD6E51"/>
    <w:rsid w:val="00FD72B3"/>
    <w:rsid w:val="00FD76E5"/>
    <w:rsid w:val="00FD77D8"/>
    <w:rsid w:val="00FD78DF"/>
    <w:rsid w:val="00FD7977"/>
    <w:rsid w:val="00FD7B02"/>
    <w:rsid w:val="00FD7CA1"/>
    <w:rsid w:val="00FE0165"/>
    <w:rsid w:val="00FE057A"/>
    <w:rsid w:val="00FE07EE"/>
    <w:rsid w:val="00FE08C5"/>
    <w:rsid w:val="00FE0B4F"/>
    <w:rsid w:val="00FE0D03"/>
    <w:rsid w:val="00FE10E9"/>
    <w:rsid w:val="00FE1277"/>
    <w:rsid w:val="00FE14BE"/>
    <w:rsid w:val="00FE14F9"/>
    <w:rsid w:val="00FE1EBD"/>
    <w:rsid w:val="00FE1F0A"/>
    <w:rsid w:val="00FE26D8"/>
    <w:rsid w:val="00FE2C62"/>
    <w:rsid w:val="00FE2E30"/>
    <w:rsid w:val="00FE2E59"/>
    <w:rsid w:val="00FE2E71"/>
    <w:rsid w:val="00FE4122"/>
    <w:rsid w:val="00FE413E"/>
    <w:rsid w:val="00FE4AF1"/>
    <w:rsid w:val="00FE4B04"/>
    <w:rsid w:val="00FE5022"/>
    <w:rsid w:val="00FE5403"/>
    <w:rsid w:val="00FE5419"/>
    <w:rsid w:val="00FE542F"/>
    <w:rsid w:val="00FE5452"/>
    <w:rsid w:val="00FE547F"/>
    <w:rsid w:val="00FE5529"/>
    <w:rsid w:val="00FE5939"/>
    <w:rsid w:val="00FE5EC1"/>
    <w:rsid w:val="00FE5F92"/>
    <w:rsid w:val="00FE5F9B"/>
    <w:rsid w:val="00FE6080"/>
    <w:rsid w:val="00FE646A"/>
    <w:rsid w:val="00FE6B0D"/>
    <w:rsid w:val="00FE72A1"/>
    <w:rsid w:val="00FE74EA"/>
    <w:rsid w:val="00FE77EF"/>
    <w:rsid w:val="00FE7B00"/>
    <w:rsid w:val="00FE7E2B"/>
    <w:rsid w:val="00FE7E3E"/>
    <w:rsid w:val="00FF0240"/>
    <w:rsid w:val="00FF060B"/>
    <w:rsid w:val="00FF0766"/>
    <w:rsid w:val="00FF0DAD"/>
    <w:rsid w:val="00FF1C20"/>
    <w:rsid w:val="00FF22FB"/>
    <w:rsid w:val="00FF23D5"/>
    <w:rsid w:val="00FF2439"/>
    <w:rsid w:val="00FF2613"/>
    <w:rsid w:val="00FF2BF3"/>
    <w:rsid w:val="00FF34E5"/>
    <w:rsid w:val="00FF3C33"/>
    <w:rsid w:val="00FF45E9"/>
    <w:rsid w:val="00FF502E"/>
    <w:rsid w:val="00FF5210"/>
    <w:rsid w:val="00FF5418"/>
    <w:rsid w:val="00FF54B4"/>
    <w:rsid w:val="00FF56F6"/>
    <w:rsid w:val="00FF57FF"/>
    <w:rsid w:val="00FF5801"/>
    <w:rsid w:val="00FF5C95"/>
    <w:rsid w:val="00FF6305"/>
    <w:rsid w:val="00FF635E"/>
    <w:rsid w:val="00FF64E8"/>
    <w:rsid w:val="00FF67A1"/>
    <w:rsid w:val="00FF6919"/>
    <w:rsid w:val="00FF6BE8"/>
    <w:rsid w:val="00FF6CE2"/>
    <w:rsid w:val="00FF6F79"/>
    <w:rsid w:val="00FF7148"/>
    <w:rsid w:val="00FF729A"/>
    <w:rsid w:val="00FF7371"/>
    <w:rsid w:val="00FF76FB"/>
    <w:rsid w:val="00FF7A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44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locked="0" w:semiHidden="0" w:uiPriority="9" w:unhideWhenUsed="0" w:qFormat="1"/>
    <w:lsdException w:name="heading 6" w:locked="0" w:semiHidden="0" w:uiPriority="9" w:unhideWhenUsed="0"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uiPriority="0"/>
    <w:lsdException w:name="toc 5" w:uiPriority="0"/>
    <w:lsdException w:name="toc 6" w:uiPriority="0"/>
    <w:lsdException w:name="toc 7" w:uiPriority="0"/>
    <w:lsdException w:name="toc 8" w:uiPriority="0"/>
    <w:lsdException w:name="toc 9" w:uiPriority="0"/>
    <w:lsdException w:name="footnote text" w:locked="0" w:qFormat="1"/>
    <w:lsdException w:name="header" w:uiPriority="0"/>
    <w:lsdException w:name="footer" w:locked="0"/>
    <w:lsdException w:name="caption" w:semiHidden="0" w:uiPriority="0" w:unhideWhenUsed="0" w:qFormat="1"/>
    <w:lsdException w:name="footnote reference" w:locked="0"/>
    <w:lsdException w:name="page number" w:locked="0" w:uiPriority="0"/>
    <w:lsdException w:name="Title" w:semiHidden="0" w:uiPriority="0" w:unhideWhenUsed="0" w:qFormat="1"/>
    <w:lsdException w:name="Default Paragraph Font" w:locked="0" w:uiPriority="1"/>
    <w:lsdException w:name="Subtitle" w:semiHidden="0" w:uiPriority="0" w:unhideWhenUsed="0" w:qFormat="1"/>
    <w:lsdException w:name="Hyperlink" w:lock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locked="0"/>
    <w:lsdException w:name="HTML Bottom of Form" w:locked="0"/>
    <w:lsdException w:name="Normal Table" w:locked="0"/>
    <w:lsdException w:name="annotation subject" w:uiPriority="0"/>
    <w:lsdException w:name="No List" w:locked="0"/>
    <w:lsdException w:name="Outline List 1"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570B2"/>
    <w:rPr>
      <w:rFonts w:cs="Calibri"/>
      <w:sz w:val="22"/>
      <w:szCs w:val="22"/>
      <w:lang w:eastAsia="en-US"/>
    </w:rPr>
  </w:style>
  <w:style w:type="paragraph" w:styleId="Heading1">
    <w:name w:val="heading 1"/>
    <w:basedOn w:val="Normal"/>
    <w:next w:val="Normal"/>
    <w:link w:val="Heading1Char"/>
    <w:uiPriority w:val="9"/>
    <w:qFormat/>
    <w:locked/>
    <w:rsid w:val="009E0F39"/>
    <w:pPr>
      <w:keepNext/>
      <w:keepLines/>
      <w:numPr>
        <w:ilvl w:val="1"/>
        <w:numId w:val="12"/>
      </w:numPr>
      <w:spacing w:before="480"/>
      <w:outlineLvl w:val="0"/>
    </w:pPr>
    <w:rPr>
      <w:rFonts w:ascii="Cambria" w:hAnsi="Cambria"/>
      <w:b/>
      <w:bCs/>
      <w:color w:val="365F91"/>
      <w:sz w:val="28"/>
      <w:szCs w:val="28"/>
    </w:rPr>
  </w:style>
  <w:style w:type="paragraph" w:styleId="Heading2">
    <w:name w:val="heading 2"/>
    <w:aliases w:val="AER Heading 2"/>
    <w:basedOn w:val="Normal"/>
    <w:next w:val="Normal"/>
    <w:uiPriority w:val="9"/>
    <w:qFormat/>
    <w:locked/>
    <w:rsid w:val="00735FCF"/>
    <w:pPr>
      <w:keepNext/>
      <w:numPr>
        <w:ilvl w:val="2"/>
        <w:numId w:val="12"/>
      </w:numPr>
      <w:spacing w:before="240" w:after="60"/>
      <w:outlineLvl w:val="1"/>
    </w:pPr>
    <w:rPr>
      <w:rFonts w:ascii="Arial" w:hAnsi="Arial" w:cs="Arial"/>
      <w:b/>
      <w:bCs/>
      <w:i/>
      <w:iCs/>
      <w:sz w:val="28"/>
      <w:szCs w:val="28"/>
    </w:rPr>
  </w:style>
  <w:style w:type="paragraph" w:styleId="Heading3">
    <w:name w:val="heading 3"/>
    <w:basedOn w:val="Normal"/>
    <w:next w:val="Normal"/>
    <w:uiPriority w:val="9"/>
    <w:qFormat/>
    <w:locked/>
    <w:rsid w:val="00735FCF"/>
    <w:pPr>
      <w:keepNext/>
      <w:numPr>
        <w:ilvl w:val="3"/>
        <w:numId w:val="12"/>
      </w:numPr>
      <w:spacing w:before="240" w:after="60"/>
      <w:outlineLvl w:val="2"/>
    </w:pPr>
    <w:rPr>
      <w:rFonts w:ascii="Arial" w:hAnsi="Arial" w:cs="Arial"/>
      <w:b/>
      <w:bCs/>
      <w:sz w:val="26"/>
      <w:szCs w:val="26"/>
    </w:rPr>
  </w:style>
  <w:style w:type="paragraph" w:styleId="Heading4">
    <w:name w:val="heading 4"/>
    <w:basedOn w:val="Normal"/>
    <w:next w:val="Normal"/>
    <w:qFormat/>
    <w:locked/>
    <w:rsid w:val="006521E3"/>
    <w:pPr>
      <w:keepNext/>
      <w:spacing w:before="240" w:after="60"/>
      <w:outlineLvl w:val="3"/>
    </w:pPr>
    <w:rPr>
      <w:b/>
      <w:bCs/>
      <w:sz w:val="28"/>
      <w:szCs w:val="28"/>
    </w:rPr>
  </w:style>
  <w:style w:type="paragraph" w:styleId="Heading5">
    <w:name w:val="heading 5"/>
    <w:basedOn w:val="Normal"/>
    <w:next w:val="Normal"/>
    <w:uiPriority w:val="9"/>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UnnumberedHeading"/>
    <w:next w:val="AERbodytext"/>
    <w:link w:val="Heading7Char"/>
    <w:uiPriority w:val="9"/>
    <w:qFormat/>
    <w:locked/>
    <w:rsid w:val="00CF67B7"/>
    <w:pPr>
      <w:numPr>
        <w:ilvl w:val="4"/>
      </w:numPr>
      <w:outlineLvl w:val="6"/>
    </w:pPr>
    <w:rPr>
      <w:iCs/>
      <w:szCs w:val="24"/>
    </w:rPr>
  </w:style>
  <w:style w:type="paragraph" w:styleId="Heading8">
    <w:name w:val="heading 8"/>
    <w:basedOn w:val="Heading7"/>
    <w:next w:val="AERbodytext"/>
    <w:link w:val="Heading8Char"/>
    <w:uiPriority w:val="9"/>
    <w:qFormat/>
    <w:locked/>
    <w:rsid w:val="00CF67B7"/>
    <w:pPr>
      <w:pageBreakBefore w:val="0"/>
      <w:numPr>
        <w:ilvl w:val="5"/>
      </w:numPr>
      <w:outlineLvl w:val="7"/>
    </w:pPr>
    <w:rPr>
      <w:sz w:val="28"/>
      <w:szCs w:val="20"/>
    </w:rPr>
  </w:style>
  <w:style w:type="paragraph" w:styleId="Heading9">
    <w:name w:val="heading 9"/>
    <w:basedOn w:val="Heading8"/>
    <w:next w:val="AERbodytext"/>
    <w:link w:val="Heading9Char"/>
    <w:uiPriority w:val="9"/>
    <w:qFormat/>
    <w:locked/>
    <w:rsid w:val="00CF67B7"/>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AERfigureheading"/>
    <w:next w:val="Normal"/>
    <w:qFormat/>
    <w:rsid w:val="003D3AB6"/>
    <w:pPr>
      <w:numPr>
        <w:ilvl w:val="0"/>
        <w:numId w:val="0"/>
      </w:numPr>
    </w:pPr>
  </w:style>
  <w:style w:type="paragraph" w:customStyle="1" w:styleId="AERfigureheading">
    <w:name w:val="AER figure heading"/>
    <w:basedOn w:val="Normal"/>
    <w:next w:val="AERbodytext"/>
    <w:qFormat/>
    <w:rsid w:val="00914CE6"/>
    <w:pPr>
      <w:keepNext/>
      <w:numPr>
        <w:ilvl w:val="3"/>
        <w:numId w:val="7"/>
      </w:numPr>
      <w:tabs>
        <w:tab w:val="left" w:pos="1474"/>
      </w:tabs>
      <w:spacing w:before="240" w:after="120"/>
      <w:outlineLvl w:val="3"/>
    </w:pPr>
    <w:rPr>
      <w:b/>
    </w:rPr>
  </w:style>
  <w:style w:type="paragraph" w:customStyle="1" w:styleId="AERrevisionbox">
    <w:name w:val="AER revision box"/>
    <w:basedOn w:val="AERbodytext"/>
    <w:rsid w:val="006B1F6A"/>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textbolditalics">
    <w:name w:val="AER text bold italics"/>
    <w:rsid w:val="009E0F39"/>
    <w:rPr>
      <w:b/>
      <w:i/>
    </w:rPr>
  </w:style>
  <w:style w:type="character" w:customStyle="1" w:styleId="AERtextbold">
    <w:name w:val="AER text bold"/>
    <w:qFormat/>
    <w:rsid w:val="009E0F39"/>
    <w:rPr>
      <w:b/>
    </w:rPr>
  </w:style>
  <w:style w:type="paragraph" w:customStyle="1" w:styleId="AERbulletlistfirststyle">
    <w:name w:val="AER bullet list (first style)"/>
    <w:basedOn w:val="AERbodytext"/>
    <w:link w:val="AERbulletlistfirststyleChar"/>
    <w:qFormat/>
    <w:rsid w:val="00E5080D"/>
    <w:pPr>
      <w:tabs>
        <w:tab w:val="left" w:pos="0"/>
      </w:tabs>
    </w:pPr>
    <w:rPr>
      <w:szCs w:val="16"/>
    </w:rPr>
  </w:style>
  <w:style w:type="paragraph" w:customStyle="1" w:styleId="AERbulletlistsecondstyle">
    <w:name w:val="AER bullet list (second style)"/>
    <w:basedOn w:val="AERbodytext"/>
    <w:qFormat/>
    <w:rsid w:val="00E5080D"/>
    <w:pPr>
      <w:numPr>
        <w:numId w:val="1"/>
      </w:numPr>
      <w:spacing w:after="200"/>
    </w:pPr>
  </w:style>
  <w:style w:type="paragraph" w:customStyle="1" w:styleId="AERbulletlistthirdstyle">
    <w:name w:val="AER bullet list (third style)"/>
    <w:basedOn w:val="AERbodytext"/>
    <w:rsid w:val="009E0F39"/>
    <w:pPr>
      <w:numPr>
        <w:numId w:val="2"/>
      </w:numPr>
      <w:tabs>
        <w:tab w:val="clear" w:pos="870"/>
        <w:tab w:val="left" w:pos="1077"/>
      </w:tabs>
      <w:spacing w:after="200"/>
      <w:ind w:left="1077" w:hanging="357"/>
    </w:pPr>
  </w:style>
  <w:style w:type="paragraph" w:customStyle="1" w:styleId="AERheading1">
    <w:name w:val="AER heading 1"/>
    <w:basedOn w:val="Heading1"/>
    <w:next w:val="AERbodytext"/>
    <w:link w:val="AERheading1Char"/>
    <w:qFormat/>
    <w:rsid w:val="00FB1B17"/>
    <w:pPr>
      <w:keepLines w:val="0"/>
      <w:pageBreakBefore/>
      <w:numPr>
        <w:ilvl w:val="0"/>
        <w:numId w:val="7"/>
      </w:numPr>
      <w:spacing w:before="240" w:after="240"/>
    </w:pPr>
    <w:rPr>
      <w:rFonts w:ascii="Gautami" w:hAnsi="Gautami" w:cs="Arial"/>
      <w:color w:val="F2750E"/>
      <w:kern w:val="32"/>
      <w:sz w:val="36"/>
      <w:szCs w:val="32"/>
    </w:rPr>
  </w:style>
  <w:style w:type="paragraph" w:customStyle="1" w:styleId="AERheading2">
    <w:name w:val="AER heading 2"/>
    <w:basedOn w:val="AERheading1"/>
    <w:next w:val="AERbodytext"/>
    <w:link w:val="AERheading2Char"/>
    <w:qFormat/>
    <w:rsid w:val="00B64284"/>
    <w:pPr>
      <w:pageBreakBefore w:val="0"/>
      <w:numPr>
        <w:ilvl w:val="1"/>
      </w:numPr>
    </w:pPr>
    <w:rPr>
      <w:sz w:val="28"/>
      <w:szCs w:val="30"/>
    </w:rPr>
  </w:style>
  <w:style w:type="paragraph" w:customStyle="1" w:styleId="AERheading3">
    <w:name w:val="AER heading 3"/>
    <w:basedOn w:val="AERheading2"/>
    <w:next w:val="AERbodytext"/>
    <w:link w:val="AERheading3Char"/>
    <w:qFormat/>
    <w:rsid w:val="00557653"/>
    <w:pPr>
      <w:numPr>
        <w:ilvl w:val="2"/>
      </w:numPr>
      <w:spacing w:before="120"/>
    </w:pPr>
    <w:rPr>
      <w:color w:val="auto"/>
      <w:sz w:val="24"/>
      <w:szCs w:val="24"/>
    </w:rPr>
  </w:style>
  <w:style w:type="paragraph" w:customStyle="1" w:styleId="AERnumberedlistfirststyle">
    <w:name w:val="AER numbered list (first style)"/>
    <w:basedOn w:val="AERbodytext"/>
    <w:qFormat/>
    <w:rsid w:val="009E0F39"/>
    <w:pPr>
      <w:numPr>
        <w:numId w:val="4"/>
      </w:numPr>
      <w:spacing w:after="200" w:line="200" w:lineRule="atLeast"/>
    </w:pPr>
  </w:style>
  <w:style w:type="paragraph" w:customStyle="1" w:styleId="AERnumberedlistsecondstyle">
    <w:name w:val="AER numbered list (second style)"/>
    <w:basedOn w:val="AERnumberedlistfirststyle"/>
    <w:qFormat/>
    <w:rsid w:val="009E0F39"/>
    <w:pPr>
      <w:numPr>
        <w:numId w:val="5"/>
      </w:numPr>
    </w:pPr>
  </w:style>
  <w:style w:type="paragraph" w:customStyle="1" w:styleId="AERnumberedlistthirdstyle">
    <w:name w:val="AER numbered list (third style)"/>
    <w:basedOn w:val="AERbodytext"/>
    <w:qFormat/>
    <w:rsid w:val="009E0F39"/>
    <w:pPr>
      <w:numPr>
        <w:numId w:val="3"/>
      </w:numPr>
      <w:tabs>
        <w:tab w:val="clear" w:pos="1440"/>
        <w:tab w:val="left" w:pos="1077"/>
      </w:tabs>
      <w:spacing w:after="200"/>
      <w:ind w:left="1077" w:hanging="357"/>
    </w:pPr>
  </w:style>
  <w:style w:type="paragraph" w:customStyle="1" w:styleId="AERquote">
    <w:name w:val="AER quote"/>
    <w:basedOn w:val="AERbodytextindent1"/>
    <w:next w:val="AERbodytext"/>
    <w:qFormat/>
    <w:rsid w:val="009E0F39"/>
    <w:pPr>
      <w:spacing w:after="160"/>
      <w:ind w:right="1077"/>
    </w:pPr>
    <w:rPr>
      <w:color w:val="000000"/>
      <w:sz w:val="16"/>
    </w:rPr>
  </w:style>
  <w:style w:type="paragraph" w:customStyle="1" w:styleId="AERbodytextindent1">
    <w:name w:val="AER body text (indent 1)"/>
    <w:basedOn w:val="AERbodytext"/>
    <w:rsid w:val="009E0F39"/>
    <w:pPr>
      <w:ind w:left="357"/>
    </w:pPr>
  </w:style>
  <w:style w:type="paragraph" w:customStyle="1" w:styleId="AERquotebullet1">
    <w:name w:val="AER quote bullet 1"/>
    <w:basedOn w:val="AERnumberedlistfirststyle"/>
    <w:qFormat/>
    <w:rsid w:val="009E0F39"/>
    <w:pPr>
      <w:numPr>
        <w:numId w:val="0"/>
      </w:numPr>
    </w:pPr>
    <w:rPr>
      <w:sz w:val="16"/>
      <w:szCs w:val="16"/>
    </w:rPr>
  </w:style>
  <w:style w:type="character" w:customStyle="1" w:styleId="AERsubscript">
    <w:name w:val="AER subscript"/>
    <w:rsid w:val="009E0F39"/>
    <w:rPr>
      <w:rFonts w:ascii="Gautami" w:hAnsi="Gautami"/>
      <w:vertAlign w:val="subscript"/>
    </w:rPr>
  </w:style>
  <w:style w:type="character" w:customStyle="1" w:styleId="AERsuperscript">
    <w:name w:val="AER superscript"/>
    <w:rsid w:val="009E0F39"/>
    <w:rPr>
      <w:rFonts w:ascii="Gautami" w:hAnsi="Gautami"/>
      <w:vertAlign w:val="superscript"/>
    </w:rPr>
  </w:style>
  <w:style w:type="table" w:customStyle="1" w:styleId="AERtable-numbers">
    <w:name w:val="AER table - numbers"/>
    <w:basedOn w:val="TableNormal"/>
    <w:uiPriority w:val="99"/>
    <w:rsid w:val="009D62B2"/>
    <w:pPr>
      <w:keepNext/>
      <w:spacing w:before="40" w:after="40"/>
      <w:jc w:val="right"/>
    </w:pPr>
    <w:rPr>
      <w:rFonts w:ascii="Gautami" w:eastAsia="Times New Roman" w:hAnsi="Gautami"/>
      <w:sz w:val="16"/>
    </w:r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tablesource">
    <w:name w:val="AER table source"/>
    <w:next w:val="AERbodytext"/>
    <w:qFormat/>
    <w:rsid w:val="009E0F39"/>
    <w:pPr>
      <w:tabs>
        <w:tab w:val="left" w:pos="1361"/>
      </w:tabs>
      <w:spacing w:before="40" w:after="240"/>
      <w:ind w:left="794" w:right="1077" w:hanging="794"/>
      <w:contextualSpacing/>
    </w:pPr>
    <w:rPr>
      <w:rFonts w:ascii="Gautami" w:eastAsia="Times New Roman" w:hAnsi="Gautami"/>
      <w:sz w:val="16"/>
      <w:szCs w:val="24"/>
      <w:lang w:eastAsia="en-US"/>
    </w:rPr>
  </w:style>
  <w:style w:type="paragraph" w:customStyle="1" w:styleId="AERtabletext">
    <w:name w:val="AER table text"/>
    <w:basedOn w:val="Normal"/>
    <w:link w:val="AERtabletextChar"/>
    <w:qFormat/>
    <w:rsid w:val="009E0F39"/>
    <w:pPr>
      <w:widowControl w:val="0"/>
      <w:spacing w:before="120" w:after="120"/>
    </w:pPr>
    <w:rPr>
      <w:sz w:val="16"/>
    </w:rPr>
  </w:style>
  <w:style w:type="paragraph" w:customStyle="1" w:styleId="AERtabletextheading">
    <w:name w:val="AER table text heading"/>
    <w:link w:val="AERtabletextheadingChar"/>
    <w:qFormat/>
    <w:rsid w:val="00BB00F8"/>
    <w:pPr>
      <w:spacing w:before="120" w:after="120"/>
    </w:pPr>
    <w:rPr>
      <w:rFonts w:ascii="Gautami" w:eastAsia="Times New Roman" w:hAnsi="Gautami"/>
      <w:b/>
      <w:sz w:val="16"/>
      <w:szCs w:val="16"/>
      <w:lang w:eastAsia="en-US"/>
    </w:rPr>
  </w:style>
  <w:style w:type="paragraph" w:customStyle="1" w:styleId="AERheading4">
    <w:name w:val="AER heading 4"/>
    <w:next w:val="AERbodytext"/>
    <w:qFormat/>
    <w:rsid w:val="00300F5E"/>
    <w:pPr>
      <w:keepNext/>
      <w:spacing w:after="240"/>
    </w:pPr>
    <w:rPr>
      <w:rFonts w:ascii="Gautami" w:eastAsia="Times New Roman" w:hAnsi="Gautami" w:cs="Arial"/>
      <w:b/>
      <w:bCs/>
      <w:kern w:val="32"/>
      <w:sz w:val="22"/>
      <w:szCs w:val="24"/>
      <w:lang w:eastAsia="en-US"/>
    </w:rPr>
  </w:style>
  <w:style w:type="paragraph" w:styleId="Footer">
    <w:name w:val="footer"/>
    <w:basedOn w:val="Normal"/>
    <w:link w:val="FooterChar"/>
    <w:uiPriority w:val="99"/>
    <w:rsid w:val="009E0F39"/>
    <w:pPr>
      <w:tabs>
        <w:tab w:val="center" w:pos="4153"/>
        <w:tab w:val="right" w:pos="8306"/>
      </w:tabs>
    </w:pPr>
  </w:style>
  <w:style w:type="character" w:styleId="PageNumber">
    <w:name w:val="page number"/>
    <w:rsid w:val="009E0F39"/>
    <w:rPr>
      <w:rFonts w:ascii="Gautami" w:hAnsi="Gautami"/>
      <w:sz w:val="18"/>
    </w:rPr>
  </w:style>
  <w:style w:type="table" w:customStyle="1" w:styleId="AERtable-text">
    <w:name w:val="AER table - text"/>
    <w:basedOn w:val="AERtable-numbers"/>
    <w:rsid w:val="009D62B2"/>
    <w:pPr>
      <w:jc w:val="left"/>
    </w:p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quoteindent1">
    <w:name w:val="AER quote (indent 1)"/>
    <w:basedOn w:val="AERquote"/>
    <w:rsid w:val="009E0F39"/>
    <w:pPr>
      <w:ind w:left="720" w:right="1440"/>
    </w:pPr>
  </w:style>
  <w:style w:type="paragraph" w:customStyle="1" w:styleId="AERbodytextindent2">
    <w:name w:val="AER body text (indent 2)"/>
    <w:basedOn w:val="AERbodytext"/>
    <w:rsid w:val="009E0F39"/>
    <w:pPr>
      <w:ind w:left="720"/>
    </w:pPr>
  </w:style>
  <w:style w:type="paragraph" w:customStyle="1" w:styleId="AERbodytextindent3">
    <w:name w:val="AER body text (indent 3)"/>
    <w:basedOn w:val="AERbodytext"/>
    <w:rsid w:val="009E0F39"/>
    <w:pPr>
      <w:ind w:left="1077"/>
    </w:pPr>
  </w:style>
  <w:style w:type="paragraph" w:customStyle="1" w:styleId="AERquoteindent2">
    <w:name w:val="AER quote (indent 2)"/>
    <w:basedOn w:val="AERquoteindent1"/>
    <w:rsid w:val="009E0F39"/>
    <w:pPr>
      <w:ind w:left="1077" w:right="1797"/>
    </w:pPr>
  </w:style>
  <w:style w:type="paragraph" w:customStyle="1" w:styleId="AERquoteindent3">
    <w:name w:val="AER quote (indent 3)"/>
    <w:basedOn w:val="AERquoteindent2"/>
    <w:rsid w:val="009E0F39"/>
    <w:pPr>
      <w:ind w:left="1440" w:right="2160"/>
    </w:pPr>
  </w:style>
  <w:style w:type="character" w:customStyle="1" w:styleId="AERtexthighlight">
    <w:name w:val="AER text highlight"/>
    <w:rsid w:val="009E0F39"/>
    <w:rPr>
      <w:bdr w:val="none" w:sz="0" w:space="0" w:color="auto"/>
      <w:shd w:val="clear" w:color="auto" w:fill="FFFF99"/>
    </w:rPr>
  </w:style>
  <w:style w:type="paragraph" w:customStyle="1" w:styleId="NER-RC-Para">
    <w:name w:val="NER-RC-Para"/>
    <w:basedOn w:val="Normal"/>
    <w:rsid w:val="009E0F39"/>
    <w:pPr>
      <w:autoSpaceDE w:val="0"/>
      <w:autoSpaceDN w:val="0"/>
      <w:adjustRightInd w:val="0"/>
      <w:spacing w:before="120" w:after="120"/>
      <w:ind w:left="357"/>
    </w:pPr>
    <w:rPr>
      <w:color w:val="000000"/>
      <w:sz w:val="18"/>
    </w:rPr>
  </w:style>
  <w:style w:type="paragraph" w:customStyle="1" w:styleId="NER-RC-List-1-MNum">
    <w:name w:val="NER-RC-List-1-MNum"/>
    <w:basedOn w:val="Normal"/>
    <w:rsid w:val="009E0F39"/>
    <w:pPr>
      <w:tabs>
        <w:tab w:val="left" w:pos="1701"/>
      </w:tabs>
      <w:autoSpaceDE w:val="0"/>
      <w:autoSpaceDN w:val="0"/>
      <w:adjustRightInd w:val="0"/>
      <w:spacing w:before="120" w:after="120"/>
      <w:ind w:left="924" w:hanging="567"/>
    </w:pPr>
    <w:rPr>
      <w:color w:val="000000"/>
      <w:sz w:val="18"/>
    </w:rPr>
  </w:style>
  <w:style w:type="paragraph" w:customStyle="1" w:styleId="NER-RC-List-2-MNum">
    <w:name w:val="NER-RC-List-2-MNum"/>
    <w:basedOn w:val="Normal"/>
    <w:rsid w:val="009E0F39"/>
    <w:pPr>
      <w:tabs>
        <w:tab w:val="left" w:pos="2268"/>
      </w:tabs>
      <w:autoSpaceDE w:val="0"/>
      <w:autoSpaceDN w:val="0"/>
      <w:adjustRightInd w:val="0"/>
      <w:spacing w:before="120" w:after="120"/>
      <w:ind w:left="1287" w:hanging="567"/>
    </w:pPr>
    <w:rPr>
      <w:color w:val="000000"/>
      <w:sz w:val="18"/>
    </w:rPr>
  </w:style>
  <w:style w:type="paragraph" w:customStyle="1" w:styleId="NER-RC-Text-In-1">
    <w:name w:val="NER-RC-Text-In-1"/>
    <w:basedOn w:val="Normal"/>
    <w:rsid w:val="009E0F39"/>
    <w:pPr>
      <w:autoSpaceDE w:val="0"/>
      <w:autoSpaceDN w:val="0"/>
      <w:adjustRightInd w:val="0"/>
      <w:spacing w:before="120" w:after="120"/>
      <w:ind w:left="720"/>
    </w:pPr>
    <w:rPr>
      <w:color w:val="000000"/>
      <w:sz w:val="18"/>
    </w:rPr>
  </w:style>
  <w:style w:type="paragraph" w:customStyle="1" w:styleId="NER-Cl-Title-Lvl-4">
    <w:name w:val="NER-Cl-Title-Lvl-4"/>
    <w:basedOn w:val="Normal"/>
    <w:rsid w:val="009E0F39"/>
    <w:pPr>
      <w:keepNext/>
      <w:keepLines/>
      <w:tabs>
        <w:tab w:val="left" w:pos="1134"/>
      </w:tabs>
      <w:autoSpaceDE w:val="0"/>
      <w:autoSpaceDN w:val="0"/>
      <w:adjustRightInd w:val="0"/>
      <w:spacing w:before="240" w:after="60"/>
      <w:ind w:left="1134" w:hanging="1134"/>
    </w:pPr>
    <w:rPr>
      <w:rFonts w:cs="Arial Bold"/>
      <w:b/>
      <w:bCs/>
      <w:color w:val="000000"/>
    </w:rPr>
  </w:style>
  <w:style w:type="character" w:customStyle="1" w:styleId="AERconfidentialtext">
    <w:name w:val="AER confidential text"/>
    <w:rsid w:val="009E0F39"/>
    <w:rPr>
      <w:bdr w:val="none" w:sz="0" w:space="0" w:color="auto"/>
      <w:shd w:val="clear" w:color="auto" w:fill="CCFFFF"/>
    </w:rPr>
  </w:style>
  <w:style w:type="paragraph" w:customStyle="1" w:styleId="AERheading5">
    <w:name w:val="AER heading 5"/>
    <w:basedOn w:val="Heading5"/>
    <w:next w:val="AERbodytext"/>
    <w:link w:val="AERheading5Char"/>
    <w:qFormat/>
    <w:rsid w:val="00300F5E"/>
    <w:pPr>
      <w:keepLines w:val="0"/>
      <w:spacing w:before="120" w:after="240" w:line="240" w:lineRule="atLeast"/>
      <w:ind w:left="720"/>
    </w:pPr>
    <w:rPr>
      <w:rFonts w:ascii="Gautami" w:hAnsi="Gautami" w:cs="Arial"/>
      <w:b/>
      <w:bCs/>
      <w:color w:val="auto"/>
      <w:kern w:val="32"/>
    </w:rPr>
  </w:style>
  <w:style w:type="paragraph" w:customStyle="1" w:styleId="AERheading6">
    <w:name w:val="AER heading 6"/>
    <w:basedOn w:val="Heading6"/>
    <w:next w:val="AERbodytext"/>
    <w:rsid w:val="00300F5E"/>
    <w:pPr>
      <w:keepLines w:val="0"/>
      <w:spacing w:before="120" w:after="120"/>
      <w:ind w:left="1440"/>
    </w:pPr>
    <w:rPr>
      <w:rFonts w:ascii="Gautami" w:hAnsi="Gautami" w:cs="Arial"/>
      <w:bCs/>
      <w:iCs w:val="0"/>
      <w:color w:val="auto"/>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uiPriority w:val="99"/>
    <w:unhideWhenUsed/>
    <w:rsid w:val="009E0F39"/>
    <w:rPr>
      <w:vertAlign w:val="superscript"/>
    </w:rPr>
  </w:style>
  <w:style w:type="paragraph" w:styleId="Header">
    <w:name w:val="header"/>
    <w:basedOn w:val="Normal"/>
    <w:locked/>
    <w:rsid w:val="009E0F39"/>
    <w:pPr>
      <w:tabs>
        <w:tab w:val="center" w:pos="4153"/>
        <w:tab w:val="right" w:pos="8306"/>
      </w:tabs>
    </w:pPr>
  </w:style>
  <w:style w:type="character" w:styleId="CommentReference">
    <w:name w:val="annotation reference"/>
    <w:uiPriority w:val="99"/>
    <w:semiHidden/>
    <w:locked/>
    <w:rsid w:val="009E0F39"/>
    <w:rPr>
      <w:sz w:val="16"/>
      <w:szCs w:val="16"/>
    </w:rPr>
  </w:style>
  <w:style w:type="paragraph" w:styleId="CommentText">
    <w:name w:val="annotation text"/>
    <w:basedOn w:val="Normal"/>
    <w:link w:val="CommentTextChar"/>
    <w:uiPriority w:val="99"/>
    <w:locked/>
    <w:rsid w:val="009E0F39"/>
    <w:rPr>
      <w:szCs w:val="20"/>
    </w:rPr>
  </w:style>
  <w:style w:type="paragraph" w:styleId="CommentSubject">
    <w:name w:val="annotation subject"/>
    <w:basedOn w:val="CommentText"/>
    <w:next w:val="CommentText"/>
    <w:semiHidden/>
    <w:locked/>
    <w:rsid w:val="009E0F39"/>
    <w:rPr>
      <w:b/>
      <w:bCs/>
    </w:rPr>
  </w:style>
  <w:style w:type="paragraph" w:styleId="BalloonText">
    <w:name w:val="Balloon Text"/>
    <w:basedOn w:val="Normal"/>
    <w:semiHidden/>
    <w:locked/>
    <w:rsid w:val="009E0F39"/>
    <w:rPr>
      <w:rFonts w:ascii="Tahoma" w:hAnsi="Tahoma" w:cs="Tahoma"/>
      <w:sz w:val="16"/>
      <w:szCs w:val="16"/>
    </w:r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qFormat/>
    <w:rsid w:val="009E0F39"/>
    <w:pPr>
      <w:tabs>
        <w:tab w:val="left" w:pos="454"/>
      </w:tabs>
      <w:ind w:left="454" w:hanging="454"/>
    </w:pPr>
    <w:rPr>
      <w:sz w:val="16"/>
      <w:szCs w:val="20"/>
    </w:rPr>
  </w:style>
  <w:style w:type="character" w:customStyle="1" w:styleId="AERbody">
    <w:name w:val="AER body"/>
    <w:rsid w:val="003B7459"/>
    <w:rPr>
      <w:rFonts w:ascii="Gautami" w:hAnsi="Gautami"/>
      <w:sz w:val="20"/>
    </w:rPr>
  </w:style>
  <w:style w:type="paragraph" w:customStyle="1" w:styleId="AERtabletext-numbers">
    <w:name w:val="AER table text - numbers"/>
    <w:basedOn w:val="AERtabletext"/>
    <w:uiPriority w:val="99"/>
    <w:qFormat/>
    <w:rsid w:val="009E0F39"/>
    <w:pPr>
      <w:keepNext/>
      <w:jc w:val="right"/>
    </w:pPr>
  </w:style>
  <w:style w:type="character" w:customStyle="1" w:styleId="AERtextboldunderline">
    <w:name w:val="AER text bold underline"/>
    <w:rsid w:val="009E0F39"/>
    <w:rPr>
      <w:b/>
      <w:u w:val="single"/>
    </w:rPr>
  </w:style>
  <w:style w:type="character" w:customStyle="1" w:styleId="AERtextunderline">
    <w:name w:val="AER text underline"/>
    <w:rsid w:val="009E0F39"/>
    <w:rPr>
      <w:u w:val="single"/>
    </w:rPr>
  </w:style>
  <w:style w:type="character" w:customStyle="1" w:styleId="AERtextitalic">
    <w:name w:val="AER text italic"/>
    <w:qFormat/>
    <w:rsid w:val="009E0F39"/>
    <w:rPr>
      <w:i/>
    </w:rPr>
  </w:style>
  <w:style w:type="paragraph" w:styleId="TOC1">
    <w:name w:val="toc 1"/>
    <w:basedOn w:val="Normal"/>
    <w:next w:val="Normal"/>
    <w:uiPriority w:val="39"/>
    <w:rsid w:val="00DC76BD"/>
    <w:pPr>
      <w:tabs>
        <w:tab w:val="left" w:pos="567"/>
        <w:tab w:val="right" w:leader="dot" w:pos="8307"/>
      </w:tabs>
      <w:spacing w:before="120" w:after="120" w:line="276" w:lineRule="auto"/>
    </w:pPr>
    <w:rPr>
      <w:b/>
    </w:rPr>
  </w:style>
  <w:style w:type="paragraph" w:styleId="TOC2">
    <w:name w:val="toc 2"/>
    <w:basedOn w:val="Normal"/>
    <w:next w:val="Normal"/>
    <w:uiPriority w:val="39"/>
    <w:rsid w:val="004D044A"/>
    <w:pPr>
      <w:tabs>
        <w:tab w:val="left" w:pos="1080"/>
        <w:tab w:val="right" w:leader="dot" w:pos="8307"/>
      </w:tabs>
      <w:ind w:left="1134" w:hanging="567"/>
    </w:pPr>
  </w:style>
  <w:style w:type="paragraph" w:styleId="TOC3">
    <w:name w:val="toc 3"/>
    <w:basedOn w:val="Normal"/>
    <w:next w:val="Normal"/>
    <w:uiPriority w:val="39"/>
    <w:rsid w:val="004D044A"/>
    <w:pPr>
      <w:tabs>
        <w:tab w:val="left" w:pos="1980"/>
        <w:tab w:val="right" w:leader="dot" w:pos="8307"/>
      </w:tabs>
      <w:ind w:left="1980" w:hanging="900"/>
    </w:pPr>
  </w:style>
  <w:style w:type="paragraph" w:customStyle="1" w:styleId="AERunnumberedheading">
    <w:name w:val="AER unnumbered heading"/>
    <w:basedOn w:val="AERheading1"/>
    <w:rsid w:val="00033718"/>
    <w:pPr>
      <w:numPr>
        <w:numId w:val="0"/>
      </w:numPr>
      <w:spacing w:after="120"/>
    </w:pPr>
  </w:style>
  <w:style w:type="paragraph" w:customStyle="1" w:styleId="AERTitle1">
    <w:name w:val="AER Title 1"/>
    <w:basedOn w:val="AERheading4"/>
    <w:rsid w:val="00A052AB"/>
    <w:pPr>
      <w:jc w:val="center"/>
    </w:pPr>
    <w:rPr>
      <w:sz w:val="40"/>
    </w:rPr>
  </w:style>
  <w:style w:type="paragraph" w:customStyle="1" w:styleId="AERTitle2">
    <w:name w:val="AER Title 2"/>
    <w:basedOn w:val="AERTitle1"/>
    <w:rsid w:val="00A052AB"/>
    <w:pPr>
      <w:spacing w:before="1680"/>
    </w:pPr>
    <w:rPr>
      <w:b w:val="0"/>
      <w:sz w:val="32"/>
    </w:rPr>
  </w:style>
  <w:style w:type="character" w:styleId="Hyperlink">
    <w:name w:val="Hyperlink"/>
    <w:uiPriority w:val="99"/>
    <w:rsid w:val="00D023EF"/>
    <w:rPr>
      <w:rFonts w:ascii="Gautami" w:hAnsi="Gautami"/>
      <w:color w:val="0000FF"/>
      <w:u w:val="single"/>
    </w:rPr>
  </w:style>
  <w:style w:type="paragraph" w:customStyle="1" w:styleId="AERtableheadingright">
    <w:name w:val="AER table heading right"/>
    <w:basedOn w:val="AERtabletextheading"/>
    <w:rsid w:val="00BB00F8"/>
    <w:pPr>
      <w:jc w:val="right"/>
    </w:pPr>
  </w:style>
  <w:style w:type="table" w:styleId="TableGrid">
    <w:name w:val="Table Grid"/>
    <w:basedOn w:val="TableNormal"/>
    <w:uiPriority w:val="59"/>
    <w:locked/>
    <w:rsid w:val="00F52E01"/>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unnumberedtabletitle">
    <w:name w:val="AER unnumbered table title"/>
    <w:basedOn w:val="AERtabletitle"/>
    <w:rsid w:val="0058387D"/>
  </w:style>
  <w:style w:type="paragraph" w:customStyle="1" w:styleId="AERgenericboldheading">
    <w:name w:val="AER generic bold heading"/>
    <w:basedOn w:val="AERbodytext"/>
    <w:rsid w:val="00B11AF7"/>
    <w:pPr>
      <w:keepNext/>
      <w:tabs>
        <w:tab w:val="left" w:pos="1440"/>
      </w:tabs>
      <w:spacing w:after="120" w:line="240" w:lineRule="auto"/>
      <w:ind w:left="1440" w:hanging="1440"/>
    </w:pPr>
    <w:rPr>
      <w:b/>
    </w:rPr>
  </w:style>
  <w:style w:type="paragraph" w:customStyle="1" w:styleId="AERbodynospacing">
    <w:name w:val="AER body no spacing"/>
    <w:basedOn w:val="AERbodytext"/>
    <w:rsid w:val="00825200"/>
    <w:pPr>
      <w:spacing w:after="0"/>
    </w:pPr>
  </w:style>
  <w:style w:type="paragraph" w:styleId="EndnoteText">
    <w:name w:val="endnote text"/>
    <w:basedOn w:val="Normal"/>
    <w:link w:val="EndnoteTextChar"/>
    <w:uiPriority w:val="99"/>
    <w:semiHidden/>
    <w:locked/>
    <w:rsid w:val="00F968D4"/>
    <w:rPr>
      <w:szCs w:val="20"/>
    </w:rPr>
  </w:style>
  <w:style w:type="character" w:styleId="EndnoteReference">
    <w:name w:val="endnote reference"/>
    <w:uiPriority w:val="99"/>
    <w:semiHidden/>
    <w:locked/>
    <w:rsid w:val="00F968D4"/>
    <w:rPr>
      <w:vertAlign w:val="superscript"/>
    </w:rPr>
  </w:style>
  <w:style w:type="character" w:styleId="FollowedHyperlink">
    <w:name w:val="FollowedHyperlink"/>
    <w:locked/>
    <w:rsid w:val="001B42D7"/>
    <w:rPr>
      <w:color w:val="800080"/>
      <w:u w:val="single"/>
    </w:rPr>
  </w:style>
  <w:style w:type="paragraph" w:styleId="TOC4">
    <w:name w:val="toc 4"/>
    <w:basedOn w:val="Normal"/>
    <w:next w:val="Normal"/>
    <w:autoRedefine/>
    <w:semiHidden/>
    <w:locked/>
    <w:rsid w:val="00C90C00"/>
    <w:pPr>
      <w:ind w:left="600"/>
    </w:pPr>
  </w:style>
  <w:style w:type="paragraph" w:styleId="TOC5">
    <w:name w:val="toc 5"/>
    <w:basedOn w:val="Normal"/>
    <w:next w:val="Normal"/>
    <w:autoRedefine/>
    <w:semiHidden/>
    <w:locked/>
    <w:rsid w:val="00C90C00"/>
    <w:pPr>
      <w:ind w:left="800"/>
    </w:pPr>
  </w:style>
  <w:style w:type="paragraph" w:styleId="TOC6">
    <w:name w:val="toc 6"/>
    <w:basedOn w:val="Normal"/>
    <w:next w:val="Normal"/>
    <w:autoRedefine/>
    <w:semiHidden/>
    <w:locked/>
    <w:rsid w:val="00C90C00"/>
    <w:pPr>
      <w:ind w:left="1000"/>
    </w:pPr>
  </w:style>
  <w:style w:type="paragraph" w:styleId="TOC7">
    <w:name w:val="toc 7"/>
    <w:basedOn w:val="Normal"/>
    <w:next w:val="Normal"/>
    <w:autoRedefine/>
    <w:semiHidden/>
    <w:locked/>
    <w:rsid w:val="00C90C00"/>
    <w:pPr>
      <w:ind w:left="1200"/>
    </w:pPr>
  </w:style>
  <w:style w:type="paragraph" w:styleId="TOC8">
    <w:name w:val="toc 8"/>
    <w:basedOn w:val="Normal"/>
    <w:next w:val="Normal"/>
    <w:autoRedefine/>
    <w:semiHidden/>
    <w:locked/>
    <w:rsid w:val="00C90C00"/>
    <w:pPr>
      <w:ind w:left="1400"/>
    </w:pPr>
  </w:style>
  <w:style w:type="paragraph" w:styleId="TOC9">
    <w:name w:val="toc 9"/>
    <w:basedOn w:val="Normal"/>
    <w:next w:val="Normal"/>
    <w:autoRedefine/>
    <w:semiHidden/>
    <w:locked/>
    <w:rsid w:val="00C90C00"/>
    <w:pPr>
      <w:ind w:left="1600"/>
    </w:pPr>
  </w:style>
  <w:style w:type="paragraph" w:styleId="DocumentMap">
    <w:name w:val="Document Map"/>
    <w:basedOn w:val="Normal"/>
    <w:semiHidden/>
    <w:locked/>
    <w:rsid w:val="00361B64"/>
    <w:pPr>
      <w:shd w:val="clear" w:color="auto" w:fill="000080"/>
    </w:pPr>
    <w:rPr>
      <w:rFonts w:ascii="Tahoma" w:hAnsi="Tahoma" w:cs="Tahoma"/>
      <w:szCs w:val="20"/>
    </w:rPr>
  </w:style>
  <w:style w:type="paragraph" w:styleId="Title">
    <w:name w:val="Title"/>
    <w:basedOn w:val="Normal"/>
    <w:qFormat/>
    <w:locked/>
    <w:rsid w:val="006A4343"/>
    <w:pPr>
      <w:spacing w:before="240" w:after="60"/>
      <w:jc w:val="center"/>
      <w:outlineLvl w:val="0"/>
    </w:pPr>
    <w:rPr>
      <w:rFonts w:ascii="Arial" w:hAnsi="Arial" w:cs="Arial"/>
      <w:b/>
      <w:bCs/>
      <w:kern w:val="28"/>
      <w:sz w:val="32"/>
      <w:szCs w:val="32"/>
    </w:rPr>
  </w:style>
  <w:style w:type="paragraph" w:styleId="Subtitle">
    <w:name w:val="Subtitle"/>
    <w:basedOn w:val="Normal"/>
    <w:qFormat/>
    <w:locked/>
    <w:rsid w:val="006A4343"/>
    <w:pPr>
      <w:spacing w:after="60"/>
      <w:jc w:val="center"/>
      <w:outlineLvl w:val="1"/>
    </w:pPr>
    <w:rPr>
      <w:rFonts w:ascii="Arial" w:hAnsi="Arial" w:cs="Arial"/>
    </w:rPr>
  </w:style>
  <w:style w:type="paragraph" w:styleId="Caption">
    <w:name w:val="caption"/>
    <w:basedOn w:val="Normal"/>
    <w:next w:val="Normal"/>
    <w:qFormat/>
    <w:locked/>
    <w:rsid w:val="006A4343"/>
    <w:rPr>
      <w:b/>
      <w:bCs/>
      <w:szCs w:val="20"/>
    </w:rPr>
  </w:style>
  <w:style w:type="paragraph" w:styleId="ListBullet">
    <w:name w:val="List Bullet"/>
    <w:basedOn w:val="Normal"/>
    <w:uiPriority w:val="99"/>
    <w:semiHidden/>
    <w:unhideWhenUsed/>
    <w:locked/>
    <w:rsid w:val="000733BC"/>
    <w:pPr>
      <w:numPr>
        <w:numId w:val="6"/>
      </w:numPr>
      <w:contextualSpacing/>
    </w:pPr>
  </w:style>
  <w:style w:type="paragraph" w:styleId="Revision">
    <w:name w:val="Revision"/>
    <w:hidden/>
    <w:uiPriority w:val="99"/>
    <w:semiHidden/>
    <w:rsid w:val="00740BD4"/>
    <w:rPr>
      <w:rFonts w:ascii="Gautami" w:eastAsia="Times New Roman" w:hAnsi="Gautami"/>
      <w:szCs w:val="24"/>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link w:val="FootnoteText"/>
    <w:uiPriority w:val="99"/>
    <w:locked/>
    <w:rsid w:val="00FA426B"/>
    <w:rPr>
      <w:rFonts w:ascii="Gautami" w:eastAsia="Times New Roman" w:hAnsi="Gautami"/>
      <w:sz w:val="16"/>
    </w:rPr>
  </w:style>
  <w:style w:type="character" w:customStyle="1" w:styleId="AERbodytextChar">
    <w:name w:val="AER body text Char"/>
    <w:link w:val="AERbodytext"/>
    <w:rsid w:val="00FA426B"/>
    <w:rPr>
      <w:rFonts w:ascii="Gautami" w:eastAsia="Times New Roman" w:hAnsi="Gautami"/>
      <w:szCs w:val="24"/>
      <w:lang w:val="en-AU" w:eastAsia="en-US" w:bidi="ar-SA"/>
    </w:rPr>
  </w:style>
  <w:style w:type="character" w:customStyle="1" w:styleId="AERbulletlistfirststyleChar">
    <w:name w:val="AER bullet list (first style) Char"/>
    <w:link w:val="AERbulletlistfirststyle"/>
    <w:rsid w:val="00E5080D"/>
    <w:rPr>
      <w:rFonts w:ascii="Gautami" w:eastAsia="Times New Roman" w:hAnsi="Gautami"/>
      <w:szCs w:val="16"/>
      <w:lang w:eastAsia="en-US"/>
    </w:rPr>
  </w:style>
  <w:style w:type="character" w:customStyle="1" w:styleId="AERtabletextChar">
    <w:name w:val="AER table text Char"/>
    <w:link w:val="AERtabletext"/>
    <w:locked/>
    <w:rsid w:val="00445784"/>
    <w:rPr>
      <w:rFonts w:ascii="Gautami" w:eastAsia="Times New Roman" w:hAnsi="Gautami"/>
      <w:sz w:val="16"/>
      <w:szCs w:val="24"/>
      <w:lang w:eastAsia="en-US"/>
    </w:rPr>
  </w:style>
  <w:style w:type="character" w:customStyle="1" w:styleId="CommentTextChar">
    <w:name w:val="Comment Text Char"/>
    <w:link w:val="CommentText"/>
    <w:uiPriority w:val="99"/>
    <w:rsid w:val="00DD0A93"/>
    <w:rPr>
      <w:rFonts w:ascii="Gautami" w:eastAsia="Times New Roman" w:hAnsi="Gautami"/>
    </w:rPr>
  </w:style>
  <w:style w:type="paragraph" w:styleId="ListParagraph">
    <w:name w:val="List Paragraph"/>
    <w:basedOn w:val="Normal"/>
    <w:uiPriority w:val="34"/>
    <w:qFormat/>
    <w:rsid w:val="0079386D"/>
    <w:pPr>
      <w:spacing w:after="200" w:line="276" w:lineRule="auto"/>
      <w:ind w:left="720"/>
      <w:contextualSpacing/>
    </w:pPr>
  </w:style>
  <w:style w:type="paragraph" w:customStyle="1" w:styleId="LegalFirstLevel">
    <w:name w:val="Legal First Level"/>
    <w:rsid w:val="00203C6E"/>
    <w:pPr>
      <w:numPr>
        <w:numId w:val="8"/>
      </w:numPr>
      <w:spacing w:after="240"/>
      <w:jc w:val="both"/>
    </w:pPr>
    <w:rPr>
      <w:rFonts w:ascii="Times New Roman" w:eastAsia="Times New Roman" w:hAnsi="Times New Roman"/>
      <w:sz w:val="24"/>
      <w:szCs w:val="22"/>
      <w:lang w:eastAsia="en-US"/>
    </w:rPr>
  </w:style>
  <w:style w:type="paragraph" w:customStyle="1" w:styleId="LegalSecondLevel">
    <w:name w:val="Legal Second Level"/>
    <w:basedOn w:val="LegalFirstLevel"/>
    <w:rsid w:val="00203C6E"/>
    <w:pPr>
      <w:numPr>
        <w:ilvl w:val="1"/>
      </w:numPr>
    </w:pPr>
  </w:style>
  <w:style w:type="paragraph" w:customStyle="1" w:styleId="LegalThirdLevel">
    <w:name w:val="Legal Third Level"/>
    <w:basedOn w:val="LegalSecondLevel"/>
    <w:rsid w:val="00203C6E"/>
    <w:pPr>
      <w:numPr>
        <w:ilvl w:val="2"/>
      </w:numPr>
    </w:pPr>
  </w:style>
  <w:style w:type="paragraph" w:customStyle="1" w:styleId="Default">
    <w:name w:val="Default"/>
    <w:rsid w:val="00203C6E"/>
    <w:pPr>
      <w:autoSpaceDE w:val="0"/>
      <w:autoSpaceDN w:val="0"/>
      <w:adjustRightInd w:val="0"/>
    </w:pPr>
    <w:rPr>
      <w:rFonts w:cs="Calibri"/>
      <w:color w:val="000000"/>
      <w:sz w:val="24"/>
      <w:szCs w:val="24"/>
    </w:rPr>
  </w:style>
  <w:style w:type="paragraph" w:customStyle="1" w:styleId="ShortT">
    <w:name w:val="ShortT"/>
    <w:basedOn w:val="Normal"/>
    <w:next w:val="Normal"/>
    <w:qFormat/>
    <w:rsid w:val="00203C6E"/>
    <w:rPr>
      <w:b/>
      <w:sz w:val="40"/>
      <w:szCs w:val="20"/>
    </w:rPr>
  </w:style>
  <w:style w:type="character" w:customStyle="1" w:styleId="AERtabletextheadingChar">
    <w:name w:val="AER table text heading Char"/>
    <w:link w:val="AERtabletextheading"/>
    <w:locked/>
    <w:rsid w:val="00203C6E"/>
    <w:rPr>
      <w:rFonts w:ascii="Gautami" w:eastAsia="Times New Roman" w:hAnsi="Gautami"/>
      <w:b/>
      <w:sz w:val="16"/>
      <w:szCs w:val="16"/>
      <w:lang w:val="en-AU" w:eastAsia="en-US" w:bidi="ar-SA"/>
    </w:rPr>
  </w:style>
  <w:style w:type="paragraph" w:customStyle="1" w:styleId="AERconfidentialoappendixheading1">
    <w:name w:val="AER confidentialo appendix heading 1"/>
    <w:basedOn w:val="Heading1"/>
    <w:next w:val="AERbodytext"/>
    <w:rsid w:val="00203C6E"/>
    <w:pPr>
      <w:keepLines w:val="0"/>
      <w:pageBreakBefore/>
      <w:tabs>
        <w:tab w:val="num" w:pos="357"/>
      </w:tabs>
      <w:spacing w:before="240" w:after="240"/>
      <w:ind w:left="1071" w:hanging="1071"/>
    </w:pPr>
    <w:rPr>
      <w:rFonts w:ascii="Gautami" w:hAnsi="Gautami" w:cs="Arial"/>
      <w:color w:val="F2750E"/>
      <w:kern w:val="32"/>
      <w:sz w:val="36"/>
      <w:szCs w:val="32"/>
    </w:rPr>
  </w:style>
  <w:style w:type="character" w:customStyle="1" w:styleId="FootnoteTextChar1">
    <w:name w:val="Footnote Text Char1"/>
    <w:aliases w:val="ALTS FOOTNOTE Char2,(NECG) Footnote Text Char1,Footnote text Char1,AR Footnote Text Char1,AR Footnote Text Char Char Char Char Char Char1,ALTS FOOTNOTE Char1 Char1,Footnote TextText Char1 Char Char Char Char1,fn Char1,f Char"/>
    <w:locked/>
    <w:rsid w:val="00203C6E"/>
    <w:rPr>
      <w:rFonts w:ascii="Gautami" w:hAnsi="Gautami" w:cs="Times New Roman"/>
      <w:sz w:val="16"/>
      <w:lang w:val="en-AU" w:eastAsia="en-AU" w:bidi="ar-SA"/>
    </w:rPr>
  </w:style>
  <w:style w:type="paragraph" w:customStyle="1" w:styleId="AERHeading10">
    <w:name w:val="AER Heading 1"/>
    <w:basedOn w:val="AERbodytext"/>
    <w:link w:val="AERHeading1Char0"/>
    <w:qFormat/>
    <w:rsid w:val="00320E76"/>
  </w:style>
  <w:style w:type="character" w:customStyle="1" w:styleId="AERheading3Char">
    <w:name w:val="AER heading 3 Char"/>
    <w:link w:val="AERheading3"/>
    <w:rsid w:val="00557653"/>
    <w:rPr>
      <w:rFonts w:ascii="Gautami" w:hAnsi="Gautami" w:cs="Arial"/>
      <w:b/>
      <w:bCs/>
      <w:kern w:val="32"/>
      <w:sz w:val="24"/>
      <w:szCs w:val="24"/>
      <w:lang w:eastAsia="en-US"/>
    </w:rPr>
  </w:style>
  <w:style w:type="character" w:customStyle="1" w:styleId="AERHeading1Char0">
    <w:name w:val="AER Heading 1 Char"/>
    <w:link w:val="AERHeading10"/>
    <w:rsid w:val="00320E76"/>
    <w:rPr>
      <w:rFonts w:ascii="Gautami" w:eastAsia="Times New Roman" w:hAnsi="Gautami"/>
      <w:szCs w:val="24"/>
      <w:lang w:val="en-AU" w:eastAsia="en-US" w:bidi="ar-SA"/>
    </w:rPr>
  </w:style>
  <w:style w:type="character" w:customStyle="1" w:styleId="AERheading5Char">
    <w:name w:val="AER heading 5 Char"/>
    <w:link w:val="AERheading5"/>
    <w:rsid w:val="00BB76F8"/>
    <w:rPr>
      <w:rFonts w:ascii="Gautami" w:eastAsia="Times New Roman" w:hAnsi="Gautami" w:cs="Arial"/>
      <w:b/>
      <w:bCs/>
      <w:kern w:val="32"/>
      <w:szCs w:val="24"/>
      <w:lang w:eastAsia="en-US"/>
    </w:rPr>
  </w:style>
  <w:style w:type="numbering" w:styleId="1ai">
    <w:name w:val="Outline List 1"/>
    <w:aliases w:val="AER Numbered List"/>
    <w:basedOn w:val="NoList"/>
    <w:locked/>
    <w:rsid w:val="00BB76F8"/>
    <w:pPr>
      <w:numPr>
        <w:numId w:val="9"/>
      </w:numPr>
    </w:pPr>
  </w:style>
  <w:style w:type="paragraph" w:customStyle="1" w:styleId="AERTableFigureheading">
    <w:name w:val="AER Table &amp; Figure heading"/>
    <w:basedOn w:val="Normal"/>
    <w:rsid w:val="00BB76F8"/>
    <w:pPr>
      <w:keepNext/>
      <w:tabs>
        <w:tab w:val="left" w:pos="360"/>
        <w:tab w:val="right" w:leader="dot" w:pos="8453"/>
      </w:tabs>
      <w:spacing w:before="120" w:after="120"/>
      <w:ind w:left="1134" w:hanging="1134"/>
    </w:pPr>
    <w:rPr>
      <w:b/>
      <w:szCs w:val="20"/>
    </w:rPr>
  </w:style>
  <w:style w:type="paragraph" w:customStyle="1" w:styleId="AERtablesources">
    <w:name w:val="AER table sources"/>
    <w:basedOn w:val="AERbodytext"/>
    <w:next w:val="AERbodytext"/>
    <w:rsid w:val="00BB76F8"/>
    <w:pPr>
      <w:spacing w:before="60" w:line="240" w:lineRule="auto"/>
      <w:jc w:val="left"/>
    </w:pPr>
    <w:rPr>
      <w:rFonts w:ascii="Times New Roman" w:hAnsi="Times New Roman"/>
      <w:szCs w:val="20"/>
      <w:lang w:eastAsia="en-AU"/>
    </w:rPr>
  </w:style>
  <w:style w:type="character" w:customStyle="1" w:styleId="FootnoteReference1">
    <w:name w:val="Footnote Reference1"/>
    <w:rsid w:val="00EA57C3"/>
    <w:rPr>
      <w:color w:val="000000"/>
      <w:vertAlign w:val="superscript"/>
    </w:rPr>
  </w:style>
  <w:style w:type="character" w:customStyle="1" w:styleId="Heading7Char">
    <w:name w:val="Heading 7 Char"/>
    <w:link w:val="Heading7"/>
    <w:uiPriority w:val="9"/>
    <w:rsid w:val="00CF67B7"/>
    <w:rPr>
      <w:rFonts w:ascii="Gautami" w:hAnsi="Gautami" w:cs="Calibri"/>
      <w:b/>
      <w:bCs/>
      <w:iCs/>
      <w:color w:val="E36C0A"/>
      <w:sz w:val="36"/>
      <w:szCs w:val="24"/>
      <w:lang w:eastAsia="en-US"/>
    </w:rPr>
  </w:style>
  <w:style w:type="character" w:customStyle="1" w:styleId="Heading8Char">
    <w:name w:val="Heading 8 Char"/>
    <w:link w:val="Heading8"/>
    <w:uiPriority w:val="9"/>
    <w:rsid w:val="00CF67B7"/>
    <w:rPr>
      <w:rFonts w:ascii="Gautami" w:hAnsi="Gautami" w:cs="Calibri"/>
      <w:b/>
      <w:bCs/>
      <w:iCs/>
      <w:color w:val="E36C0A"/>
      <w:sz w:val="28"/>
      <w:lang w:eastAsia="en-US"/>
    </w:rPr>
  </w:style>
  <w:style w:type="character" w:customStyle="1" w:styleId="Heading9Char">
    <w:name w:val="Heading 9 Char"/>
    <w:link w:val="Heading9"/>
    <w:uiPriority w:val="9"/>
    <w:rsid w:val="00CF67B7"/>
    <w:rPr>
      <w:rFonts w:ascii="Gautami" w:hAnsi="Gautami" w:cs="Calibri"/>
      <w:b/>
      <w:bCs/>
      <w:color w:val="E36C0A"/>
      <w:sz w:val="24"/>
      <w:lang w:eastAsia="en-US"/>
    </w:rPr>
  </w:style>
  <w:style w:type="numbering" w:customStyle="1" w:styleId="AERHeadings">
    <w:name w:val="AER Headings"/>
    <w:uiPriority w:val="99"/>
    <w:rsid w:val="00CF67B7"/>
    <w:pPr>
      <w:numPr>
        <w:numId w:val="10"/>
      </w:numPr>
    </w:pPr>
  </w:style>
  <w:style w:type="paragraph" w:customStyle="1" w:styleId="UnnumberedHeading">
    <w:name w:val="Unnumbered Heading"/>
    <w:basedOn w:val="Heading1"/>
    <w:next w:val="AERbodytext"/>
    <w:link w:val="UnnumberedHeadingChar"/>
    <w:qFormat/>
    <w:rsid w:val="00CF67B7"/>
    <w:pPr>
      <w:pageBreakBefore/>
      <w:numPr>
        <w:ilvl w:val="0"/>
      </w:numPr>
      <w:spacing w:before="120" w:after="120"/>
    </w:pPr>
    <w:rPr>
      <w:rFonts w:ascii="Gautami" w:hAnsi="Gautami"/>
      <w:color w:val="E36C0A"/>
      <w:sz w:val="36"/>
    </w:rPr>
  </w:style>
  <w:style w:type="paragraph" w:customStyle="1" w:styleId="AERtabletextheadingright">
    <w:name w:val="AER table text heading right"/>
    <w:rsid w:val="00CF67B7"/>
    <w:pPr>
      <w:spacing w:before="120" w:after="80" w:line="288" w:lineRule="auto"/>
      <w:jc w:val="right"/>
    </w:pPr>
    <w:rPr>
      <w:rFonts w:ascii="Gautami" w:eastAsia="Times New Roman" w:hAnsi="Gautami"/>
      <w:b/>
      <w:sz w:val="16"/>
      <w:szCs w:val="24"/>
      <w:lang w:eastAsia="en-US"/>
    </w:rPr>
  </w:style>
  <w:style w:type="paragraph" w:styleId="Quote">
    <w:name w:val="Quote"/>
    <w:basedOn w:val="Normal"/>
    <w:next w:val="Normal"/>
    <w:link w:val="QuoteChar"/>
    <w:uiPriority w:val="29"/>
    <w:qFormat/>
    <w:rsid w:val="00CF67B7"/>
    <w:rPr>
      <w:i/>
      <w:iCs/>
      <w:color w:val="000000"/>
    </w:rPr>
  </w:style>
  <w:style w:type="character" w:customStyle="1" w:styleId="QuoteChar">
    <w:name w:val="Quote Char"/>
    <w:link w:val="Quote"/>
    <w:uiPriority w:val="29"/>
    <w:rsid w:val="00CF67B7"/>
    <w:rPr>
      <w:rFonts w:ascii="Gautami" w:eastAsia="Times New Roman" w:hAnsi="Gautami"/>
      <w:i/>
      <w:iCs/>
      <w:color w:val="000000"/>
      <w:szCs w:val="24"/>
    </w:rPr>
  </w:style>
  <w:style w:type="character" w:customStyle="1" w:styleId="AERbodytextbold">
    <w:name w:val="AER body text bold"/>
    <w:rsid w:val="00B80EE9"/>
    <w:rPr>
      <w:rFonts w:ascii="Gautami" w:hAnsi="Gautami"/>
      <w:b/>
      <w:sz w:val="24"/>
    </w:rPr>
  </w:style>
  <w:style w:type="character" w:customStyle="1" w:styleId="FooterChar">
    <w:name w:val="Footer Char"/>
    <w:link w:val="Footer"/>
    <w:uiPriority w:val="99"/>
    <w:rsid w:val="00C23B50"/>
    <w:rPr>
      <w:rFonts w:ascii="Gautami" w:eastAsia="Times New Roman" w:hAnsi="Gautami"/>
      <w:szCs w:val="24"/>
    </w:rPr>
  </w:style>
  <w:style w:type="paragraph" w:styleId="BodyText">
    <w:name w:val="Body Text"/>
    <w:basedOn w:val="Normal"/>
    <w:link w:val="BodyTextChar"/>
    <w:uiPriority w:val="99"/>
    <w:locked/>
    <w:rsid w:val="00310EAA"/>
    <w:pPr>
      <w:spacing w:before="120" w:after="120"/>
    </w:pPr>
    <w:rPr>
      <w:rFonts w:ascii="Arial" w:hAnsi="Arial"/>
      <w:szCs w:val="20"/>
    </w:rPr>
  </w:style>
  <w:style w:type="character" w:customStyle="1" w:styleId="BodyTextChar">
    <w:name w:val="Body Text Char"/>
    <w:link w:val="BodyText"/>
    <w:uiPriority w:val="99"/>
    <w:rsid w:val="00310EAA"/>
    <w:rPr>
      <w:rFonts w:ascii="Arial" w:eastAsia="Times New Roman" w:hAnsi="Arial"/>
      <w:sz w:val="22"/>
      <w:lang w:eastAsia="en-US"/>
    </w:rPr>
  </w:style>
  <w:style w:type="paragraph" w:customStyle="1" w:styleId="FootnoteTextA">
    <w:name w:val="Footnote Text A"/>
    <w:rsid w:val="00EA57C3"/>
    <w:pPr>
      <w:spacing w:before="240" w:after="120"/>
    </w:pPr>
    <w:rPr>
      <w:rFonts w:ascii="Times New Roman" w:eastAsia="ヒラギノ角ゴ Pro W3" w:hAnsi="Times New Roman"/>
      <w:color w:val="000000"/>
    </w:rPr>
  </w:style>
  <w:style w:type="paragraph" w:customStyle="1" w:styleId="AERBullet1">
    <w:name w:val="AER Bullet 1"/>
    <w:basedOn w:val="Normal"/>
    <w:rsid w:val="00EA57C3"/>
    <w:pPr>
      <w:spacing w:before="240" w:after="120"/>
    </w:pPr>
  </w:style>
  <w:style w:type="character" w:customStyle="1" w:styleId="displayonly">
    <w:name w:val="display_only"/>
    <w:basedOn w:val="DefaultParagraphFont"/>
    <w:rsid w:val="00791BFA"/>
  </w:style>
  <w:style w:type="numbering" w:customStyle="1" w:styleId="AERnumberedlist">
    <w:name w:val="AER numbered list"/>
    <w:uiPriority w:val="99"/>
    <w:rsid w:val="00EF2D0E"/>
    <w:pPr>
      <w:numPr>
        <w:numId w:val="11"/>
      </w:numPr>
    </w:pPr>
  </w:style>
  <w:style w:type="character" w:customStyle="1" w:styleId="UnnumberedHeadingChar">
    <w:name w:val="Unnumbered Heading Char"/>
    <w:link w:val="UnnumberedHeading"/>
    <w:rsid w:val="00EF2D0E"/>
    <w:rPr>
      <w:rFonts w:ascii="Gautami" w:hAnsi="Gautami" w:cs="Calibri"/>
      <w:b/>
      <w:bCs/>
      <w:color w:val="E36C0A"/>
      <w:sz w:val="36"/>
      <w:szCs w:val="28"/>
      <w:lang w:eastAsia="en-US"/>
    </w:rPr>
  </w:style>
  <w:style w:type="character" w:customStyle="1" w:styleId="st1">
    <w:name w:val="st1"/>
    <w:basedOn w:val="DefaultParagraphFont"/>
    <w:rsid w:val="009A334E"/>
  </w:style>
  <w:style w:type="paragraph" w:customStyle="1" w:styleId="AERcopyrighttext">
    <w:name w:val="AER copyright text"/>
    <w:basedOn w:val="Normal"/>
    <w:rsid w:val="0020321C"/>
    <w:pPr>
      <w:spacing w:before="240" w:after="240"/>
    </w:pPr>
  </w:style>
  <w:style w:type="character" w:customStyle="1" w:styleId="AERbulletlistfirststyleCharChar">
    <w:name w:val="AER bullet list (first style) Char Char"/>
    <w:rsid w:val="009930C1"/>
    <w:rPr>
      <w:sz w:val="24"/>
      <w:szCs w:val="24"/>
      <w:lang w:eastAsia="en-US"/>
    </w:rPr>
  </w:style>
  <w:style w:type="character" w:customStyle="1" w:styleId="AERbodytextCharChar">
    <w:name w:val="AER body text Char Char"/>
    <w:rsid w:val="009930C1"/>
    <w:rPr>
      <w:sz w:val="24"/>
      <w:szCs w:val="24"/>
      <w:lang w:val="en-AU" w:eastAsia="en-US" w:bidi="ar-SA"/>
    </w:rPr>
  </w:style>
  <w:style w:type="paragraph" w:customStyle="1" w:styleId="aerheading40">
    <w:name w:val="aerheading4"/>
    <w:basedOn w:val="Normal"/>
    <w:rsid w:val="009930C1"/>
    <w:pPr>
      <w:keepNext/>
      <w:tabs>
        <w:tab w:val="num" w:pos="2880"/>
      </w:tabs>
      <w:spacing w:after="120"/>
      <w:ind w:left="2880" w:hanging="360"/>
    </w:pPr>
    <w:rPr>
      <w:b/>
      <w:bCs/>
    </w:rPr>
  </w:style>
  <w:style w:type="character" w:customStyle="1" w:styleId="AERbodytextCharCharCharChar">
    <w:name w:val="AER body text Char Char Char Char"/>
    <w:link w:val="AERbodytextCharCharChar"/>
    <w:locked/>
    <w:rsid w:val="00564940"/>
    <w:rPr>
      <w:rFonts w:eastAsia="Calibri"/>
      <w:sz w:val="24"/>
      <w:szCs w:val="24"/>
    </w:rPr>
  </w:style>
  <w:style w:type="paragraph" w:customStyle="1" w:styleId="AERbodytextCharCharChar">
    <w:name w:val="AER body text Char Char Char"/>
    <w:basedOn w:val="Normal"/>
    <w:link w:val="AERbodytextCharCharCharChar"/>
    <w:rsid w:val="00564940"/>
    <w:pPr>
      <w:spacing w:after="240"/>
    </w:pPr>
  </w:style>
  <w:style w:type="paragraph" w:styleId="NormalWeb">
    <w:name w:val="Normal (Web)"/>
    <w:basedOn w:val="Normal"/>
    <w:uiPriority w:val="99"/>
    <w:unhideWhenUsed/>
    <w:locked/>
    <w:rsid w:val="000D605D"/>
    <w:pPr>
      <w:spacing w:before="204" w:after="204"/>
    </w:pPr>
    <w:rPr>
      <w:rFonts w:eastAsia="Times New Roman"/>
    </w:rPr>
  </w:style>
  <w:style w:type="paragraph" w:customStyle="1" w:styleId="QCRunnumberedunboldheading">
    <w:name w:val="QCR unnumbered unbold heading"/>
    <w:basedOn w:val="AERheading2"/>
    <w:link w:val="QCRunnumberedunboldheadingChar"/>
    <w:qFormat/>
    <w:rsid w:val="003D57CF"/>
    <w:pPr>
      <w:numPr>
        <w:ilvl w:val="0"/>
        <w:numId w:val="0"/>
      </w:numPr>
      <w:spacing w:before="0" w:after="120" w:line="360" w:lineRule="auto"/>
      <w:ind w:left="357" w:hanging="357"/>
      <w:outlineLvl w:val="9"/>
    </w:pPr>
    <w:rPr>
      <w:b w:val="0"/>
      <w:sz w:val="32"/>
      <w:szCs w:val="36"/>
    </w:rPr>
  </w:style>
  <w:style w:type="paragraph" w:customStyle="1" w:styleId="QCRHeading1">
    <w:name w:val="QCR Heading 1"/>
    <w:basedOn w:val="AERheading1"/>
    <w:link w:val="QCRHeading1Char"/>
    <w:qFormat/>
    <w:rsid w:val="002C7158"/>
  </w:style>
  <w:style w:type="character" w:customStyle="1" w:styleId="Heading1Char">
    <w:name w:val="Heading 1 Char"/>
    <w:link w:val="Heading1"/>
    <w:uiPriority w:val="9"/>
    <w:rsid w:val="002C7158"/>
    <w:rPr>
      <w:rFonts w:ascii="Cambria" w:hAnsi="Cambria" w:cs="Calibri"/>
      <w:b/>
      <w:bCs/>
      <w:color w:val="365F91"/>
      <w:sz w:val="28"/>
      <w:szCs w:val="28"/>
      <w:lang w:eastAsia="en-US"/>
    </w:rPr>
  </w:style>
  <w:style w:type="character" w:customStyle="1" w:styleId="AERheading1Char">
    <w:name w:val="AER heading 1 Char"/>
    <w:link w:val="AERheading1"/>
    <w:rsid w:val="002C7158"/>
    <w:rPr>
      <w:rFonts w:ascii="Gautami" w:hAnsi="Gautami" w:cs="Arial"/>
      <w:b/>
      <w:bCs/>
      <w:color w:val="F2750E"/>
      <w:kern w:val="32"/>
      <w:sz w:val="36"/>
      <w:szCs w:val="32"/>
      <w:lang w:eastAsia="en-US"/>
    </w:rPr>
  </w:style>
  <w:style w:type="character" w:customStyle="1" w:styleId="AERheading2Char">
    <w:name w:val="AER heading 2 Char"/>
    <w:link w:val="AERheading2"/>
    <w:rsid w:val="00B64284"/>
    <w:rPr>
      <w:rFonts w:ascii="Gautami" w:hAnsi="Gautami" w:cs="Arial"/>
      <w:b/>
      <w:bCs/>
      <w:color w:val="F2750E"/>
      <w:kern w:val="32"/>
      <w:sz w:val="28"/>
      <w:szCs w:val="30"/>
      <w:lang w:eastAsia="en-US"/>
    </w:rPr>
  </w:style>
  <w:style w:type="character" w:customStyle="1" w:styleId="QCRunnumberedunboldheadingChar">
    <w:name w:val="QCR unnumbered unbold heading Char"/>
    <w:link w:val="QCRunnumberedunboldheading"/>
    <w:rsid w:val="003D57CF"/>
    <w:rPr>
      <w:rFonts w:ascii="Gautami" w:hAnsi="Gautami" w:cs="Arial"/>
      <w:bCs/>
      <w:color w:val="F2750E"/>
      <w:kern w:val="32"/>
      <w:sz w:val="32"/>
      <w:szCs w:val="36"/>
      <w:lang w:eastAsia="en-US"/>
    </w:rPr>
  </w:style>
  <w:style w:type="character" w:customStyle="1" w:styleId="QCRHeading1Char">
    <w:name w:val="QCR Heading 1 Char"/>
    <w:link w:val="QCRHeading1"/>
    <w:rsid w:val="002C7158"/>
    <w:rPr>
      <w:rFonts w:ascii="Gautami" w:hAnsi="Gautami" w:cs="Arial"/>
      <w:b/>
      <w:bCs/>
      <w:color w:val="F2750E"/>
      <w:kern w:val="32"/>
      <w:sz w:val="36"/>
      <w:szCs w:val="32"/>
      <w:lang w:eastAsia="en-US"/>
    </w:rPr>
  </w:style>
  <w:style w:type="paragraph" w:customStyle="1" w:styleId="aerbodytext0">
    <w:name w:val="aerbodytext"/>
    <w:basedOn w:val="Normal"/>
    <w:rsid w:val="00C421DA"/>
    <w:pPr>
      <w:spacing w:after="240"/>
    </w:pPr>
  </w:style>
  <w:style w:type="paragraph" w:customStyle="1" w:styleId="Pa8">
    <w:name w:val="Pa8"/>
    <w:basedOn w:val="Normal"/>
    <w:uiPriority w:val="99"/>
    <w:rsid w:val="007F4039"/>
    <w:pPr>
      <w:autoSpaceDE w:val="0"/>
      <w:autoSpaceDN w:val="0"/>
      <w:spacing w:line="171" w:lineRule="atLeast"/>
    </w:pPr>
    <w:rPr>
      <w:rFonts w:ascii="HelveticaNeueLT Std" w:hAnsi="HelveticaNeueLT Std"/>
    </w:rPr>
  </w:style>
  <w:style w:type="character" w:styleId="Emphasis">
    <w:name w:val="Emphasis"/>
    <w:uiPriority w:val="20"/>
    <w:qFormat/>
    <w:locked/>
    <w:rsid w:val="00696E6D"/>
    <w:rPr>
      <w:b/>
      <w:bCs/>
      <w:i w:val="0"/>
      <w:iCs w:val="0"/>
    </w:rPr>
  </w:style>
  <w:style w:type="character" w:customStyle="1" w:styleId="EndnoteTextChar">
    <w:name w:val="Endnote Text Char"/>
    <w:link w:val="EndnoteText"/>
    <w:uiPriority w:val="99"/>
    <w:semiHidden/>
    <w:rsid w:val="004D74CD"/>
    <w:rPr>
      <w:rFonts w:cs="Calibri"/>
      <w:sz w:val="22"/>
      <w:lang w:eastAsia="en-US"/>
    </w:rPr>
  </w:style>
  <w:style w:type="paragraph" w:customStyle="1" w:styleId="AERnumberedlist2first">
    <w:name w:val="AER numbered list 2 first"/>
    <w:basedOn w:val="Normal"/>
    <w:qFormat/>
    <w:rsid w:val="007A1A46"/>
    <w:pPr>
      <w:tabs>
        <w:tab w:val="num" w:pos="3240"/>
      </w:tabs>
      <w:spacing w:after="240" w:line="288" w:lineRule="auto"/>
      <w:ind w:left="3240" w:hanging="360"/>
      <w:jc w:val="both"/>
    </w:pPr>
    <w:rPr>
      <w:rFonts w:ascii="Gautami" w:hAnsi="Gautami" w:cs="Gautami"/>
      <w:sz w:val="20"/>
      <w:szCs w:val="20"/>
    </w:rPr>
  </w:style>
  <w:style w:type="paragraph" w:customStyle="1" w:styleId="AERnumberedlist2second">
    <w:name w:val="AER numbered list 2 second"/>
    <w:basedOn w:val="Normal"/>
    <w:qFormat/>
    <w:rsid w:val="007A1A46"/>
    <w:pPr>
      <w:tabs>
        <w:tab w:val="num" w:pos="3960"/>
      </w:tabs>
      <w:spacing w:after="240" w:line="288" w:lineRule="auto"/>
      <w:ind w:left="3960" w:hanging="360"/>
      <w:jc w:val="both"/>
    </w:pPr>
    <w:rPr>
      <w:rFonts w:ascii="Gautami" w:hAnsi="Gautami" w:cs="Gautami"/>
      <w:sz w:val="20"/>
      <w:szCs w:val="20"/>
    </w:rPr>
  </w:style>
  <w:style w:type="paragraph" w:customStyle="1" w:styleId="AERnumberedlist2third">
    <w:name w:val="AER numbered list 2 third"/>
    <w:basedOn w:val="Normal"/>
    <w:qFormat/>
    <w:rsid w:val="007A1A46"/>
    <w:pPr>
      <w:tabs>
        <w:tab w:val="num" w:pos="4680"/>
      </w:tabs>
      <w:spacing w:after="240" w:line="288" w:lineRule="auto"/>
      <w:ind w:left="4680" w:hanging="360"/>
      <w:jc w:val="both"/>
    </w:pPr>
    <w:rPr>
      <w:rFonts w:ascii="Gautami" w:hAnsi="Gautami" w:cs="Gautami"/>
      <w:sz w:val="20"/>
      <w:szCs w:val="20"/>
    </w:rPr>
  </w:style>
  <w:style w:type="paragraph" w:customStyle="1" w:styleId="ecxaerbodytext">
    <w:name w:val="ecxaerbodytext"/>
    <w:basedOn w:val="Normal"/>
    <w:rsid w:val="000E43EC"/>
    <w:pPr>
      <w:spacing w:before="100" w:beforeAutospacing="1" w:after="100" w:afterAutospacing="1"/>
    </w:pPr>
    <w:rPr>
      <w:rFonts w:eastAsia="Times New Roman"/>
    </w:rPr>
  </w:style>
  <w:style w:type="paragraph" w:styleId="ListBullet2">
    <w:name w:val="List Bullet 2"/>
    <w:basedOn w:val="Normal"/>
    <w:uiPriority w:val="99"/>
    <w:semiHidden/>
    <w:unhideWhenUsed/>
    <w:locked/>
    <w:rsid w:val="00222F15"/>
    <w:pPr>
      <w:numPr>
        <w:numId w:val="88"/>
      </w:numPr>
      <w:tabs>
        <w:tab w:val="clear" w:pos="643"/>
        <w:tab w:val="num" w:pos="567"/>
      </w:tabs>
      <w:spacing w:before="120"/>
      <w:ind w:left="567" w:hanging="567"/>
      <w:contextualSpacing/>
    </w:pPr>
    <w:rPr>
      <w:rFonts w:ascii="Arial" w:hAnsi="Arial" w:cs="Times New Roman"/>
    </w:rPr>
  </w:style>
  <w:style w:type="paragraph" w:customStyle="1" w:styleId="AERbodytextnospace">
    <w:name w:val="AER body text no space"/>
    <w:basedOn w:val="AERbodytext"/>
    <w:qFormat/>
    <w:rsid w:val="00222F15"/>
    <w:pPr>
      <w:tabs>
        <w:tab w:val="num" w:pos="567"/>
      </w:tabs>
      <w:spacing w:after="0"/>
      <w:ind w:left="567" w:hanging="56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bodytext">
    <w:name w:val="1ai"/>
    <w:pPr>
      <w:numPr>
        <w:numId w:val="9"/>
      </w:numPr>
    </w:pPr>
  </w:style>
  <w:style w:type="numbering" w:customStyle="1" w:styleId="AERtabletitle">
    <w:name w:val="AERHeadings"/>
    <w:pPr>
      <w:numPr>
        <w:numId w:val="10"/>
      </w:numPr>
    </w:pPr>
  </w:style>
  <w:style w:type="numbering" w:customStyle="1" w:styleId="AERfigureheading">
    <w:name w:val="AERnumberedlist"/>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263">
      <w:bodyDiv w:val="1"/>
      <w:marLeft w:val="0"/>
      <w:marRight w:val="0"/>
      <w:marTop w:val="0"/>
      <w:marBottom w:val="0"/>
      <w:divBdr>
        <w:top w:val="none" w:sz="0" w:space="0" w:color="auto"/>
        <w:left w:val="none" w:sz="0" w:space="0" w:color="auto"/>
        <w:bottom w:val="none" w:sz="0" w:space="0" w:color="auto"/>
        <w:right w:val="none" w:sz="0" w:space="0" w:color="auto"/>
      </w:divBdr>
    </w:div>
    <w:div w:id="40517832">
      <w:bodyDiv w:val="1"/>
      <w:marLeft w:val="0"/>
      <w:marRight w:val="0"/>
      <w:marTop w:val="0"/>
      <w:marBottom w:val="0"/>
      <w:divBdr>
        <w:top w:val="none" w:sz="0" w:space="0" w:color="auto"/>
        <w:left w:val="none" w:sz="0" w:space="0" w:color="auto"/>
        <w:bottom w:val="none" w:sz="0" w:space="0" w:color="auto"/>
        <w:right w:val="none" w:sz="0" w:space="0" w:color="auto"/>
      </w:divBdr>
    </w:div>
    <w:div w:id="84349877">
      <w:bodyDiv w:val="1"/>
      <w:marLeft w:val="0"/>
      <w:marRight w:val="0"/>
      <w:marTop w:val="0"/>
      <w:marBottom w:val="0"/>
      <w:divBdr>
        <w:top w:val="none" w:sz="0" w:space="0" w:color="auto"/>
        <w:left w:val="none" w:sz="0" w:space="0" w:color="auto"/>
        <w:bottom w:val="none" w:sz="0" w:space="0" w:color="auto"/>
        <w:right w:val="none" w:sz="0" w:space="0" w:color="auto"/>
      </w:divBdr>
    </w:div>
    <w:div w:id="110365243">
      <w:bodyDiv w:val="1"/>
      <w:marLeft w:val="0"/>
      <w:marRight w:val="0"/>
      <w:marTop w:val="0"/>
      <w:marBottom w:val="0"/>
      <w:divBdr>
        <w:top w:val="none" w:sz="0" w:space="0" w:color="auto"/>
        <w:left w:val="none" w:sz="0" w:space="0" w:color="auto"/>
        <w:bottom w:val="none" w:sz="0" w:space="0" w:color="auto"/>
        <w:right w:val="none" w:sz="0" w:space="0" w:color="auto"/>
      </w:divBdr>
    </w:div>
    <w:div w:id="162935867">
      <w:bodyDiv w:val="1"/>
      <w:marLeft w:val="0"/>
      <w:marRight w:val="0"/>
      <w:marTop w:val="0"/>
      <w:marBottom w:val="0"/>
      <w:divBdr>
        <w:top w:val="none" w:sz="0" w:space="0" w:color="auto"/>
        <w:left w:val="none" w:sz="0" w:space="0" w:color="auto"/>
        <w:bottom w:val="none" w:sz="0" w:space="0" w:color="auto"/>
        <w:right w:val="none" w:sz="0" w:space="0" w:color="auto"/>
      </w:divBdr>
    </w:div>
    <w:div w:id="179129794">
      <w:bodyDiv w:val="1"/>
      <w:marLeft w:val="0"/>
      <w:marRight w:val="0"/>
      <w:marTop w:val="0"/>
      <w:marBottom w:val="0"/>
      <w:divBdr>
        <w:top w:val="none" w:sz="0" w:space="0" w:color="auto"/>
        <w:left w:val="none" w:sz="0" w:space="0" w:color="auto"/>
        <w:bottom w:val="none" w:sz="0" w:space="0" w:color="auto"/>
        <w:right w:val="none" w:sz="0" w:space="0" w:color="auto"/>
      </w:divBdr>
    </w:div>
    <w:div w:id="220606400">
      <w:bodyDiv w:val="1"/>
      <w:marLeft w:val="0"/>
      <w:marRight w:val="0"/>
      <w:marTop w:val="0"/>
      <w:marBottom w:val="0"/>
      <w:divBdr>
        <w:top w:val="none" w:sz="0" w:space="0" w:color="auto"/>
        <w:left w:val="none" w:sz="0" w:space="0" w:color="auto"/>
        <w:bottom w:val="none" w:sz="0" w:space="0" w:color="auto"/>
        <w:right w:val="none" w:sz="0" w:space="0" w:color="auto"/>
      </w:divBdr>
      <w:divsChild>
        <w:div w:id="1908766085">
          <w:marLeft w:val="0"/>
          <w:marRight w:val="0"/>
          <w:marTop w:val="0"/>
          <w:marBottom w:val="0"/>
          <w:divBdr>
            <w:top w:val="none" w:sz="0" w:space="0" w:color="auto"/>
            <w:left w:val="none" w:sz="0" w:space="0" w:color="auto"/>
            <w:bottom w:val="none" w:sz="0" w:space="0" w:color="auto"/>
            <w:right w:val="none" w:sz="0" w:space="0" w:color="auto"/>
          </w:divBdr>
        </w:div>
      </w:divsChild>
    </w:div>
    <w:div w:id="241107017">
      <w:bodyDiv w:val="1"/>
      <w:marLeft w:val="0"/>
      <w:marRight w:val="0"/>
      <w:marTop w:val="0"/>
      <w:marBottom w:val="0"/>
      <w:divBdr>
        <w:top w:val="none" w:sz="0" w:space="0" w:color="auto"/>
        <w:left w:val="none" w:sz="0" w:space="0" w:color="auto"/>
        <w:bottom w:val="none" w:sz="0" w:space="0" w:color="auto"/>
        <w:right w:val="none" w:sz="0" w:space="0" w:color="auto"/>
      </w:divBdr>
    </w:div>
    <w:div w:id="277103546">
      <w:bodyDiv w:val="1"/>
      <w:marLeft w:val="0"/>
      <w:marRight w:val="0"/>
      <w:marTop w:val="0"/>
      <w:marBottom w:val="0"/>
      <w:divBdr>
        <w:top w:val="none" w:sz="0" w:space="0" w:color="auto"/>
        <w:left w:val="none" w:sz="0" w:space="0" w:color="auto"/>
        <w:bottom w:val="none" w:sz="0" w:space="0" w:color="auto"/>
        <w:right w:val="none" w:sz="0" w:space="0" w:color="auto"/>
      </w:divBdr>
    </w:div>
    <w:div w:id="283849181">
      <w:bodyDiv w:val="1"/>
      <w:marLeft w:val="0"/>
      <w:marRight w:val="0"/>
      <w:marTop w:val="0"/>
      <w:marBottom w:val="0"/>
      <w:divBdr>
        <w:top w:val="none" w:sz="0" w:space="0" w:color="auto"/>
        <w:left w:val="none" w:sz="0" w:space="0" w:color="auto"/>
        <w:bottom w:val="none" w:sz="0" w:space="0" w:color="auto"/>
        <w:right w:val="none" w:sz="0" w:space="0" w:color="auto"/>
      </w:divBdr>
    </w:div>
    <w:div w:id="317459682">
      <w:bodyDiv w:val="1"/>
      <w:marLeft w:val="0"/>
      <w:marRight w:val="0"/>
      <w:marTop w:val="0"/>
      <w:marBottom w:val="0"/>
      <w:divBdr>
        <w:top w:val="none" w:sz="0" w:space="0" w:color="auto"/>
        <w:left w:val="none" w:sz="0" w:space="0" w:color="auto"/>
        <w:bottom w:val="none" w:sz="0" w:space="0" w:color="auto"/>
        <w:right w:val="none" w:sz="0" w:space="0" w:color="auto"/>
      </w:divBdr>
    </w:div>
    <w:div w:id="322466389">
      <w:bodyDiv w:val="1"/>
      <w:marLeft w:val="0"/>
      <w:marRight w:val="0"/>
      <w:marTop w:val="0"/>
      <w:marBottom w:val="0"/>
      <w:divBdr>
        <w:top w:val="none" w:sz="0" w:space="0" w:color="auto"/>
        <w:left w:val="none" w:sz="0" w:space="0" w:color="auto"/>
        <w:bottom w:val="none" w:sz="0" w:space="0" w:color="auto"/>
        <w:right w:val="none" w:sz="0" w:space="0" w:color="auto"/>
      </w:divBdr>
    </w:div>
    <w:div w:id="330986862">
      <w:bodyDiv w:val="1"/>
      <w:marLeft w:val="0"/>
      <w:marRight w:val="0"/>
      <w:marTop w:val="0"/>
      <w:marBottom w:val="0"/>
      <w:divBdr>
        <w:top w:val="none" w:sz="0" w:space="0" w:color="auto"/>
        <w:left w:val="none" w:sz="0" w:space="0" w:color="auto"/>
        <w:bottom w:val="none" w:sz="0" w:space="0" w:color="auto"/>
        <w:right w:val="none" w:sz="0" w:space="0" w:color="auto"/>
      </w:divBdr>
    </w:div>
    <w:div w:id="362749779">
      <w:bodyDiv w:val="1"/>
      <w:marLeft w:val="0"/>
      <w:marRight w:val="0"/>
      <w:marTop w:val="0"/>
      <w:marBottom w:val="0"/>
      <w:divBdr>
        <w:top w:val="none" w:sz="0" w:space="0" w:color="auto"/>
        <w:left w:val="none" w:sz="0" w:space="0" w:color="auto"/>
        <w:bottom w:val="none" w:sz="0" w:space="0" w:color="auto"/>
        <w:right w:val="none" w:sz="0" w:space="0" w:color="auto"/>
      </w:divBdr>
    </w:div>
    <w:div w:id="383649020">
      <w:bodyDiv w:val="1"/>
      <w:marLeft w:val="0"/>
      <w:marRight w:val="0"/>
      <w:marTop w:val="0"/>
      <w:marBottom w:val="0"/>
      <w:divBdr>
        <w:top w:val="none" w:sz="0" w:space="0" w:color="auto"/>
        <w:left w:val="none" w:sz="0" w:space="0" w:color="auto"/>
        <w:bottom w:val="none" w:sz="0" w:space="0" w:color="auto"/>
        <w:right w:val="none" w:sz="0" w:space="0" w:color="auto"/>
      </w:divBdr>
    </w:div>
    <w:div w:id="406615276">
      <w:bodyDiv w:val="1"/>
      <w:marLeft w:val="0"/>
      <w:marRight w:val="0"/>
      <w:marTop w:val="0"/>
      <w:marBottom w:val="0"/>
      <w:divBdr>
        <w:top w:val="none" w:sz="0" w:space="0" w:color="auto"/>
        <w:left w:val="none" w:sz="0" w:space="0" w:color="auto"/>
        <w:bottom w:val="none" w:sz="0" w:space="0" w:color="auto"/>
        <w:right w:val="none" w:sz="0" w:space="0" w:color="auto"/>
      </w:divBdr>
    </w:div>
    <w:div w:id="413476854">
      <w:bodyDiv w:val="1"/>
      <w:marLeft w:val="0"/>
      <w:marRight w:val="0"/>
      <w:marTop w:val="0"/>
      <w:marBottom w:val="0"/>
      <w:divBdr>
        <w:top w:val="none" w:sz="0" w:space="0" w:color="auto"/>
        <w:left w:val="none" w:sz="0" w:space="0" w:color="auto"/>
        <w:bottom w:val="none" w:sz="0" w:space="0" w:color="auto"/>
        <w:right w:val="none" w:sz="0" w:space="0" w:color="auto"/>
      </w:divBdr>
    </w:div>
    <w:div w:id="420028513">
      <w:bodyDiv w:val="1"/>
      <w:marLeft w:val="0"/>
      <w:marRight w:val="0"/>
      <w:marTop w:val="0"/>
      <w:marBottom w:val="0"/>
      <w:divBdr>
        <w:top w:val="none" w:sz="0" w:space="0" w:color="auto"/>
        <w:left w:val="none" w:sz="0" w:space="0" w:color="auto"/>
        <w:bottom w:val="none" w:sz="0" w:space="0" w:color="auto"/>
        <w:right w:val="none" w:sz="0" w:space="0" w:color="auto"/>
      </w:divBdr>
    </w:div>
    <w:div w:id="431365810">
      <w:bodyDiv w:val="1"/>
      <w:marLeft w:val="0"/>
      <w:marRight w:val="0"/>
      <w:marTop w:val="0"/>
      <w:marBottom w:val="0"/>
      <w:divBdr>
        <w:top w:val="none" w:sz="0" w:space="0" w:color="auto"/>
        <w:left w:val="none" w:sz="0" w:space="0" w:color="auto"/>
        <w:bottom w:val="none" w:sz="0" w:space="0" w:color="auto"/>
        <w:right w:val="none" w:sz="0" w:space="0" w:color="auto"/>
      </w:divBdr>
    </w:div>
    <w:div w:id="483857540">
      <w:bodyDiv w:val="1"/>
      <w:marLeft w:val="0"/>
      <w:marRight w:val="0"/>
      <w:marTop w:val="0"/>
      <w:marBottom w:val="0"/>
      <w:divBdr>
        <w:top w:val="none" w:sz="0" w:space="0" w:color="auto"/>
        <w:left w:val="none" w:sz="0" w:space="0" w:color="auto"/>
        <w:bottom w:val="none" w:sz="0" w:space="0" w:color="auto"/>
        <w:right w:val="none" w:sz="0" w:space="0" w:color="auto"/>
      </w:divBdr>
    </w:div>
    <w:div w:id="486750107">
      <w:bodyDiv w:val="1"/>
      <w:marLeft w:val="0"/>
      <w:marRight w:val="0"/>
      <w:marTop w:val="0"/>
      <w:marBottom w:val="0"/>
      <w:divBdr>
        <w:top w:val="none" w:sz="0" w:space="0" w:color="auto"/>
        <w:left w:val="none" w:sz="0" w:space="0" w:color="auto"/>
        <w:bottom w:val="none" w:sz="0" w:space="0" w:color="auto"/>
        <w:right w:val="none" w:sz="0" w:space="0" w:color="auto"/>
      </w:divBdr>
    </w:div>
    <w:div w:id="490754216">
      <w:bodyDiv w:val="1"/>
      <w:marLeft w:val="0"/>
      <w:marRight w:val="0"/>
      <w:marTop w:val="0"/>
      <w:marBottom w:val="0"/>
      <w:divBdr>
        <w:top w:val="none" w:sz="0" w:space="0" w:color="auto"/>
        <w:left w:val="none" w:sz="0" w:space="0" w:color="auto"/>
        <w:bottom w:val="none" w:sz="0" w:space="0" w:color="auto"/>
        <w:right w:val="none" w:sz="0" w:space="0" w:color="auto"/>
      </w:divBdr>
    </w:div>
    <w:div w:id="502671583">
      <w:bodyDiv w:val="1"/>
      <w:marLeft w:val="0"/>
      <w:marRight w:val="0"/>
      <w:marTop w:val="0"/>
      <w:marBottom w:val="0"/>
      <w:divBdr>
        <w:top w:val="none" w:sz="0" w:space="0" w:color="auto"/>
        <w:left w:val="none" w:sz="0" w:space="0" w:color="auto"/>
        <w:bottom w:val="none" w:sz="0" w:space="0" w:color="auto"/>
        <w:right w:val="none" w:sz="0" w:space="0" w:color="auto"/>
      </w:divBdr>
    </w:div>
    <w:div w:id="508445397">
      <w:bodyDiv w:val="1"/>
      <w:marLeft w:val="0"/>
      <w:marRight w:val="0"/>
      <w:marTop w:val="0"/>
      <w:marBottom w:val="0"/>
      <w:divBdr>
        <w:top w:val="none" w:sz="0" w:space="0" w:color="auto"/>
        <w:left w:val="none" w:sz="0" w:space="0" w:color="auto"/>
        <w:bottom w:val="none" w:sz="0" w:space="0" w:color="auto"/>
        <w:right w:val="none" w:sz="0" w:space="0" w:color="auto"/>
      </w:divBdr>
    </w:div>
    <w:div w:id="508643422">
      <w:bodyDiv w:val="1"/>
      <w:marLeft w:val="0"/>
      <w:marRight w:val="0"/>
      <w:marTop w:val="0"/>
      <w:marBottom w:val="0"/>
      <w:divBdr>
        <w:top w:val="none" w:sz="0" w:space="0" w:color="auto"/>
        <w:left w:val="none" w:sz="0" w:space="0" w:color="auto"/>
        <w:bottom w:val="none" w:sz="0" w:space="0" w:color="auto"/>
        <w:right w:val="none" w:sz="0" w:space="0" w:color="auto"/>
      </w:divBdr>
    </w:div>
    <w:div w:id="540895925">
      <w:bodyDiv w:val="1"/>
      <w:marLeft w:val="0"/>
      <w:marRight w:val="0"/>
      <w:marTop w:val="0"/>
      <w:marBottom w:val="0"/>
      <w:divBdr>
        <w:top w:val="none" w:sz="0" w:space="0" w:color="auto"/>
        <w:left w:val="none" w:sz="0" w:space="0" w:color="auto"/>
        <w:bottom w:val="none" w:sz="0" w:space="0" w:color="auto"/>
        <w:right w:val="none" w:sz="0" w:space="0" w:color="auto"/>
      </w:divBdr>
    </w:div>
    <w:div w:id="541598693">
      <w:bodyDiv w:val="1"/>
      <w:marLeft w:val="0"/>
      <w:marRight w:val="0"/>
      <w:marTop w:val="0"/>
      <w:marBottom w:val="0"/>
      <w:divBdr>
        <w:top w:val="none" w:sz="0" w:space="0" w:color="auto"/>
        <w:left w:val="none" w:sz="0" w:space="0" w:color="auto"/>
        <w:bottom w:val="none" w:sz="0" w:space="0" w:color="auto"/>
        <w:right w:val="none" w:sz="0" w:space="0" w:color="auto"/>
      </w:divBdr>
    </w:div>
    <w:div w:id="551186581">
      <w:bodyDiv w:val="1"/>
      <w:marLeft w:val="0"/>
      <w:marRight w:val="0"/>
      <w:marTop w:val="0"/>
      <w:marBottom w:val="0"/>
      <w:divBdr>
        <w:top w:val="none" w:sz="0" w:space="0" w:color="auto"/>
        <w:left w:val="none" w:sz="0" w:space="0" w:color="auto"/>
        <w:bottom w:val="none" w:sz="0" w:space="0" w:color="auto"/>
        <w:right w:val="none" w:sz="0" w:space="0" w:color="auto"/>
      </w:divBdr>
    </w:div>
    <w:div w:id="576669393">
      <w:bodyDiv w:val="1"/>
      <w:marLeft w:val="0"/>
      <w:marRight w:val="0"/>
      <w:marTop w:val="0"/>
      <w:marBottom w:val="0"/>
      <w:divBdr>
        <w:top w:val="none" w:sz="0" w:space="0" w:color="auto"/>
        <w:left w:val="none" w:sz="0" w:space="0" w:color="auto"/>
        <w:bottom w:val="none" w:sz="0" w:space="0" w:color="auto"/>
        <w:right w:val="none" w:sz="0" w:space="0" w:color="auto"/>
      </w:divBdr>
    </w:div>
    <w:div w:id="617298467">
      <w:bodyDiv w:val="1"/>
      <w:marLeft w:val="0"/>
      <w:marRight w:val="0"/>
      <w:marTop w:val="0"/>
      <w:marBottom w:val="0"/>
      <w:divBdr>
        <w:top w:val="none" w:sz="0" w:space="0" w:color="auto"/>
        <w:left w:val="none" w:sz="0" w:space="0" w:color="auto"/>
        <w:bottom w:val="none" w:sz="0" w:space="0" w:color="auto"/>
        <w:right w:val="none" w:sz="0" w:space="0" w:color="auto"/>
      </w:divBdr>
    </w:div>
    <w:div w:id="624000526">
      <w:bodyDiv w:val="1"/>
      <w:marLeft w:val="0"/>
      <w:marRight w:val="0"/>
      <w:marTop w:val="0"/>
      <w:marBottom w:val="0"/>
      <w:divBdr>
        <w:top w:val="none" w:sz="0" w:space="0" w:color="auto"/>
        <w:left w:val="none" w:sz="0" w:space="0" w:color="auto"/>
        <w:bottom w:val="none" w:sz="0" w:space="0" w:color="auto"/>
        <w:right w:val="none" w:sz="0" w:space="0" w:color="auto"/>
      </w:divBdr>
    </w:div>
    <w:div w:id="656154441">
      <w:bodyDiv w:val="1"/>
      <w:marLeft w:val="0"/>
      <w:marRight w:val="0"/>
      <w:marTop w:val="0"/>
      <w:marBottom w:val="0"/>
      <w:divBdr>
        <w:top w:val="none" w:sz="0" w:space="0" w:color="auto"/>
        <w:left w:val="none" w:sz="0" w:space="0" w:color="auto"/>
        <w:bottom w:val="none" w:sz="0" w:space="0" w:color="auto"/>
        <w:right w:val="none" w:sz="0" w:space="0" w:color="auto"/>
      </w:divBdr>
    </w:div>
    <w:div w:id="683360864">
      <w:bodyDiv w:val="1"/>
      <w:marLeft w:val="0"/>
      <w:marRight w:val="0"/>
      <w:marTop w:val="0"/>
      <w:marBottom w:val="0"/>
      <w:divBdr>
        <w:top w:val="none" w:sz="0" w:space="0" w:color="auto"/>
        <w:left w:val="none" w:sz="0" w:space="0" w:color="auto"/>
        <w:bottom w:val="none" w:sz="0" w:space="0" w:color="auto"/>
        <w:right w:val="none" w:sz="0" w:space="0" w:color="auto"/>
      </w:divBdr>
      <w:divsChild>
        <w:div w:id="1960528021">
          <w:marLeft w:val="0"/>
          <w:marRight w:val="0"/>
          <w:marTop w:val="0"/>
          <w:marBottom w:val="0"/>
          <w:divBdr>
            <w:top w:val="none" w:sz="0" w:space="0" w:color="auto"/>
            <w:left w:val="none" w:sz="0" w:space="0" w:color="auto"/>
            <w:bottom w:val="none" w:sz="0" w:space="0" w:color="auto"/>
            <w:right w:val="none" w:sz="0" w:space="0" w:color="auto"/>
          </w:divBdr>
          <w:divsChild>
            <w:div w:id="159581451">
              <w:marLeft w:val="-14"/>
              <w:marRight w:val="0"/>
              <w:marTop w:val="0"/>
              <w:marBottom w:val="0"/>
              <w:divBdr>
                <w:top w:val="none" w:sz="0" w:space="0" w:color="auto"/>
                <w:left w:val="single" w:sz="6" w:space="0" w:color="FFFFFF"/>
                <w:bottom w:val="none" w:sz="0" w:space="0" w:color="auto"/>
                <w:right w:val="none" w:sz="0" w:space="0" w:color="auto"/>
              </w:divBdr>
              <w:divsChild>
                <w:div w:id="1012145978">
                  <w:marLeft w:val="0"/>
                  <w:marRight w:val="0"/>
                  <w:marTop w:val="0"/>
                  <w:marBottom w:val="0"/>
                  <w:divBdr>
                    <w:top w:val="none" w:sz="0" w:space="0" w:color="auto"/>
                    <w:left w:val="none" w:sz="0" w:space="0" w:color="auto"/>
                    <w:bottom w:val="none" w:sz="0" w:space="0" w:color="auto"/>
                    <w:right w:val="none" w:sz="0" w:space="0" w:color="auto"/>
                  </w:divBdr>
                  <w:divsChild>
                    <w:div w:id="20558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7991">
      <w:bodyDiv w:val="1"/>
      <w:marLeft w:val="0"/>
      <w:marRight w:val="0"/>
      <w:marTop w:val="0"/>
      <w:marBottom w:val="0"/>
      <w:divBdr>
        <w:top w:val="none" w:sz="0" w:space="0" w:color="auto"/>
        <w:left w:val="none" w:sz="0" w:space="0" w:color="auto"/>
        <w:bottom w:val="none" w:sz="0" w:space="0" w:color="auto"/>
        <w:right w:val="none" w:sz="0" w:space="0" w:color="auto"/>
      </w:divBdr>
    </w:div>
    <w:div w:id="704645199">
      <w:bodyDiv w:val="1"/>
      <w:marLeft w:val="0"/>
      <w:marRight w:val="0"/>
      <w:marTop w:val="0"/>
      <w:marBottom w:val="0"/>
      <w:divBdr>
        <w:top w:val="none" w:sz="0" w:space="0" w:color="auto"/>
        <w:left w:val="none" w:sz="0" w:space="0" w:color="auto"/>
        <w:bottom w:val="none" w:sz="0" w:space="0" w:color="auto"/>
        <w:right w:val="none" w:sz="0" w:space="0" w:color="auto"/>
      </w:divBdr>
    </w:div>
    <w:div w:id="709769043">
      <w:bodyDiv w:val="1"/>
      <w:marLeft w:val="0"/>
      <w:marRight w:val="0"/>
      <w:marTop w:val="0"/>
      <w:marBottom w:val="0"/>
      <w:divBdr>
        <w:top w:val="none" w:sz="0" w:space="0" w:color="auto"/>
        <w:left w:val="none" w:sz="0" w:space="0" w:color="auto"/>
        <w:bottom w:val="none" w:sz="0" w:space="0" w:color="auto"/>
        <w:right w:val="none" w:sz="0" w:space="0" w:color="auto"/>
      </w:divBdr>
    </w:div>
    <w:div w:id="770397467">
      <w:bodyDiv w:val="1"/>
      <w:marLeft w:val="0"/>
      <w:marRight w:val="0"/>
      <w:marTop w:val="0"/>
      <w:marBottom w:val="0"/>
      <w:divBdr>
        <w:top w:val="none" w:sz="0" w:space="0" w:color="auto"/>
        <w:left w:val="none" w:sz="0" w:space="0" w:color="auto"/>
        <w:bottom w:val="none" w:sz="0" w:space="0" w:color="auto"/>
        <w:right w:val="none" w:sz="0" w:space="0" w:color="auto"/>
      </w:divBdr>
    </w:div>
    <w:div w:id="789780783">
      <w:bodyDiv w:val="1"/>
      <w:marLeft w:val="0"/>
      <w:marRight w:val="0"/>
      <w:marTop w:val="0"/>
      <w:marBottom w:val="0"/>
      <w:divBdr>
        <w:top w:val="none" w:sz="0" w:space="0" w:color="auto"/>
        <w:left w:val="none" w:sz="0" w:space="0" w:color="auto"/>
        <w:bottom w:val="none" w:sz="0" w:space="0" w:color="auto"/>
        <w:right w:val="none" w:sz="0" w:space="0" w:color="auto"/>
      </w:divBdr>
    </w:div>
    <w:div w:id="806511828">
      <w:bodyDiv w:val="1"/>
      <w:marLeft w:val="0"/>
      <w:marRight w:val="0"/>
      <w:marTop w:val="0"/>
      <w:marBottom w:val="0"/>
      <w:divBdr>
        <w:top w:val="none" w:sz="0" w:space="0" w:color="auto"/>
        <w:left w:val="none" w:sz="0" w:space="0" w:color="auto"/>
        <w:bottom w:val="none" w:sz="0" w:space="0" w:color="auto"/>
        <w:right w:val="none" w:sz="0" w:space="0" w:color="auto"/>
      </w:divBdr>
    </w:div>
    <w:div w:id="844711194">
      <w:bodyDiv w:val="1"/>
      <w:marLeft w:val="0"/>
      <w:marRight w:val="0"/>
      <w:marTop w:val="0"/>
      <w:marBottom w:val="0"/>
      <w:divBdr>
        <w:top w:val="none" w:sz="0" w:space="0" w:color="auto"/>
        <w:left w:val="none" w:sz="0" w:space="0" w:color="auto"/>
        <w:bottom w:val="none" w:sz="0" w:space="0" w:color="auto"/>
        <w:right w:val="none" w:sz="0" w:space="0" w:color="auto"/>
      </w:divBdr>
      <w:divsChild>
        <w:div w:id="2009940591">
          <w:marLeft w:val="0"/>
          <w:marRight w:val="0"/>
          <w:marTop w:val="0"/>
          <w:marBottom w:val="0"/>
          <w:divBdr>
            <w:top w:val="none" w:sz="0" w:space="0" w:color="auto"/>
            <w:left w:val="none" w:sz="0" w:space="0" w:color="auto"/>
            <w:bottom w:val="none" w:sz="0" w:space="0" w:color="auto"/>
            <w:right w:val="none" w:sz="0" w:space="0" w:color="auto"/>
          </w:divBdr>
          <w:divsChild>
            <w:div w:id="1479686575">
              <w:marLeft w:val="0"/>
              <w:marRight w:val="0"/>
              <w:marTop w:val="0"/>
              <w:marBottom w:val="0"/>
              <w:divBdr>
                <w:top w:val="none" w:sz="0" w:space="0" w:color="auto"/>
                <w:left w:val="none" w:sz="0" w:space="0" w:color="auto"/>
                <w:bottom w:val="none" w:sz="0" w:space="0" w:color="auto"/>
                <w:right w:val="none" w:sz="0" w:space="0" w:color="auto"/>
              </w:divBdr>
              <w:divsChild>
                <w:div w:id="1531338070">
                  <w:marLeft w:val="0"/>
                  <w:marRight w:val="0"/>
                  <w:marTop w:val="0"/>
                  <w:marBottom w:val="0"/>
                  <w:divBdr>
                    <w:top w:val="none" w:sz="0" w:space="0" w:color="auto"/>
                    <w:left w:val="none" w:sz="0" w:space="0" w:color="auto"/>
                    <w:bottom w:val="none" w:sz="0" w:space="0" w:color="auto"/>
                    <w:right w:val="none" w:sz="0" w:space="0" w:color="auto"/>
                  </w:divBdr>
                  <w:divsChild>
                    <w:div w:id="498891063">
                      <w:marLeft w:val="0"/>
                      <w:marRight w:val="0"/>
                      <w:marTop w:val="0"/>
                      <w:marBottom w:val="0"/>
                      <w:divBdr>
                        <w:top w:val="none" w:sz="0" w:space="0" w:color="auto"/>
                        <w:left w:val="none" w:sz="0" w:space="0" w:color="auto"/>
                        <w:bottom w:val="none" w:sz="0" w:space="0" w:color="auto"/>
                        <w:right w:val="none" w:sz="0" w:space="0" w:color="auto"/>
                      </w:divBdr>
                      <w:divsChild>
                        <w:div w:id="646589504">
                          <w:marLeft w:val="0"/>
                          <w:marRight w:val="0"/>
                          <w:marTop w:val="0"/>
                          <w:marBottom w:val="0"/>
                          <w:divBdr>
                            <w:top w:val="none" w:sz="0" w:space="0" w:color="auto"/>
                            <w:left w:val="none" w:sz="0" w:space="0" w:color="auto"/>
                            <w:bottom w:val="none" w:sz="0" w:space="0" w:color="auto"/>
                            <w:right w:val="none" w:sz="0" w:space="0" w:color="auto"/>
                          </w:divBdr>
                          <w:divsChild>
                            <w:div w:id="739790594">
                              <w:marLeft w:val="0"/>
                              <w:marRight w:val="0"/>
                              <w:marTop w:val="0"/>
                              <w:marBottom w:val="0"/>
                              <w:divBdr>
                                <w:top w:val="none" w:sz="0" w:space="0" w:color="auto"/>
                                <w:left w:val="none" w:sz="0" w:space="0" w:color="auto"/>
                                <w:bottom w:val="none" w:sz="0" w:space="0" w:color="auto"/>
                                <w:right w:val="none" w:sz="0" w:space="0" w:color="auto"/>
                              </w:divBdr>
                              <w:divsChild>
                                <w:div w:id="1464470423">
                                  <w:marLeft w:val="0"/>
                                  <w:marRight w:val="0"/>
                                  <w:marTop w:val="0"/>
                                  <w:marBottom w:val="0"/>
                                  <w:divBdr>
                                    <w:top w:val="none" w:sz="0" w:space="0" w:color="auto"/>
                                    <w:left w:val="none" w:sz="0" w:space="0" w:color="auto"/>
                                    <w:bottom w:val="none" w:sz="0" w:space="0" w:color="auto"/>
                                    <w:right w:val="none" w:sz="0" w:space="0" w:color="auto"/>
                                  </w:divBdr>
                                  <w:divsChild>
                                    <w:div w:id="1139881019">
                                      <w:marLeft w:val="240"/>
                                      <w:marRight w:val="240"/>
                                      <w:marTop w:val="240"/>
                                      <w:marBottom w:val="0"/>
                                      <w:divBdr>
                                        <w:top w:val="none" w:sz="0" w:space="0" w:color="auto"/>
                                        <w:left w:val="none" w:sz="0" w:space="0" w:color="auto"/>
                                        <w:bottom w:val="none" w:sz="0" w:space="0" w:color="auto"/>
                                        <w:right w:val="none" w:sz="0" w:space="0" w:color="auto"/>
                                      </w:divBdr>
                                      <w:divsChild>
                                        <w:div w:id="1932198447">
                                          <w:marLeft w:val="0"/>
                                          <w:marRight w:val="0"/>
                                          <w:marTop w:val="0"/>
                                          <w:marBottom w:val="0"/>
                                          <w:divBdr>
                                            <w:top w:val="none" w:sz="0" w:space="0" w:color="auto"/>
                                            <w:left w:val="none" w:sz="0" w:space="0" w:color="auto"/>
                                            <w:bottom w:val="none" w:sz="0" w:space="0" w:color="auto"/>
                                            <w:right w:val="none" w:sz="0" w:space="0" w:color="auto"/>
                                          </w:divBdr>
                                          <w:divsChild>
                                            <w:div w:id="1254391092">
                                              <w:marLeft w:val="0"/>
                                              <w:marRight w:val="0"/>
                                              <w:marTop w:val="0"/>
                                              <w:marBottom w:val="0"/>
                                              <w:divBdr>
                                                <w:top w:val="none" w:sz="0" w:space="0" w:color="auto"/>
                                                <w:left w:val="none" w:sz="0" w:space="0" w:color="auto"/>
                                                <w:bottom w:val="none" w:sz="0" w:space="0" w:color="auto"/>
                                                <w:right w:val="none" w:sz="0" w:space="0" w:color="auto"/>
                                              </w:divBdr>
                                              <w:divsChild>
                                                <w:div w:id="15692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9320305">
      <w:bodyDiv w:val="1"/>
      <w:marLeft w:val="0"/>
      <w:marRight w:val="0"/>
      <w:marTop w:val="0"/>
      <w:marBottom w:val="0"/>
      <w:divBdr>
        <w:top w:val="none" w:sz="0" w:space="0" w:color="auto"/>
        <w:left w:val="none" w:sz="0" w:space="0" w:color="auto"/>
        <w:bottom w:val="none" w:sz="0" w:space="0" w:color="auto"/>
        <w:right w:val="none" w:sz="0" w:space="0" w:color="auto"/>
      </w:divBdr>
    </w:div>
    <w:div w:id="866983624">
      <w:bodyDiv w:val="1"/>
      <w:marLeft w:val="0"/>
      <w:marRight w:val="0"/>
      <w:marTop w:val="0"/>
      <w:marBottom w:val="0"/>
      <w:divBdr>
        <w:top w:val="none" w:sz="0" w:space="0" w:color="auto"/>
        <w:left w:val="none" w:sz="0" w:space="0" w:color="auto"/>
        <w:bottom w:val="none" w:sz="0" w:space="0" w:color="auto"/>
        <w:right w:val="none" w:sz="0" w:space="0" w:color="auto"/>
      </w:divBdr>
    </w:div>
    <w:div w:id="878782775">
      <w:bodyDiv w:val="1"/>
      <w:marLeft w:val="0"/>
      <w:marRight w:val="0"/>
      <w:marTop w:val="0"/>
      <w:marBottom w:val="0"/>
      <w:divBdr>
        <w:top w:val="none" w:sz="0" w:space="0" w:color="auto"/>
        <w:left w:val="none" w:sz="0" w:space="0" w:color="auto"/>
        <w:bottom w:val="none" w:sz="0" w:space="0" w:color="auto"/>
        <w:right w:val="none" w:sz="0" w:space="0" w:color="auto"/>
      </w:divBdr>
      <w:divsChild>
        <w:div w:id="223030710">
          <w:marLeft w:val="0"/>
          <w:marRight w:val="0"/>
          <w:marTop w:val="0"/>
          <w:marBottom w:val="0"/>
          <w:divBdr>
            <w:top w:val="none" w:sz="0" w:space="0" w:color="auto"/>
            <w:left w:val="none" w:sz="0" w:space="0" w:color="auto"/>
            <w:bottom w:val="none" w:sz="0" w:space="0" w:color="auto"/>
            <w:right w:val="none" w:sz="0" w:space="0" w:color="auto"/>
          </w:divBdr>
          <w:divsChild>
            <w:div w:id="1945574836">
              <w:marLeft w:val="0"/>
              <w:marRight w:val="0"/>
              <w:marTop w:val="0"/>
              <w:marBottom w:val="0"/>
              <w:divBdr>
                <w:top w:val="none" w:sz="0" w:space="0" w:color="auto"/>
                <w:left w:val="none" w:sz="0" w:space="0" w:color="auto"/>
                <w:bottom w:val="none" w:sz="0" w:space="0" w:color="auto"/>
                <w:right w:val="none" w:sz="0" w:space="0" w:color="auto"/>
              </w:divBdr>
              <w:divsChild>
                <w:div w:id="240792419">
                  <w:marLeft w:val="0"/>
                  <w:marRight w:val="0"/>
                  <w:marTop w:val="0"/>
                  <w:marBottom w:val="0"/>
                  <w:divBdr>
                    <w:top w:val="none" w:sz="0" w:space="0" w:color="auto"/>
                    <w:left w:val="none" w:sz="0" w:space="0" w:color="auto"/>
                    <w:bottom w:val="none" w:sz="0" w:space="0" w:color="auto"/>
                    <w:right w:val="none" w:sz="0" w:space="0" w:color="auto"/>
                  </w:divBdr>
                  <w:divsChild>
                    <w:div w:id="1717582045">
                      <w:marLeft w:val="0"/>
                      <w:marRight w:val="0"/>
                      <w:marTop w:val="0"/>
                      <w:marBottom w:val="0"/>
                      <w:divBdr>
                        <w:top w:val="none" w:sz="0" w:space="0" w:color="auto"/>
                        <w:left w:val="none" w:sz="0" w:space="0" w:color="auto"/>
                        <w:bottom w:val="none" w:sz="0" w:space="0" w:color="auto"/>
                        <w:right w:val="none" w:sz="0" w:space="0" w:color="auto"/>
                      </w:divBdr>
                      <w:divsChild>
                        <w:div w:id="318580845">
                          <w:marLeft w:val="0"/>
                          <w:marRight w:val="0"/>
                          <w:marTop w:val="0"/>
                          <w:marBottom w:val="0"/>
                          <w:divBdr>
                            <w:top w:val="none" w:sz="0" w:space="0" w:color="auto"/>
                            <w:left w:val="none" w:sz="0" w:space="0" w:color="auto"/>
                            <w:bottom w:val="none" w:sz="0" w:space="0" w:color="auto"/>
                            <w:right w:val="none" w:sz="0" w:space="0" w:color="auto"/>
                          </w:divBdr>
                          <w:divsChild>
                            <w:div w:id="765886233">
                              <w:marLeft w:val="0"/>
                              <w:marRight w:val="0"/>
                              <w:marTop w:val="0"/>
                              <w:marBottom w:val="0"/>
                              <w:divBdr>
                                <w:top w:val="none" w:sz="0" w:space="0" w:color="auto"/>
                                <w:left w:val="none" w:sz="0" w:space="0" w:color="auto"/>
                                <w:bottom w:val="none" w:sz="0" w:space="0" w:color="auto"/>
                                <w:right w:val="none" w:sz="0" w:space="0" w:color="auto"/>
                              </w:divBdr>
                              <w:divsChild>
                                <w:div w:id="683093013">
                                  <w:marLeft w:val="0"/>
                                  <w:marRight w:val="0"/>
                                  <w:marTop w:val="0"/>
                                  <w:marBottom w:val="0"/>
                                  <w:divBdr>
                                    <w:top w:val="none" w:sz="0" w:space="0" w:color="auto"/>
                                    <w:left w:val="none" w:sz="0" w:space="0" w:color="auto"/>
                                    <w:bottom w:val="none" w:sz="0" w:space="0" w:color="auto"/>
                                    <w:right w:val="none" w:sz="0" w:space="0" w:color="auto"/>
                                  </w:divBdr>
                                  <w:divsChild>
                                    <w:div w:id="326634111">
                                      <w:marLeft w:val="240"/>
                                      <w:marRight w:val="240"/>
                                      <w:marTop w:val="240"/>
                                      <w:marBottom w:val="0"/>
                                      <w:divBdr>
                                        <w:top w:val="none" w:sz="0" w:space="0" w:color="auto"/>
                                        <w:left w:val="none" w:sz="0" w:space="0" w:color="auto"/>
                                        <w:bottom w:val="none" w:sz="0" w:space="0" w:color="auto"/>
                                        <w:right w:val="none" w:sz="0" w:space="0" w:color="auto"/>
                                      </w:divBdr>
                                      <w:divsChild>
                                        <w:div w:id="1575436973">
                                          <w:marLeft w:val="0"/>
                                          <w:marRight w:val="0"/>
                                          <w:marTop w:val="0"/>
                                          <w:marBottom w:val="0"/>
                                          <w:divBdr>
                                            <w:top w:val="none" w:sz="0" w:space="0" w:color="auto"/>
                                            <w:left w:val="none" w:sz="0" w:space="0" w:color="auto"/>
                                            <w:bottom w:val="none" w:sz="0" w:space="0" w:color="auto"/>
                                            <w:right w:val="none" w:sz="0" w:space="0" w:color="auto"/>
                                          </w:divBdr>
                                          <w:divsChild>
                                            <w:div w:id="335420410">
                                              <w:marLeft w:val="0"/>
                                              <w:marRight w:val="0"/>
                                              <w:marTop w:val="0"/>
                                              <w:marBottom w:val="0"/>
                                              <w:divBdr>
                                                <w:top w:val="none" w:sz="0" w:space="0" w:color="auto"/>
                                                <w:left w:val="none" w:sz="0" w:space="0" w:color="auto"/>
                                                <w:bottom w:val="none" w:sz="0" w:space="0" w:color="auto"/>
                                                <w:right w:val="none" w:sz="0" w:space="0" w:color="auto"/>
                                              </w:divBdr>
                                              <w:divsChild>
                                                <w:div w:id="205923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1984436">
      <w:bodyDiv w:val="1"/>
      <w:marLeft w:val="0"/>
      <w:marRight w:val="0"/>
      <w:marTop w:val="0"/>
      <w:marBottom w:val="0"/>
      <w:divBdr>
        <w:top w:val="none" w:sz="0" w:space="0" w:color="auto"/>
        <w:left w:val="none" w:sz="0" w:space="0" w:color="auto"/>
        <w:bottom w:val="none" w:sz="0" w:space="0" w:color="auto"/>
        <w:right w:val="none" w:sz="0" w:space="0" w:color="auto"/>
      </w:divBdr>
    </w:div>
    <w:div w:id="907765166">
      <w:bodyDiv w:val="1"/>
      <w:marLeft w:val="0"/>
      <w:marRight w:val="0"/>
      <w:marTop w:val="0"/>
      <w:marBottom w:val="0"/>
      <w:divBdr>
        <w:top w:val="none" w:sz="0" w:space="0" w:color="auto"/>
        <w:left w:val="none" w:sz="0" w:space="0" w:color="auto"/>
        <w:bottom w:val="none" w:sz="0" w:space="0" w:color="auto"/>
        <w:right w:val="none" w:sz="0" w:space="0" w:color="auto"/>
      </w:divBdr>
    </w:div>
    <w:div w:id="967587969">
      <w:bodyDiv w:val="1"/>
      <w:marLeft w:val="0"/>
      <w:marRight w:val="0"/>
      <w:marTop w:val="0"/>
      <w:marBottom w:val="0"/>
      <w:divBdr>
        <w:top w:val="none" w:sz="0" w:space="0" w:color="auto"/>
        <w:left w:val="none" w:sz="0" w:space="0" w:color="auto"/>
        <w:bottom w:val="none" w:sz="0" w:space="0" w:color="auto"/>
        <w:right w:val="none" w:sz="0" w:space="0" w:color="auto"/>
      </w:divBdr>
    </w:div>
    <w:div w:id="972834358">
      <w:bodyDiv w:val="1"/>
      <w:marLeft w:val="0"/>
      <w:marRight w:val="0"/>
      <w:marTop w:val="0"/>
      <w:marBottom w:val="0"/>
      <w:divBdr>
        <w:top w:val="none" w:sz="0" w:space="0" w:color="auto"/>
        <w:left w:val="none" w:sz="0" w:space="0" w:color="auto"/>
        <w:bottom w:val="none" w:sz="0" w:space="0" w:color="auto"/>
        <w:right w:val="none" w:sz="0" w:space="0" w:color="auto"/>
      </w:divBdr>
    </w:div>
    <w:div w:id="975524435">
      <w:bodyDiv w:val="1"/>
      <w:marLeft w:val="0"/>
      <w:marRight w:val="0"/>
      <w:marTop w:val="0"/>
      <w:marBottom w:val="0"/>
      <w:divBdr>
        <w:top w:val="none" w:sz="0" w:space="0" w:color="auto"/>
        <w:left w:val="none" w:sz="0" w:space="0" w:color="auto"/>
        <w:bottom w:val="none" w:sz="0" w:space="0" w:color="auto"/>
        <w:right w:val="none" w:sz="0" w:space="0" w:color="auto"/>
      </w:divBdr>
    </w:div>
    <w:div w:id="977733076">
      <w:bodyDiv w:val="1"/>
      <w:marLeft w:val="0"/>
      <w:marRight w:val="0"/>
      <w:marTop w:val="0"/>
      <w:marBottom w:val="0"/>
      <w:divBdr>
        <w:top w:val="none" w:sz="0" w:space="0" w:color="auto"/>
        <w:left w:val="none" w:sz="0" w:space="0" w:color="auto"/>
        <w:bottom w:val="none" w:sz="0" w:space="0" w:color="auto"/>
        <w:right w:val="none" w:sz="0" w:space="0" w:color="auto"/>
      </w:divBdr>
    </w:div>
    <w:div w:id="985011961">
      <w:bodyDiv w:val="1"/>
      <w:marLeft w:val="0"/>
      <w:marRight w:val="0"/>
      <w:marTop w:val="0"/>
      <w:marBottom w:val="0"/>
      <w:divBdr>
        <w:top w:val="none" w:sz="0" w:space="0" w:color="auto"/>
        <w:left w:val="none" w:sz="0" w:space="0" w:color="auto"/>
        <w:bottom w:val="none" w:sz="0" w:space="0" w:color="auto"/>
        <w:right w:val="none" w:sz="0" w:space="0" w:color="auto"/>
      </w:divBdr>
    </w:div>
    <w:div w:id="995843528">
      <w:bodyDiv w:val="1"/>
      <w:marLeft w:val="0"/>
      <w:marRight w:val="0"/>
      <w:marTop w:val="0"/>
      <w:marBottom w:val="0"/>
      <w:divBdr>
        <w:top w:val="none" w:sz="0" w:space="0" w:color="auto"/>
        <w:left w:val="none" w:sz="0" w:space="0" w:color="auto"/>
        <w:bottom w:val="none" w:sz="0" w:space="0" w:color="auto"/>
        <w:right w:val="none" w:sz="0" w:space="0" w:color="auto"/>
      </w:divBdr>
    </w:div>
    <w:div w:id="1005400115">
      <w:bodyDiv w:val="1"/>
      <w:marLeft w:val="0"/>
      <w:marRight w:val="0"/>
      <w:marTop w:val="0"/>
      <w:marBottom w:val="0"/>
      <w:divBdr>
        <w:top w:val="none" w:sz="0" w:space="0" w:color="auto"/>
        <w:left w:val="none" w:sz="0" w:space="0" w:color="auto"/>
        <w:bottom w:val="none" w:sz="0" w:space="0" w:color="auto"/>
        <w:right w:val="none" w:sz="0" w:space="0" w:color="auto"/>
      </w:divBdr>
    </w:div>
    <w:div w:id="1015618704">
      <w:bodyDiv w:val="1"/>
      <w:marLeft w:val="0"/>
      <w:marRight w:val="0"/>
      <w:marTop w:val="0"/>
      <w:marBottom w:val="0"/>
      <w:divBdr>
        <w:top w:val="none" w:sz="0" w:space="0" w:color="auto"/>
        <w:left w:val="none" w:sz="0" w:space="0" w:color="auto"/>
        <w:bottom w:val="none" w:sz="0" w:space="0" w:color="auto"/>
        <w:right w:val="none" w:sz="0" w:space="0" w:color="auto"/>
      </w:divBdr>
    </w:div>
    <w:div w:id="1028291324">
      <w:bodyDiv w:val="1"/>
      <w:marLeft w:val="0"/>
      <w:marRight w:val="0"/>
      <w:marTop w:val="0"/>
      <w:marBottom w:val="0"/>
      <w:divBdr>
        <w:top w:val="none" w:sz="0" w:space="0" w:color="auto"/>
        <w:left w:val="none" w:sz="0" w:space="0" w:color="auto"/>
        <w:bottom w:val="none" w:sz="0" w:space="0" w:color="auto"/>
        <w:right w:val="none" w:sz="0" w:space="0" w:color="auto"/>
      </w:divBdr>
    </w:div>
    <w:div w:id="1056703083">
      <w:bodyDiv w:val="1"/>
      <w:marLeft w:val="0"/>
      <w:marRight w:val="0"/>
      <w:marTop w:val="0"/>
      <w:marBottom w:val="0"/>
      <w:divBdr>
        <w:top w:val="none" w:sz="0" w:space="0" w:color="auto"/>
        <w:left w:val="none" w:sz="0" w:space="0" w:color="auto"/>
        <w:bottom w:val="none" w:sz="0" w:space="0" w:color="auto"/>
        <w:right w:val="none" w:sz="0" w:space="0" w:color="auto"/>
      </w:divBdr>
    </w:div>
    <w:div w:id="1127577706">
      <w:bodyDiv w:val="1"/>
      <w:marLeft w:val="0"/>
      <w:marRight w:val="0"/>
      <w:marTop w:val="0"/>
      <w:marBottom w:val="0"/>
      <w:divBdr>
        <w:top w:val="none" w:sz="0" w:space="0" w:color="auto"/>
        <w:left w:val="none" w:sz="0" w:space="0" w:color="auto"/>
        <w:bottom w:val="none" w:sz="0" w:space="0" w:color="auto"/>
        <w:right w:val="none" w:sz="0" w:space="0" w:color="auto"/>
      </w:divBdr>
    </w:div>
    <w:div w:id="1133061019">
      <w:bodyDiv w:val="1"/>
      <w:marLeft w:val="0"/>
      <w:marRight w:val="0"/>
      <w:marTop w:val="0"/>
      <w:marBottom w:val="0"/>
      <w:divBdr>
        <w:top w:val="none" w:sz="0" w:space="0" w:color="auto"/>
        <w:left w:val="none" w:sz="0" w:space="0" w:color="auto"/>
        <w:bottom w:val="none" w:sz="0" w:space="0" w:color="auto"/>
        <w:right w:val="none" w:sz="0" w:space="0" w:color="auto"/>
      </w:divBdr>
    </w:div>
    <w:div w:id="1138914886">
      <w:bodyDiv w:val="1"/>
      <w:marLeft w:val="0"/>
      <w:marRight w:val="0"/>
      <w:marTop w:val="0"/>
      <w:marBottom w:val="0"/>
      <w:divBdr>
        <w:top w:val="none" w:sz="0" w:space="0" w:color="auto"/>
        <w:left w:val="none" w:sz="0" w:space="0" w:color="auto"/>
        <w:bottom w:val="none" w:sz="0" w:space="0" w:color="auto"/>
        <w:right w:val="none" w:sz="0" w:space="0" w:color="auto"/>
      </w:divBdr>
    </w:div>
    <w:div w:id="1152406219">
      <w:bodyDiv w:val="1"/>
      <w:marLeft w:val="0"/>
      <w:marRight w:val="0"/>
      <w:marTop w:val="0"/>
      <w:marBottom w:val="0"/>
      <w:divBdr>
        <w:top w:val="none" w:sz="0" w:space="0" w:color="auto"/>
        <w:left w:val="none" w:sz="0" w:space="0" w:color="auto"/>
        <w:bottom w:val="none" w:sz="0" w:space="0" w:color="auto"/>
        <w:right w:val="none" w:sz="0" w:space="0" w:color="auto"/>
      </w:divBdr>
      <w:divsChild>
        <w:div w:id="601769207">
          <w:marLeft w:val="0"/>
          <w:marRight w:val="0"/>
          <w:marTop w:val="0"/>
          <w:marBottom w:val="0"/>
          <w:divBdr>
            <w:top w:val="none" w:sz="0" w:space="0" w:color="auto"/>
            <w:left w:val="none" w:sz="0" w:space="0" w:color="auto"/>
            <w:bottom w:val="none" w:sz="0" w:space="0" w:color="auto"/>
            <w:right w:val="none" w:sz="0" w:space="0" w:color="auto"/>
          </w:divBdr>
          <w:divsChild>
            <w:div w:id="1273585188">
              <w:marLeft w:val="0"/>
              <w:marRight w:val="0"/>
              <w:marTop w:val="0"/>
              <w:marBottom w:val="0"/>
              <w:divBdr>
                <w:top w:val="none" w:sz="0" w:space="0" w:color="auto"/>
                <w:left w:val="none" w:sz="0" w:space="0" w:color="auto"/>
                <w:bottom w:val="none" w:sz="0" w:space="0" w:color="auto"/>
                <w:right w:val="none" w:sz="0" w:space="0" w:color="auto"/>
              </w:divBdr>
              <w:divsChild>
                <w:div w:id="485439487">
                  <w:marLeft w:val="0"/>
                  <w:marRight w:val="0"/>
                  <w:marTop w:val="0"/>
                  <w:marBottom w:val="0"/>
                  <w:divBdr>
                    <w:top w:val="none" w:sz="0" w:space="0" w:color="auto"/>
                    <w:left w:val="none" w:sz="0" w:space="0" w:color="auto"/>
                    <w:bottom w:val="none" w:sz="0" w:space="0" w:color="auto"/>
                    <w:right w:val="none" w:sz="0" w:space="0" w:color="auto"/>
                  </w:divBdr>
                  <w:divsChild>
                    <w:div w:id="652871174">
                      <w:marLeft w:val="0"/>
                      <w:marRight w:val="0"/>
                      <w:marTop w:val="0"/>
                      <w:marBottom w:val="0"/>
                      <w:divBdr>
                        <w:top w:val="none" w:sz="0" w:space="0" w:color="auto"/>
                        <w:left w:val="none" w:sz="0" w:space="0" w:color="auto"/>
                        <w:bottom w:val="none" w:sz="0" w:space="0" w:color="auto"/>
                        <w:right w:val="none" w:sz="0" w:space="0" w:color="auto"/>
                      </w:divBdr>
                      <w:divsChild>
                        <w:div w:id="1448424419">
                          <w:marLeft w:val="0"/>
                          <w:marRight w:val="0"/>
                          <w:marTop w:val="0"/>
                          <w:marBottom w:val="0"/>
                          <w:divBdr>
                            <w:top w:val="none" w:sz="0" w:space="0" w:color="auto"/>
                            <w:left w:val="none" w:sz="0" w:space="0" w:color="auto"/>
                            <w:bottom w:val="none" w:sz="0" w:space="0" w:color="auto"/>
                            <w:right w:val="none" w:sz="0" w:space="0" w:color="auto"/>
                          </w:divBdr>
                          <w:divsChild>
                            <w:div w:id="1462845947">
                              <w:marLeft w:val="0"/>
                              <w:marRight w:val="0"/>
                              <w:marTop w:val="0"/>
                              <w:marBottom w:val="0"/>
                              <w:divBdr>
                                <w:top w:val="none" w:sz="0" w:space="0" w:color="auto"/>
                                <w:left w:val="none" w:sz="0" w:space="0" w:color="auto"/>
                                <w:bottom w:val="none" w:sz="0" w:space="0" w:color="auto"/>
                                <w:right w:val="none" w:sz="0" w:space="0" w:color="auto"/>
                              </w:divBdr>
                              <w:divsChild>
                                <w:div w:id="1581911236">
                                  <w:marLeft w:val="0"/>
                                  <w:marRight w:val="0"/>
                                  <w:marTop w:val="0"/>
                                  <w:marBottom w:val="0"/>
                                  <w:divBdr>
                                    <w:top w:val="none" w:sz="0" w:space="0" w:color="auto"/>
                                    <w:left w:val="none" w:sz="0" w:space="0" w:color="auto"/>
                                    <w:bottom w:val="none" w:sz="0" w:space="0" w:color="auto"/>
                                    <w:right w:val="none" w:sz="0" w:space="0" w:color="auto"/>
                                  </w:divBdr>
                                  <w:divsChild>
                                    <w:div w:id="52775984">
                                      <w:marLeft w:val="240"/>
                                      <w:marRight w:val="240"/>
                                      <w:marTop w:val="240"/>
                                      <w:marBottom w:val="0"/>
                                      <w:divBdr>
                                        <w:top w:val="none" w:sz="0" w:space="0" w:color="auto"/>
                                        <w:left w:val="none" w:sz="0" w:space="0" w:color="auto"/>
                                        <w:bottom w:val="none" w:sz="0" w:space="0" w:color="auto"/>
                                        <w:right w:val="none" w:sz="0" w:space="0" w:color="auto"/>
                                      </w:divBdr>
                                      <w:divsChild>
                                        <w:div w:id="1484813053">
                                          <w:marLeft w:val="0"/>
                                          <w:marRight w:val="0"/>
                                          <w:marTop w:val="0"/>
                                          <w:marBottom w:val="0"/>
                                          <w:divBdr>
                                            <w:top w:val="none" w:sz="0" w:space="0" w:color="auto"/>
                                            <w:left w:val="none" w:sz="0" w:space="0" w:color="auto"/>
                                            <w:bottom w:val="none" w:sz="0" w:space="0" w:color="auto"/>
                                            <w:right w:val="none" w:sz="0" w:space="0" w:color="auto"/>
                                          </w:divBdr>
                                          <w:divsChild>
                                            <w:div w:id="1305500854">
                                              <w:marLeft w:val="0"/>
                                              <w:marRight w:val="0"/>
                                              <w:marTop w:val="0"/>
                                              <w:marBottom w:val="0"/>
                                              <w:divBdr>
                                                <w:top w:val="none" w:sz="0" w:space="0" w:color="auto"/>
                                                <w:left w:val="none" w:sz="0" w:space="0" w:color="auto"/>
                                                <w:bottom w:val="none" w:sz="0" w:space="0" w:color="auto"/>
                                                <w:right w:val="none" w:sz="0" w:space="0" w:color="auto"/>
                                              </w:divBdr>
                                              <w:divsChild>
                                                <w:div w:id="1387601450">
                                                  <w:marLeft w:val="0"/>
                                                  <w:marRight w:val="0"/>
                                                  <w:marTop w:val="0"/>
                                                  <w:marBottom w:val="0"/>
                                                  <w:divBdr>
                                                    <w:top w:val="none" w:sz="0" w:space="0" w:color="auto"/>
                                                    <w:left w:val="none" w:sz="0" w:space="0" w:color="auto"/>
                                                    <w:bottom w:val="none" w:sz="0" w:space="0" w:color="auto"/>
                                                    <w:right w:val="none" w:sz="0" w:space="0" w:color="auto"/>
                                                  </w:divBdr>
                                                  <w:divsChild>
                                                    <w:div w:id="1739278243">
                                                      <w:marLeft w:val="0"/>
                                                      <w:marRight w:val="0"/>
                                                      <w:marTop w:val="0"/>
                                                      <w:marBottom w:val="120"/>
                                                      <w:divBdr>
                                                        <w:top w:val="none" w:sz="0" w:space="0" w:color="auto"/>
                                                        <w:left w:val="none" w:sz="0" w:space="0" w:color="auto"/>
                                                        <w:bottom w:val="none" w:sz="0" w:space="0" w:color="auto"/>
                                                        <w:right w:val="none" w:sz="0" w:space="0" w:color="auto"/>
                                                      </w:divBdr>
                                                      <w:divsChild>
                                                        <w:div w:id="1558784849">
                                                          <w:marLeft w:val="0"/>
                                                          <w:marRight w:val="0"/>
                                                          <w:marTop w:val="0"/>
                                                          <w:marBottom w:val="0"/>
                                                          <w:divBdr>
                                                            <w:top w:val="none" w:sz="0" w:space="0" w:color="auto"/>
                                                            <w:left w:val="none" w:sz="0" w:space="0" w:color="auto"/>
                                                            <w:bottom w:val="none" w:sz="0" w:space="0" w:color="auto"/>
                                                            <w:right w:val="none" w:sz="0" w:space="0" w:color="auto"/>
                                                          </w:divBdr>
                                                          <w:divsChild>
                                                            <w:div w:id="207134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2116886">
      <w:bodyDiv w:val="1"/>
      <w:marLeft w:val="0"/>
      <w:marRight w:val="0"/>
      <w:marTop w:val="0"/>
      <w:marBottom w:val="0"/>
      <w:divBdr>
        <w:top w:val="none" w:sz="0" w:space="0" w:color="auto"/>
        <w:left w:val="none" w:sz="0" w:space="0" w:color="auto"/>
        <w:bottom w:val="none" w:sz="0" w:space="0" w:color="auto"/>
        <w:right w:val="none" w:sz="0" w:space="0" w:color="auto"/>
      </w:divBdr>
      <w:divsChild>
        <w:div w:id="887843876">
          <w:marLeft w:val="0"/>
          <w:marRight w:val="0"/>
          <w:marTop w:val="0"/>
          <w:marBottom w:val="0"/>
          <w:divBdr>
            <w:top w:val="none" w:sz="0" w:space="0" w:color="auto"/>
            <w:left w:val="none" w:sz="0" w:space="0" w:color="auto"/>
            <w:bottom w:val="none" w:sz="0" w:space="0" w:color="auto"/>
            <w:right w:val="none" w:sz="0" w:space="0" w:color="auto"/>
          </w:divBdr>
          <w:divsChild>
            <w:div w:id="616182545">
              <w:marLeft w:val="0"/>
              <w:marRight w:val="0"/>
              <w:marTop w:val="0"/>
              <w:marBottom w:val="0"/>
              <w:divBdr>
                <w:top w:val="none" w:sz="0" w:space="0" w:color="auto"/>
                <w:left w:val="none" w:sz="0" w:space="0" w:color="auto"/>
                <w:bottom w:val="none" w:sz="0" w:space="0" w:color="auto"/>
                <w:right w:val="none" w:sz="0" w:space="0" w:color="auto"/>
              </w:divBdr>
              <w:divsChild>
                <w:div w:id="1060245799">
                  <w:marLeft w:val="0"/>
                  <w:marRight w:val="0"/>
                  <w:marTop w:val="0"/>
                  <w:marBottom w:val="0"/>
                  <w:divBdr>
                    <w:top w:val="none" w:sz="0" w:space="0" w:color="auto"/>
                    <w:left w:val="none" w:sz="0" w:space="0" w:color="auto"/>
                    <w:bottom w:val="none" w:sz="0" w:space="0" w:color="auto"/>
                    <w:right w:val="none" w:sz="0" w:space="0" w:color="auto"/>
                  </w:divBdr>
                  <w:divsChild>
                    <w:div w:id="541677185">
                      <w:marLeft w:val="0"/>
                      <w:marRight w:val="0"/>
                      <w:marTop w:val="0"/>
                      <w:marBottom w:val="0"/>
                      <w:divBdr>
                        <w:top w:val="none" w:sz="0" w:space="0" w:color="auto"/>
                        <w:left w:val="none" w:sz="0" w:space="0" w:color="auto"/>
                        <w:bottom w:val="none" w:sz="0" w:space="0" w:color="auto"/>
                        <w:right w:val="none" w:sz="0" w:space="0" w:color="auto"/>
                      </w:divBdr>
                      <w:divsChild>
                        <w:div w:id="2037273627">
                          <w:marLeft w:val="0"/>
                          <w:marRight w:val="0"/>
                          <w:marTop w:val="0"/>
                          <w:marBottom w:val="0"/>
                          <w:divBdr>
                            <w:top w:val="none" w:sz="0" w:space="0" w:color="auto"/>
                            <w:left w:val="none" w:sz="0" w:space="0" w:color="auto"/>
                            <w:bottom w:val="none" w:sz="0" w:space="0" w:color="auto"/>
                            <w:right w:val="none" w:sz="0" w:space="0" w:color="auto"/>
                          </w:divBdr>
                          <w:divsChild>
                            <w:div w:id="992297938">
                              <w:marLeft w:val="0"/>
                              <w:marRight w:val="0"/>
                              <w:marTop w:val="0"/>
                              <w:marBottom w:val="0"/>
                              <w:divBdr>
                                <w:top w:val="none" w:sz="0" w:space="0" w:color="auto"/>
                                <w:left w:val="none" w:sz="0" w:space="0" w:color="auto"/>
                                <w:bottom w:val="none" w:sz="0" w:space="0" w:color="auto"/>
                                <w:right w:val="none" w:sz="0" w:space="0" w:color="auto"/>
                              </w:divBdr>
                              <w:divsChild>
                                <w:div w:id="1434863863">
                                  <w:marLeft w:val="0"/>
                                  <w:marRight w:val="0"/>
                                  <w:marTop w:val="0"/>
                                  <w:marBottom w:val="0"/>
                                  <w:divBdr>
                                    <w:top w:val="none" w:sz="0" w:space="0" w:color="auto"/>
                                    <w:left w:val="none" w:sz="0" w:space="0" w:color="auto"/>
                                    <w:bottom w:val="none" w:sz="0" w:space="0" w:color="auto"/>
                                    <w:right w:val="none" w:sz="0" w:space="0" w:color="auto"/>
                                  </w:divBdr>
                                  <w:divsChild>
                                    <w:div w:id="1300918736">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779220">
      <w:bodyDiv w:val="1"/>
      <w:marLeft w:val="0"/>
      <w:marRight w:val="0"/>
      <w:marTop w:val="0"/>
      <w:marBottom w:val="0"/>
      <w:divBdr>
        <w:top w:val="none" w:sz="0" w:space="0" w:color="auto"/>
        <w:left w:val="none" w:sz="0" w:space="0" w:color="auto"/>
        <w:bottom w:val="none" w:sz="0" w:space="0" w:color="auto"/>
        <w:right w:val="none" w:sz="0" w:space="0" w:color="auto"/>
      </w:divBdr>
    </w:div>
    <w:div w:id="1232042345">
      <w:bodyDiv w:val="1"/>
      <w:marLeft w:val="0"/>
      <w:marRight w:val="0"/>
      <w:marTop w:val="0"/>
      <w:marBottom w:val="0"/>
      <w:divBdr>
        <w:top w:val="none" w:sz="0" w:space="0" w:color="auto"/>
        <w:left w:val="none" w:sz="0" w:space="0" w:color="auto"/>
        <w:bottom w:val="none" w:sz="0" w:space="0" w:color="auto"/>
        <w:right w:val="none" w:sz="0" w:space="0" w:color="auto"/>
      </w:divBdr>
    </w:div>
    <w:div w:id="1246381951">
      <w:bodyDiv w:val="1"/>
      <w:marLeft w:val="0"/>
      <w:marRight w:val="0"/>
      <w:marTop w:val="0"/>
      <w:marBottom w:val="0"/>
      <w:divBdr>
        <w:top w:val="none" w:sz="0" w:space="0" w:color="auto"/>
        <w:left w:val="none" w:sz="0" w:space="0" w:color="auto"/>
        <w:bottom w:val="none" w:sz="0" w:space="0" w:color="auto"/>
        <w:right w:val="none" w:sz="0" w:space="0" w:color="auto"/>
      </w:divBdr>
    </w:div>
    <w:div w:id="1287273479">
      <w:bodyDiv w:val="1"/>
      <w:marLeft w:val="0"/>
      <w:marRight w:val="0"/>
      <w:marTop w:val="0"/>
      <w:marBottom w:val="0"/>
      <w:divBdr>
        <w:top w:val="none" w:sz="0" w:space="0" w:color="auto"/>
        <w:left w:val="none" w:sz="0" w:space="0" w:color="auto"/>
        <w:bottom w:val="none" w:sz="0" w:space="0" w:color="auto"/>
        <w:right w:val="none" w:sz="0" w:space="0" w:color="auto"/>
      </w:divBdr>
    </w:div>
    <w:div w:id="1313023875">
      <w:bodyDiv w:val="1"/>
      <w:marLeft w:val="0"/>
      <w:marRight w:val="0"/>
      <w:marTop w:val="0"/>
      <w:marBottom w:val="0"/>
      <w:divBdr>
        <w:top w:val="none" w:sz="0" w:space="0" w:color="auto"/>
        <w:left w:val="none" w:sz="0" w:space="0" w:color="auto"/>
        <w:bottom w:val="none" w:sz="0" w:space="0" w:color="auto"/>
        <w:right w:val="none" w:sz="0" w:space="0" w:color="auto"/>
      </w:divBdr>
      <w:divsChild>
        <w:div w:id="381175164">
          <w:marLeft w:val="0"/>
          <w:marRight w:val="0"/>
          <w:marTop w:val="0"/>
          <w:marBottom w:val="0"/>
          <w:divBdr>
            <w:top w:val="none" w:sz="0" w:space="0" w:color="auto"/>
            <w:left w:val="none" w:sz="0" w:space="0" w:color="auto"/>
            <w:bottom w:val="none" w:sz="0" w:space="0" w:color="auto"/>
            <w:right w:val="none" w:sz="0" w:space="0" w:color="auto"/>
          </w:divBdr>
          <w:divsChild>
            <w:div w:id="178278129">
              <w:marLeft w:val="0"/>
              <w:marRight w:val="0"/>
              <w:marTop w:val="0"/>
              <w:marBottom w:val="0"/>
              <w:divBdr>
                <w:top w:val="none" w:sz="0" w:space="0" w:color="auto"/>
                <w:left w:val="none" w:sz="0" w:space="0" w:color="auto"/>
                <w:bottom w:val="none" w:sz="0" w:space="0" w:color="auto"/>
                <w:right w:val="none" w:sz="0" w:space="0" w:color="auto"/>
              </w:divBdr>
              <w:divsChild>
                <w:div w:id="442185936">
                  <w:marLeft w:val="0"/>
                  <w:marRight w:val="0"/>
                  <w:marTop w:val="0"/>
                  <w:marBottom w:val="0"/>
                  <w:divBdr>
                    <w:top w:val="none" w:sz="0" w:space="0" w:color="auto"/>
                    <w:left w:val="none" w:sz="0" w:space="0" w:color="auto"/>
                    <w:bottom w:val="none" w:sz="0" w:space="0" w:color="auto"/>
                    <w:right w:val="none" w:sz="0" w:space="0" w:color="auto"/>
                  </w:divBdr>
                  <w:divsChild>
                    <w:div w:id="163133755">
                      <w:marLeft w:val="0"/>
                      <w:marRight w:val="0"/>
                      <w:marTop w:val="0"/>
                      <w:marBottom w:val="0"/>
                      <w:divBdr>
                        <w:top w:val="none" w:sz="0" w:space="0" w:color="auto"/>
                        <w:left w:val="none" w:sz="0" w:space="0" w:color="auto"/>
                        <w:bottom w:val="none" w:sz="0" w:space="0" w:color="auto"/>
                        <w:right w:val="none" w:sz="0" w:space="0" w:color="auto"/>
                      </w:divBdr>
                      <w:divsChild>
                        <w:div w:id="508297620">
                          <w:marLeft w:val="0"/>
                          <w:marRight w:val="0"/>
                          <w:marTop w:val="0"/>
                          <w:marBottom w:val="0"/>
                          <w:divBdr>
                            <w:top w:val="none" w:sz="0" w:space="0" w:color="auto"/>
                            <w:left w:val="none" w:sz="0" w:space="0" w:color="auto"/>
                            <w:bottom w:val="none" w:sz="0" w:space="0" w:color="auto"/>
                            <w:right w:val="none" w:sz="0" w:space="0" w:color="auto"/>
                          </w:divBdr>
                          <w:divsChild>
                            <w:div w:id="657003529">
                              <w:marLeft w:val="0"/>
                              <w:marRight w:val="0"/>
                              <w:marTop w:val="0"/>
                              <w:marBottom w:val="0"/>
                              <w:divBdr>
                                <w:top w:val="none" w:sz="0" w:space="0" w:color="auto"/>
                                <w:left w:val="none" w:sz="0" w:space="0" w:color="auto"/>
                                <w:bottom w:val="none" w:sz="0" w:space="0" w:color="auto"/>
                                <w:right w:val="none" w:sz="0" w:space="0" w:color="auto"/>
                              </w:divBdr>
                              <w:divsChild>
                                <w:div w:id="863175267">
                                  <w:marLeft w:val="0"/>
                                  <w:marRight w:val="0"/>
                                  <w:marTop w:val="0"/>
                                  <w:marBottom w:val="0"/>
                                  <w:divBdr>
                                    <w:top w:val="none" w:sz="0" w:space="0" w:color="auto"/>
                                    <w:left w:val="none" w:sz="0" w:space="0" w:color="auto"/>
                                    <w:bottom w:val="none" w:sz="0" w:space="0" w:color="auto"/>
                                    <w:right w:val="none" w:sz="0" w:space="0" w:color="auto"/>
                                  </w:divBdr>
                                  <w:divsChild>
                                    <w:div w:id="634717713">
                                      <w:marLeft w:val="240"/>
                                      <w:marRight w:val="240"/>
                                      <w:marTop w:val="240"/>
                                      <w:marBottom w:val="0"/>
                                      <w:divBdr>
                                        <w:top w:val="none" w:sz="0" w:space="0" w:color="auto"/>
                                        <w:left w:val="none" w:sz="0" w:space="0" w:color="auto"/>
                                        <w:bottom w:val="none" w:sz="0" w:space="0" w:color="auto"/>
                                        <w:right w:val="none" w:sz="0" w:space="0" w:color="auto"/>
                                      </w:divBdr>
                                      <w:divsChild>
                                        <w:div w:id="1890796873">
                                          <w:marLeft w:val="0"/>
                                          <w:marRight w:val="0"/>
                                          <w:marTop w:val="0"/>
                                          <w:marBottom w:val="0"/>
                                          <w:divBdr>
                                            <w:top w:val="none" w:sz="0" w:space="0" w:color="auto"/>
                                            <w:left w:val="none" w:sz="0" w:space="0" w:color="auto"/>
                                            <w:bottom w:val="none" w:sz="0" w:space="0" w:color="auto"/>
                                            <w:right w:val="none" w:sz="0" w:space="0" w:color="auto"/>
                                          </w:divBdr>
                                          <w:divsChild>
                                            <w:div w:id="2035186780">
                                              <w:marLeft w:val="0"/>
                                              <w:marRight w:val="0"/>
                                              <w:marTop w:val="0"/>
                                              <w:marBottom w:val="0"/>
                                              <w:divBdr>
                                                <w:top w:val="none" w:sz="0" w:space="0" w:color="auto"/>
                                                <w:left w:val="none" w:sz="0" w:space="0" w:color="auto"/>
                                                <w:bottom w:val="none" w:sz="0" w:space="0" w:color="auto"/>
                                                <w:right w:val="none" w:sz="0" w:space="0" w:color="auto"/>
                                              </w:divBdr>
                                              <w:divsChild>
                                                <w:div w:id="15688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436445">
      <w:bodyDiv w:val="1"/>
      <w:marLeft w:val="0"/>
      <w:marRight w:val="0"/>
      <w:marTop w:val="0"/>
      <w:marBottom w:val="0"/>
      <w:divBdr>
        <w:top w:val="none" w:sz="0" w:space="0" w:color="auto"/>
        <w:left w:val="none" w:sz="0" w:space="0" w:color="auto"/>
        <w:bottom w:val="none" w:sz="0" w:space="0" w:color="auto"/>
        <w:right w:val="none" w:sz="0" w:space="0" w:color="auto"/>
      </w:divBdr>
    </w:div>
    <w:div w:id="1346326193">
      <w:bodyDiv w:val="1"/>
      <w:marLeft w:val="0"/>
      <w:marRight w:val="0"/>
      <w:marTop w:val="0"/>
      <w:marBottom w:val="0"/>
      <w:divBdr>
        <w:top w:val="none" w:sz="0" w:space="0" w:color="auto"/>
        <w:left w:val="none" w:sz="0" w:space="0" w:color="auto"/>
        <w:bottom w:val="none" w:sz="0" w:space="0" w:color="auto"/>
        <w:right w:val="none" w:sz="0" w:space="0" w:color="auto"/>
      </w:divBdr>
    </w:div>
    <w:div w:id="1351949257">
      <w:bodyDiv w:val="1"/>
      <w:marLeft w:val="0"/>
      <w:marRight w:val="0"/>
      <w:marTop w:val="0"/>
      <w:marBottom w:val="0"/>
      <w:divBdr>
        <w:top w:val="none" w:sz="0" w:space="0" w:color="auto"/>
        <w:left w:val="none" w:sz="0" w:space="0" w:color="auto"/>
        <w:bottom w:val="none" w:sz="0" w:space="0" w:color="auto"/>
        <w:right w:val="none" w:sz="0" w:space="0" w:color="auto"/>
      </w:divBdr>
    </w:div>
    <w:div w:id="1357579198">
      <w:bodyDiv w:val="1"/>
      <w:marLeft w:val="0"/>
      <w:marRight w:val="0"/>
      <w:marTop w:val="0"/>
      <w:marBottom w:val="0"/>
      <w:divBdr>
        <w:top w:val="none" w:sz="0" w:space="0" w:color="auto"/>
        <w:left w:val="none" w:sz="0" w:space="0" w:color="auto"/>
        <w:bottom w:val="none" w:sz="0" w:space="0" w:color="auto"/>
        <w:right w:val="none" w:sz="0" w:space="0" w:color="auto"/>
      </w:divBdr>
    </w:div>
    <w:div w:id="137704404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6834967">
      <w:bodyDiv w:val="1"/>
      <w:marLeft w:val="0"/>
      <w:marRight w:val="0"/>
      <w:marTop w:val="0"/>
      <w:marBottom w:val="0"/>
      <w:divBdr>
        <w:top w:val="none" w:sz="0" w:space="0" w:color="auto"/>
        <w:left w:val="none" w:sz="0" w:space="0" w:color="auto"/>
        <w:bottom w:val="none" w:sz="0" w:space="0" w:color="auto"/>
        <w:right w:val="none" w:sz="0" w:space="0" w:color="auto"/>
      </w:divBdr>
    </w:div>
    <w:div w:id="1415857982">
      <w:bodyDiv w:val="1"/>
      <w:marLeft w:val="0"/>
      <w:marRight w:val="0"/>
      <w:marTop w:val="0"/>
      <w:marBottom w:val="0"/>
      <w:divBdr>
        <w:top w:val="none" w:sz="0" w:space="0" w:color="auto"/>
        <w:left w:val="none" w:sz="0" w:space="0" w:color="auto"/>
        <w:bottom w:val="none" w:sz="0" w:space="0" w:color="auto"/>
        <w:right w:val="none" w:sz="0" w:space="0" w:color="auto"/>
      </w:divBdr>
    </w:div>
    <w:div w:id="1432435648">
      <w:bodyDiv w:val="1"/>
      <w:marLeft w:val="0"/>
      <w:marRight w:val="0"/>
      <w:marTop w:val="0"/>
      <w:marBottom w:val="0"/>
      <w:divBdr>
        <w:top w:val="none" w:sz="0" w:space="0" w:color="auto"/>
        <w:left w:val="none" w:sz="0" w:space="0" w:color="auto"/>
        <w:bottom w:val="none" w:sz="0" w:space="0" w:color="auto"/>
        <w:right w:val="none" w:sz="0" w:space="0" w:color="auto"/>
      </w:divBdr>
    </w:div>
    <w:div w:id="1441877701">
      <w:bodyDiv w:val="1"/>
      <w:marLeft w:val="0"/>
      <w:marRight w:val="0"/>
      <w:marTop w:val="0"/>
      <w:marBottom w:val="0"/>
      <w:divBdr>
        <w:top w:val="none" w:sz="0" w:space="0" w:color="auto"/>
        <w:left w:val="none" w:sz="0" w:space="0" w:color="auto"/>
        <w:bottom w:val="none" w:sz="0" w:space="0" w:color="auto"/>
        <w:right w:val="none" w:sz="0" w:space="0" w:color="auto"/>
      </w:divBdr>
    </w:div>
    <w:div w:id="1461418339">
      <w:bodyDiv w:val="1"/>
      <w:marLeft w:val="0"/>
      <w:marRight w:val="0"/>
      <w:marTop w:val="0"/>
      <w:marBottom w:val="0"/>
      <w:divBdr>
        <w:top w:val="none" w:sz="0" w:space="0" w:color="auto"/>
        <w:left w:val="none" w:sz="0" w:space="0" w:color="auto"/>
        <w:bottom w:val="none" w:sz="0" w:space="0" w:color="auto"/>
        <w:right w:val="none" w:sz="0" w:space="0" w:color="auto"/>
      </w:divBdr>
    </w:div>
    <w:div w:id="1487626719">
      <w:bodyDiv w:val="1"/>
      <w:marLeft w:val="0"/>
      <w:marRight w:val="0"/>
      <w:marTop w:val="0"/>
      <w:marBottom w:val="0"/>
      <w:divBdr>
        <w:top w:val="none" w:sz="0" w:space="0" w:color="auto"/>
        <w:left w:val="none" w:sz="0" w:space="0" w:color="auto"/>
        <w:bottom w:val="none" w:sz="0" w:space="0" w:color="auto"/>
        <w:right w:val="none" w:sz="0" w:space="0" w:color="auto"/>
      </w:divBdr>
    </w:div>
    <w:div w:id="1508668106">
      <w:bodyDiv w:val="1"/>
      <w:marLeft w:val="0"/>
      <w:marRight w:val="0"/>
      <w:marTop w:val="0"/>
      <w:marBottom w:val="0"/>
      <w:divBdr>
        <w:top w:val="none" w:sz="0" w:space="0" w:color="auto"/>
        <w:left w:val="none" w:sz="0" w:space="0" w:color="auto"/>
        <w:bottom w:val="none" w:sz="0" w:space="0" w:color="auto"/>
        <w:right w:val="none" w:sz="0" w:space="0" w:color="auto"/>
      </w:divBdr>
    </w:div>
    <w:div w:id="1526673386">
      <w:bodyDiv w:val="1"/>
      <w:marLeft w:val="0"/>
      <w:marRight w:val="0"/>
      <w:marTop w:val="0"/>
      <w:marBottom w:val="0"/>
      <w:divBdr>
        <w:top w:val="none" w:sz="0" w:space="0" w:color="auto"/>
        <w:left w:val="none" w:sz="0" w:space="0" w:color="auto"/>
        <w:bottom w:val="none" w:sz="0" w:space="0" w:color="auto"/>
        <w:right w:val="none" w:sz="0" w:space="0" w:color="auto"/>
      </w:divBdr>
    </w:div>
    <w:div w:id="1532189071">
      <w:bodyDiv w:val="1"/>
      <w:marLeft w:val="0"/>
      <w:marRight w:val="0"/>
      <w:marTop w:val="0"/>
      <w:marBottom w:val="0"/>
      <w:divBdr>
        <w:top w:val="none" w:sz="0" w:space="0" w:color="auto"/>
        <w:left w:val="none" w:sz="0" w:space="0" w:color="auto"/>
        <w:bottom w:val="none" w:sz="0" w:space="0" w:color="auto"/>
        <w:right w:val="none" w:sz="0" w:space="0" w:color="auto"/>
      </w:divBdr>
    </w:div>
    <w:div w:id="1545143400">
      <w:bodyDiv w:val="1"/>
      <w:marLeft w:val="0"/>
      <w:marRight w:val="0"/>
      <w:marTop w:val="0"/>
      <w:marBottom w:val="0"/>
      <w:divBdr>
        <w:top w:val="none" w:sz="0" w:space="0" w:color="auto"/>
        <w:left w:val="none" w:sz="0" w:space="0" w:color="auto"/>
        <w:bottom w:val="none" w:sz="0" w:space="0" w:color="auto"/>
        <w:right w:val="none" w:sz="0" w:space="0" w:color="auto"/>
      </w:divBdr>
    </w:div>
    <w:div w:id="1546982685">
      <w:bodyDiv w:val="1"/>
      <w:marLeft w:val="0"/>
      <w:marRight w:val="0"/>
      <w:marTop w:val="0"/>
      <w:marBottom w:val="0"/>
      <w:divBdr>
        <w:top w:val="none" w:sz="0" w:space="0" w:color="auto"/>
        <w:left w:val="none" w:sz="0" w:space="0" w:color="auto"/>
        <w:bottom w:val="none" w:sz="0" w:space="0" w:color="auto"/>
        <w:right w:val="none" w:sz="0" w:space="0" w:color="auto"/>
      </w:divBdr>
    </w:div>
    <w:div w:id="1554972695">
      <w:bodyDiv w:val="1"/>
      <w:marLeft w:val="0"/>
      <w:marRight w:val="0"/>
      <w:marTop w:val="0"/>
      <w:marBottom w:val="0"/>
      <w:divBdr>
        <w:top w:val="none" w:sz="0" w:space="0" w:color="auto"/>
        <w:left w:val="none" w:sz="0" w:space="0" w:color="auto"/>
        <w:bottom w:val="none" w:sz="0" w:space="0" w:color="auto"/>
        <w:right w:val="none" w:sz="0" w:space="0" w:color="auto"/>
      </w:divBdr>
    </w:div>
    <w:div w:id="1607738388">
      <w:bodyDiv w:val="1"/>
      <w:marLeft w:val="0"/>
      <w:marRight w:val="0"/>
      <w:marTop w:val="0"/>
      <w:marBottom w:val="0"/>
      <w:divBdr>
        <w:top w:val="none" w:sz="0" w:space="0" w:color="auto"/>
        <w:left w:val="none" w:sz="0" w:space="0" w:color="auto"/>
        <w:bottom w:val="none" w:sz="0" w:space="0" w:color="auto"/>
        <w:right w:val="none" w:sz="0" w:space="0" w:color="auto"/>
      </w:divBdr>
    </w:div>
    <w:div w:id="1631665842">
      <w:bodyDiv w:val="1"/>
      <w:marLeft w:val="0"/>
      <w:marRight w:val="0"/>
      <w:marTop w:val="0"/>
      <w:marBottom w:val="0"/>
      <w:divBdr>
        <w:top w:val="none" w:sz="0" w:space="0" w:color="auto"/>
        <w:left w:val="none" w:sz="0" w:space="0" w:color="auto"/>
        <w:bottom w:val="none" w:sz="0" w:space="0" w:color="auto"/>
        <w:right w:val="none" w:sz="0" w:space="0" w:color="auto"/>
      </w:divBdr>
      <w:divsChild>
        <w:div w:id="1396507851">
          <w:marLeft w:val="0"/>
          <w:marRight w:val="0"/>
          <w:marTop w:val="0"/>
          <w:marBottom w:val="0"/>
          <w:divBdr>
            <w:top w:val="none" w:sz="0" w:space="0" w:color="auto"/>
            <w:left w:val="none" w:sz="0" w:space="0" w:color="auto"/>
            <w:bottom w:val="none" w:sz="0" w:space="0" w:color="auto"/>
            <w:right w:val="none" w:sz="0" w:space="0" w:color="auto"/>
          </w:divBdr>
          <w:divsChild>
            <w:div w:id="19282833">
              <w:marLeft w:val="0"/>
              <w:marRight w:val="0"/>
              <w:marTop w:val="0"/>
              <w:marBottom w:val="0"/>
              <w:divBdr>
                <w:top w:val="none" w:sz="0" w:space="0" w:color="auto"/>
                <w:left w:val="none" w:sz="0" w:space="0" w:color="auto"/>
                <w:bottom w:val="none" w:sz="0" w:space="0" w:color="auto"/>
                <w:right w:val="none" w:sz="0" w:space="0" w:color="auto"/>
              </w:divBdr>
              <w:divsChild>
                <w:div w:id="802769418">
                  <w:marLeft w:val="0"/>
                  <w:marRight w:val="0"/>
                  <w:marTop w:val="0"/>
                  <w:marBottom w:val="0"/>
                  <w:divBdr>
                    <w:top w:val="none" w:sz="0" w:space="0" w:color="auto"/>
                    <w:left w:val="none" w:sz="0" w:space="0" w:color="auto"/>
                    <w:bottom w:val="none" w:sz="0" w:space="0" w:color="auto"/>
                    <w:right w:val="none" w:sz="0" w:space="0" w:color="auto"/>
                  </w:divBdr>
                  <w:divsChild>
                    <w:div w:id="1412699642">
                      <w:marLeft w:val="0"/>
                      <w:marRight w:val="0"/>
                      <w:marTop w:val="0"/>
                      <w:marBottom w:val="0"/>
                      <w:divBdr>
                        <w:top w:val="none" w:sz="0" w:space="0" w:color="auto"/>
                        <w:left w:val="none" w:sz="0" w:space="0" w:color="auto"/>
                        <w:bottom w:val="none" w:sz="0" w:space="0" w:color="auto"/>
                        <w:right w:val="none" w:sz="0" w:space="0" w:color="auto"/>
                      </w:divBdr>
                      <w:divsChild>
                        <w:div w:id="1594977340">
                          <w:marLeft w:val="0"/>
                          <w:marRight w:val="0"/>
                          <w:marTop w:val="0"/>
                          <w:marBottom w:val="0"/>
                          <w:divBdr>
                            <w:top w:val="none" w:sz="0" w:space="0" w:color="auto"/>
                            <w:left w:val="none" w:sz="0" w:space="0" w:color="auto"/>
                            <w:bottom w:val="none" w:sz="0" w:space="0" w:color="auto"/>
                            <w:right w:val="none" w:sz="0" w:space="0" w:color="auto"/>
                          </w:divBdr>
                          <w:divsChild>
                            <w:div w:id="380177505">
                              <w:marLeft w:val="0"/>
                              <w:marRight w:val="0"/>
                              <w:marTop w:val="0"/>
                              <w:marBottom w:val="0"/>
                              <w:divBdr>
                                <w:top w:val="none" w:sz="0" w:space="0" w:color="auto"/>
                                <w:left w:val="none" w:sz="0" w:space="0" w:color="auto"/>
                                <w:bottom w:val="none" w:sz="0" w:space="0" w:color="auto"/>
                                <w:right w:val="none" w:sz="0" w:space="0" w:color="auto"/>
                              </w:divBdr>
                              <w:divsChild>
                                <w:div w:id="363288489">
                                  <w:marLeft w:val="0"/>
                                  <w:marRight w:val="0"/>
                                  <w:marTop w:val="0"/>
                                  <w:marBottom w:val="0"/>
                                  <w:divBdr>
                                    <w:top w:val="none" w:sz="0" w:space="0" w:color="auto"/>
                                    <w:left w:val="none" w:sz="0" w:space="0" w:color="auto"/>
                                    <w:bottom w:val="none" w:sz="0" w:space="0" w:color="auto"/>
                                    <w:right w:val="none" w:sz="0" w:space="0" w:color="auto"/>
                                  </w:divBdr>
                                  <w:divsChild>
                                    <w:div w:id="935552067">
                                      <w:marLeft w:val="240"/>
                                      <w:marRight w:val="240"/>
                                      <w:marTop w:val="240"/>
                                      <w:marBottom w:val="0"/>
                                      <w:divBdr>
                                        <w:top w:val="none" w:sz="0" w:space="0" w:color="auto"/>
                                        <w:left w:val="none" w:sz="0" w:space="0" w:color="auto"/>
                                        <w:bottom w:val="none" w:sz="0" w:space="0" w:color="auto"/>
                                        <w:right w:val="none" w:sz="0" w:space="0" w:color="auto"/>
                                      </w:divBdr>
                                      <w:divsChild>
                                        <w:div w:id="1716076326">
                                          <w:marLeft w:val="0"/>
                                          <w:marRight w:val="0"/>
                                          <w:marTop w:val="0"/>
                                          <w:marBottom w:val="0"/>
                                          <w:divBdr>
                                            <w:top w:val="none" w:sz="0" w:space="0" w:color="auto"/>
                                            <w:left w:val="none" w:sz="0" w:space="0" w:color="auto"/>
                                            <w:bottom w:val="none" w:sz="0" w:space="0" w:color="auto"/>
                                            <w:right w:val="none" w:sz="0" w:space="0" w:color="auto"/>
                                          </w:divBdr>
                                          <w:divsChild>
                                            <w:div w:id="1121454423">
                                              <w:marLeft w:val="0"/>
                                              <w:marRight w:val="0"/>
                                              <w:marTop w:val="0"/>
                                              <w:marBottom w:val="0"/>
                                              <w:divBdr>
                                                <w:top w:val="none" w:sz="0" w:space="0" w:color="auto"/>
                                                <w:left w:val="none" w:sz="0" w:space="0" w:color="auto"/>
                                                <w:bottom w:val="none" w:sz="0" w:space="0" w:color="auto"/>
                                                <w:right w:val="none" w:sz="0" w:space="0" w:color="auto"/>
                                              </w:divBdr>
                                              <w:divsChild>
                                                <w:div w:id="17918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5334168">
      <w:bodyDiv w:val="1"/>
      <w:marLeft w:val="0"/>
      <w:marRight w:val="0"/>
      <w:marTop w:val="0"/>
      <w:marBottom w:val="0"/>
      <w:divBdr>
        <w:top w:val="none" w:sz="0" w:space="0" w:color="auto"/>
        <w:left w:val="none" w:sz="0" w:space="0" w:color="auto"/>
        <w:bottom w:val="none" w:sz="0" w:space="0" w:color="auto"/>
        <w:right w:val="none" w:sz="0" w:space="0" w:color="auto"/>
      </w:divBdr>
    </w:div>
    <w:div w:id="1644196217">
      <w:bodyDiv w:val="1"/>
      <w:marLeft w:val="0"/>
      <w:marRight w:val="0"/>
      <w:marTop w:val="0"/>
      <w:marBottom w:val="0"/>
      <w:divBdr>
        <w:top w:val="none" w:sz="0" w:space="0" w:color="auto"/>
        <w:left w:val="none" w:sz="0" w:space="0" w:color="auto"/>
        <w:bottom w:val="none" w:sz="0" w:space="0" w:color="auto"/>
        <w:right w:val="none" w:sz="0" w:space="0" w:color="auto"/>
      </w:divBdr>
    </w:div>
    <w:div w:id="1644309933">
      <w:bodyDiv w:val="1"/>
      <w:marLeft w:val="0"/>
      <w:marRight w:val="0"/>
      <w:marTop w:val="0"/>
      <w:marBottom w:val="0"/>
      <w:divBdr>
        <w:top w:val="none" w:sz="0" w:space="0" w:color="auto"/>
        <w:left w:val="none" w:sz="0" w:space="0" w:color="auto"/>
        <w:bottom w:val="none" w:sz="0" w:space="0" w:color="auto"/>
        <w:right w:val="none" w:sz="0" w:space="0" w:color="auto"/>
      </w:divBdr>
    </w:div>
    <w:div w:id="1655066267">
      <w:bodyDiv w:val="1"/>
      <w:marLeft w:val="0"/>
      <w:marRight w:val="0"/>
      <w:marTop w:val="0"/>
      <w:marBottom w:val="0"/>
      <w:divBdr>
        <w:top w:val="none" w:sz="0" w:space="0" w:color="auto"/>
        <w:left w:val="none" w:sz="0" w:space="0" w:color="auto"/>
        <w:bottom w:val="none" w:sz="0" w:space="0" w:color="auto"/>
        <w:right w:val="none" w:sz="0" w:space="0" w:color="auto"/>
      </w:divBdr>
    </w:div>
    <w:div w:id="1677613816">
      <w:bodyDiv w:val="1"/>
      <w:marLeft w:val="0"/>
      <w:marRight w:val="0"/>
      <w:marTop w:val="0"/>
      <w:marBottom w:val="0"/>
      <w:divBdr>
        <w:top w:val="none" w:sz="0" w:space="0" w:color="auto"/>
        <w:left w:val="none" w:sz="0" w:space="0" w:color="auto"/>
        <w:bottom w:val="none" w:sz="0" w:space="0" w:color="auto"/>
        <w:right w:val="none" w:sz="0" w:space="0" w:color="auto"/>
      </w:divBdr>
    </w:div>
    <w:div w:id="1724140839">
      <w:bodyDiv w:val="1"/>
      <w:marLeft w:val="0"/>
      <w:marRight w:val="0"/>
      <w:marTop w:val="0"/>
      <w:marBottom w:val="0"/>
      <w:divBdr>
        <w:top w:val="none" w:sz="0" w:space="0" w:color="auto"/>
        <w:left w:val="none" w:sz="0" w:space="0" w:color="auto"/>
        <w:bottom w:val="none" w:sz="0" w:space="0" w:color="auto"/>
        <w:right w:val="none" w:sz="0" w:space="0" w:color="auto"/>
      </w:divBdr>
    </w:div>
    <w:div w:id="1754467871">
      <w:bodyDiv w:val="1"/>
      <w:marLeft w:val="0"/>
      <w:marRight w:val="0"/>
      <w:marTop w:val="0"/>
      <w:marBottom w:val="0"/>
      <w:divBdr>
        <w:top w:val="none" w:sz="0" w:space="0" w:color="auto"/>
        <w:left w:val="none" w:sz="0" w:space="0" w:color="auto"/>
        <w:bottom w:val="none" w:sz="0" w:space="0" w:color="auto"/>
        <w:right w:val="none" w:sz="0" w:space="0" w:color="auto"/>
      </w:divBdr>
    </w:div>
    <w:div w:id="1767266411">
      <w:bodyDiv w:val="1"/>
      <w:marLeft w:val="0"/>
      <w:marRight w:val="0"/>
      <w:marTop w:val="0"/>
      <w:marBottom w:val="0"/>
      <w:divBdr>
        <w:top w:val="none" w:sz="0" w:space="0" w:color="auto"/>
        <w:left w:val="none" w:sz="0" w:space="0" w:color="auto"/>
        <w:bottom w:val="none" w:sz="0" w:space="0" w:color="auto"/>
        <w:right w:val="none" w:sz="0" w:space="0" w:color="auto"/>
      </w:divBdr>
    </w:div>
    <w:div w:id="1803309887">
      <w:bodyDiv w:val="1"/>
      <w:marLeft w:val="0"/>
      <w:marRight w:val="0"/>
      <w:marTop w:val="0"/>
      <w:marBottom w:val="0"/>
      <w:divBdr>
        <w:top w:val="none" w:sz="0" w:space="0" w:color="auto"/>
        <w:left w:val="none" w:sz="0" w:space="0" w:color="auto"/>
        <w:bottom w:val="none" w:sz="0" w:space="0" w:color="auto"/>
        <w:right w:val="none" w:sz="0" w:space="0" w:color="auto"/>
      </w:divBdr>
    </w:div>
    <w:div w:id="1803884360">
      <w:bodyDiv w:val="1"/>
      <w:marLeft w:val="0"/>
      <w:marRight w:val="0"/>
      <w:marTop w:val="0"/>
      <w:marBottom w:val="0"/>
      <w:divBdr>
        <w:top w:val="none" w:sz="0" w:space="0" w:color="auto"/>
        <w:left w:val="none" w:sz="0" w:space="0" w:color="auto"/>
        <w:bottom w:val="none" w:sz="0" w:space="0" w:color="auto"/>
        <w:right w:val="none" w:sz="0" w:space="0" w:color="auto"/>
      </w:divBdr>
    </w:div>
    <w:div w:id="1833183396">
      <w:bodyDiv w:val="1"/>
      <w:marLeft w:val="0"/>
      <w:marRight w:val="0"/>
      <w:marTop w:val="0"/>
      <w:marBottom w:val="0"/>
      <w:divBdr>
        <w:top w:val="none" w:sz="0" w:space="0" w:color="auto"/>
        <w:left w:val="none" w:sz="0" w:space="0" w:color="auto"/>
        <w:bottom w:val="none" w:sz="0" w:space="0" w:color="auto"/>
        <w:right w:val="none" w:sz="0" w:space="0" w:color="auto"/>
      </w:divBdr>
    </w:div>
    <w:div w:id="1848012942">
      <w:bodyDiv w:val="1"/>
      <w:marLeft w:val="0"/>
      <w:marRight w:val="0"/>
      <w:marTop w:val="0"/>
      <w:marBottom w:val="0"/>
      <w:divBdr>
        <w:top w:val="none" w:sz="0" w:space="0" w:color="auto"/>
        <w:left w:val="none" w:sz="0" w:space="0" w:color="auto"/>
        <w:bottom w:val="none" w:sz="0" w:space="0" w:color="auto"/>
        <w:right w:val="none" w:sz="0" w:space="0" w:color="auto"/>
      </w:divBdr>
      <w:divsChild>
        <w:div w:id="476845707">
          <w:marLeft w:val="0"/>
          <w:marRight w:val="0"/>
          <w:marTop w:val="0"/>
          <w:marBottom w:val="0"/>
          <w:divBdr>
            <w:top w:val="none" w:sz="0" w:space="0" w:color="auto"/>
            <w:left w:val="none" w:sz="0" w:space="0" w:color="auto"/>
            <w:bottom w:val="none" w:sz="0" w:space="0" w:color="auto"/>
            <w:right w:val="none" w:sz="0" w:space="0" w:color="auto"/>
          </w:divBdr>
        </w:div>
      </w:divsChild>
    </w:div>
    <w:div w:id="1859197501">
      <w:bodyDiv w:val="1"/>
      <w:marLeft w:val="0"/>
      <w:marRight w:val="0"/>
      <w:marTop w:val="0"/>
      <w:marBottom w:val="0"/>
      <w:divBdr>
        <w:top w:val="none" w:sz="0" w:space="0" w:color="auto"/>
        <w:left w:val="none" w:sz="0" w:space="0" w:color="auto"/>
        <w:bottom w:val="none" w:sz="0" w:space="0" w:color="auto"/>
        <w:right w:val="none" w:sz="0" w:space="0" w:color="auto"/>
      </w:divBdr>
    </w:div>
    <w:div w:id="1895386621">
      <w:bodyDiv w:val="1"/>
      <w:marLeft w:val="0"/>
      <w:marRight w:val="0"/>
      <w:marTop w:val="0"/>
      <w:marBottom w:val="0"/>
      <w:divBdr>
        <w:top w:val="none" w:sz="0" w:space="0" w:color="auto"/>
        <w:left w:val="none" w:sz="0" w:space="0" w:color="auto"/>
        <w:bottom w:val="none" w:sz="0" w:space="0" w:color="auto"/>
        <w:right w:val="none" w:sz="0" w:space="0" w:color="auto"/>
      </w:divBdr>
    </w:div>
    <w:div w:id="1905557001">
      <w:bodyDiv w:val="1"/>
      <w:marLeft w:val="0"/>
      <w:marRight w:val="0"/>
      <w:marTop w:val="0"/>
      <w:marBottom w:val="0"/>
      <w:divBdr>
        <w:top w:val="none" w:sz="0" w:space="0" w:color="auto"/>
        <w:left w:val="none" w:sz="0" w:space="0" w:color="auto"/>
        <w:bottom w:val="none" w:sz="0" w:space="0" w:color="auto"/>
        <w:right w:val="none" w:sz="0" w:space="0" w:color="auto"/>
      </w:divBdr>
    </w:div>
    <w:div w:id="1917351006">
      <w:bodyDiv w:val="1"/>
      <w:marLeft w:val="0"/>
      <w:marRight w:val="0"/>
      <w:marTop w:val="0"/>
      <w:marBottom w:val="0"/>
      <w:divBdr>
        <w:top w:val="none" w:sz="0" w:space="0" w:color="auto"/>
        <w:left w:val="none" w:sz="0" w:space="0" w:color="auto"/>
        <w:bottom w:val="none" w:sz="0" w:space="0" w:color="auto"/>
        <w:right w:val="none" w:sz="0" w:space="0" w:color="auto"/>
      </w:divBdr>
    </w:div>
    <w:div w:id="1921131707">
      <w:bodyDiv w:val="1"/>
      <w:marLeft w:val="0"/>
      <w:marRight w:val="0"/>
      <w:marTop w:val="0"/>
      <w:marBottom w:val="0"/>
      <w:divBdr>
        <w:top w:val="none" w:sz="0" w:space="0" w:color="auto"/>
        <w:left w:val="none" w:sz="0" w:space="0" w:color="auto"/>
        <w:bottom w:val="none" w:sz="0" w:space="0" w:color="auto"/>
        <w:right w:val="none" w:sz="0" w:space="0" w:color="auto"/>
      </w:divBdr>
    </w:div>
    <w:div w:id="1932008274">
      <w:bodyDiv w:val="1"/>
      <w:marLeft w:val="0"/>
      <w:marRight w:val="0"/>
      <w:marTop w:val="0"/>
      <w:marBottom w:val="0"/>
      <w:divBdr>
        <w:top w:val="none" w:sz="0" w:space="0" w:color="auto"/>
        <w:left w:val="none" w:sz="0" w:space="0" w:color="auto"/>
        <w:bottom w:val="none" w:sz="0" w:space="0" w:color="auto"/>
        <w:right w:val="none" w:sz="0" w:space="0" w:color="auto"/>
      </w:divBdr>
    </w:div>
    <w:div w:id="1940674549">
      <w:bodyDiv w:val="1"/>
      <w:marLeft w:val="0"/>
      <w:marRight w:val="0"/>
      <w:marTop w:val="0"/>
      <w:marBottom w:val="0"/>
      <w:divBdr>
        <w:top w:val="none" w:sz="0" w:space="0" w:color="auto"/>
        <w:left w:val="none" w:sz="0" w:space="0" w:color="auto"/>
        <w:bottom w:val="none" w:sz="0" w:space="0" w:color="auto"/>
        <w:right w:val="none" w:sz="0" w:space="0" w:color="auto"/>
      </w:divBdr>
    </w:div>
    <w:div w:id="1956204793">
      <w:bodyDiv w:val="1"/>
      <w:marLeft w:val="0"/>
      <w:marRight w:val="0"/>
      <w:marTop w:val="0"/>
      <w:marBottom w:val="0"/>
      <w:divBdr>
        <w:top w:val="none" w:sz="0" w:space="0" w:color="auto"/>
        <w:left w:val="none" w:sz="0" w:space="0" w:color="auto"/>
        <w:bottom w:val="none" w:sz="0" w:space="0" w:color="auto"/>
        <w:right w:val="none" w:sz="0" w:space="0" w:color="auto"/>
      </w:divBdr>
    </w:div>
    <w:div w:id="1973099559">
      <w:bodyDiv w:val="1"/>
      <w:marLeft w:val="0"/>
      <w:marRight w:val="0"/>
      <w:marTop w:val="0"/>
      <w:marBottom w:val="0"/>
      <w:divBdr>
        <w:top w:val="none" w:sz="0" w:space="0" w:color="auto"/>
        <w:left w:val="none" w:sz="0" w:space="0" w:color="auto"/>
        <w:bottom w:val="none" w:sz="0" w:space="0" w:color="auto"/>
        <w:right w:val="none" w:sz="0" w:space="0" w:color="auto"/>
      </w:divBdr>
    </w:div>
    <w:div w:id="2009674232">
      <w:bodyDiv w:val="1"/>
      <w:marLeft w:val="0"/>
      <w:marRight w:val="0"/>
      <w:marTop w:val="0"/>
      <w:marBottom w:val="0"/>
      <w:divBdr>
        <w:top w:val="none" w:sz="0" w:space="0" w:color="auto"/>
        <w:left w:val="none" w:sz="0" w:space="0" w:color="auto"/>
        <w:bottom w:val="none" w:sz="0" w:space="0" w:color="auto"/>
        <w:right w:val="none" w:sz="0" w:space="0" w:color="auto"/>
      </w:divBdr>
    </w:div>
    <w:div w:id="2013490146">
      <w:bodyDiv w:val="1"/>
      <w:marLeft w:val="0"/>
      <w:marRight w:val="0"/>
      <w:marTop w:val="0"/>
      <w:marBottom w:val="0"/>
      <w:divBdr>
        <w:top w:val="none" w:sz="0" w:space="0" w:color="auto"/>
        <w:left w:val="none" w:sz="0" w:space="0" w:color="auto"/>
        <w:bottom w:val="none" w:sz="0" w:space="0" w:color="auto"/>
        <w:right w:val="none" w:sz="0" w:space="0" w:color="auto"/>
      </w:divBdr>
    </w:div>
    <w:div w:id="2075004942">
      <w:bodyDiv w:val="1"/>
      <w:marLeft w:val="0"/>
      <w:marRight w:val="0"/>
      <w:marTop w:val="0"/>
      <w:marBottom w:val="0"/>
      <w:divBdr>
        <w:top w:val="none" w:sz="0" w:space="0" w:color="auto"/>
        <w:left w:val="none" w:sz="0" w:space="0" w:color="auto"/>
        <w:bottom w:val="none" w:sz="0" w:space="0" w:color="auto"/>
        <w:right w:val="none" w:sz="0" w:space="0" w:color="auto"/>
      </w:divBdr>
    </w:div>
    <w:div w:id="209415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aer.gov.au/sites/default/files/AER%20compliance%20and%20enforcement%C3%A2%E2%82%AC%E2%80%9Dstatement%20of%20approach%20%28December%202010%29.pdf" TargetMode="External"/><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image" Target="media/image4.emf"/><Relationship Id="rId34" Type="http://schemas.openxmlformats.org/officeDocument/2006/relationships/hyperlink" Target="http://www.legislation.sa.gov.au/LZ/C/A/NATIONAL%20ELECTRICITY%20(SOUTH%20AUSTRALIA)%20ACT%201996.asp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hyperlink" Target="http://aemc.gov.au/Gas/National-Gas-Rules/Current-Rules.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ERInquiry@aer.gov.au" TargetMode="External"/><Relationship Id="rId20" Type="http://schemas.openxmlformats.org/officeDocument/2006/relationships/image" Target="media/image3.emf"/><Relationship Id="rId29" Type="http://schemas.openxmlformats.org/officeDocument/2006/relationships/hyperlink" Target="http://www.aemo.com.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er.gov.au/node/27587" TargetMode="External"/><Relationship Id="rId32" Type="http://schemas.openxmlformats.org/officeDocument/2006/relationships/hyperlink" Target="http://www.legislation.sa.gov.au/LZ/C/R/NATIONAL%20GAS%20(SOUTH%20AUSTRALIA)%20REGULATIONS.aspx"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ublishing.unit@accc.gov.au" TargetMode="External"/><Relationship Id="rId23" Type="http://schemas.openxmlformats.org/officeDocument/2006/relationships/image" Target="media/image6.emf"/><Relationship Id="rId28" Type="http://schemas.openxmlformats.org/officeDocument/2006/relationships/hyperlink" Target="http://www.accc.gov.au" TargetMode="External"/><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aemc.gov.au/Electricity/National-Electricity-Rules/Current-Rules.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hyperlink" Target="http://www.aer.gov.au/node/2291" TargetMode="External"/><Relationship Id="rId30" Type="http://schemas.openxmlformats.org/officeDocument/2006/relationships/hyperlink" Target="http://www.aer.gov.au/" TargetMode="External"/><Relationship Id="rId35" Type="http://schemas.openxmlformats.org/officeDocument/2006/relationships/hyperlink" Target="http://www.legislation.sa.gov.au/LZ/C/A/NATIONAL%20GAS%20(SOUTH%20AUSTRALIA)%20ACT%202008.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er.gov.au/node/154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64CA859F.dotm</Template>
  <TotalTime>0</TotalTime>
  <Pages>21</Pages>
  <Words>6842</Words>
  <Characters>39002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Quarterly Compliance Report July - September 2014</vt:lpstr>
    </vt:vector>
  </TitlesOfParts>
  <Manager/>
  <Company/>
  <LinksUpToDate>false</LinksUpToDate>
  <CharactersWithSpaces>45753</CharactersWithSpaces>
  <SharedDoc>false</SharedDoc>
  <HLinks>
    <vt:vector size="276" baseType="variant">
      <vt:variant>
        <vt:i4>79</vt:i4>
      </vt:variant>
      <vt:variant>
        <vt:i4>186</vt:i4>
      </vt:variant>
      <vt:variant>
        <vt:i4>0</vt:i4>
      </vt:variant>
      <vt:variant>
        <vt:i4>5</vt:i4>
      </vt:variant>
      <vt:variant>
        <vt:lpwstr>http://www.legislation.sa.gov.au/LZ/C/A/NATIONAL GAS (SOUTH AUSTRALIA) ACT 2008.aspx</vt:lpwstr>
      </vt:variant>
      <vt:variant>
        <vt:lpwstr/>
      </vt:variant>
      <vt:variant>
        <vt:i4>1245251</vt:i4>
      </vt:variant>
      <vt:variant>
        <vt:i4>183</vt:i4>
      </vt:variant>
      <vt:variant>
        <vt:i4>0</vt:i4>
      </vt:variant>
      <vt:variant>
        <vt:i4>5</vt:i4>
      </vt:variant>
      <vt:variant>
        <vt:lpwstr>http://www.legislation.sa.gov.au/LZ/C/A/NATIONAL ELECTRICITY (SOUTH AUSTRALIA) ACT 1996.aspx</vt:lpwstr>
      </vt:variant>
      <vt:variant>
        <vt:lpwstr/>
      </vt:variant>
      <vt:variant>
        <vt:i4>2687022</vt:i4>
      </vt:variant>
      <vt:variant>
        <vt:i4>180</vt:i4>
      </vt:variant>
      <vt:variant>
        <vt:i4>0</vt:i4>
      </vt:variant>
      <vt:variant>
        <vt:i4>5</vt:i4>
      </vt:variant>
      <vt:variant>
        <vt:lpwstr>http://www.aemc.gov.au/gas.php</vt:lpwstr>
      </vt:variant>
      <vt:variant>
        <vt:lpwstr/>
      </vt:variant>
      <vt:variant>
        <vt:i4>3276845</vt:i4>
      </vt:variant>
      <vt:variant>
        <vt:i4>177</vt:i4>
      </vt:variant>
      <vt:variant>
        <vt:i4>0</vt:i4>
      </vt:variant>
      <vt:variant>
        <vt:i4>5</vt:i4>
      </vt:variant>
      <vt:variant>
        <vt:lpwstr>http://www.legislation.sa.gov.au/LZ/C/R/NATIONAL GAS (SOUTH AUSTRALIA) REGULATIONS.aspx</vt:lpwstr>
      </vt:variant>
      <vt:variant>
        <vt:lpwstr/>
      </vt:variant>
      <vt:variant>
        <vt:i4>5242975</vt:i4>
      </vt:variant>
      <vt:variant>
        <vt:i4>174</vt:i4>
      </vt:variant>
      <vt:variant>
        <vt:i4>0</vt:i4>
      </vt:variant>
      <vt:variant>
        <vt:i4>5</vt:i4>
      </vt:variant>
      <vt:variant>
        <vt:lpwstr>http://www.aemc.gov.au/rules.php</vt:lpwstr>
      </vt:variant>
      <vt:variant>
        <vt:lpwstr/>
      </vt:variant>
      <vt:variant>
        <vt:i4>1900617</vt:i4>
      </vt:variant>
      <vt:variant>
        <vt:i4>171</vt:i4>
      </vt:variant>
      <vt:variant>
        <vt:i4>0</vt:i4>
      </vt:variant>
      <vt:variant>
        <vt:i4>5</vt:i4>
      </vt:variant>
      <vt:variant>
        <vt:lpwstr>http://www.gasbb.com.au/</vt:lpwstr>
      </vt:variant>
      <vt:variant>
        <vt:lpwstr/>
      </vt:variant>
      <vt:variant>
        <vt:i4>6750255</vt:i4>
      </vt:variant>
      <vt:variant>
        <vt:i4>168</vt:i4>
      </vt:variant>
      <vt:variant>
        <vt:i4>0</vt:i4>
      </vt:variant>
      <vt:variant>
        <vt:i4>5</vt:i4>
      </vt:variant>
      <vt:variant>
        <vt:lpwstr>http://www.aer.gov.au/</vt:lpwstr>
      </vt:variant>
      <vt:variant>
        <vt:lpwstr/>
      </vt:variant>
      <vt:variant>
        <vt:i4>3997749</vt:i4>
      </vt:variant>
      <vt:variant>
        <vt:i4>165</vt:i4>
      </vt:variant>
      <vt:variant>
        <vt:i4>0</vt:i4>
      </vt:variant>
      <vt:variant>
        <vt:i4>5</vt:i4>
      </vt:variant>
      <vt:variant>
        <vt:lpwstr>http://www.aemo.com.au/</vt:lpwstr>
      </vt:variant>
      <vt:variant>
        <vt:lpwstr/>
      </vt:variant>
      <vt:variant>
        <vt:i4>3342368</vt:i4>
      </vt:variant>
      <vt:variant>
        <vt:i4>162</vt:i4>
      </vt:variant>
      <vt:variant>
        <vt:i4>0</vt:i4>
      </vt:variant>
      <vt:variant>
        <vt:i4>5</vt:i4>
      </vt:variant>
      <vt:variant>
        <vt:lpwstr>http://www.accc.gov.au/</vt:lpwstr>
      </vt:variant>
      <vt:variant>
        <vt:lpwstr/>
      </vt:variant>
      <vt:variant>
        <vt:i4>1441851</vt:i4>
      </vt:variant>
      <vt:variant>
        <vt:i4>155</vt:i4>
      </vt:variant>
      <vt:variant>
        <vt:i4>0</vt:i4>
      </vt:variant>
      <vt:variant>
        <vt:i4>5</vt:i4>
      </vt:variant>
      <vt:variant>
        <vt:lpwstr/>
      </vt:variant>
      <vt:variant>
        <vt:lpwstr>_Toc339289999</vt:lpwstr>
      </vt:variant>
      <vt:variant>
        <vt:i4>1441851</vt:i4>
      </vt:variant>
      <vt:variant>
        <vt:i4>149</vt:i4>
      </vt:variant>
      <vt:variant>
        <vt:i4>0</vt:i4>
      </vt:variant>
      <vt:variant>
        <vt:i4>5</vt:i4>
      </vt:variant>
      <vt:variant>
        <vt:lpwstr/>
      </vt:variant>
      <vt:variant>
        <vt:lpwstr>_Toc339289998</vt:lpwstr>
      </vt:variant>
      <vt:variant>
        <vt:i4>1441851</vt:i4>
      </vt:variant>
      <vt:variant>
        <vt:i4>143</vt:i4>
      </vt:variant>
      <vt:variant>
        <vt:i4>0</vt:i4>
      </vt:variant>
      <vt:variant>
        <vt:i4>5</vt:i4>
      </vt:variant>
      <vt:variant>
        <vt:lpwstr/>
      </vt:variant>
      <vt:variant>
        <vt:lpwstr>_Toc339289997</vt:lpwstr>
      </vt:variant>
      <vt:variant>
        <vt:i4>1441851</vt:i4>
      </vt:variant>
      <vt:variant>
        <vt:i4>137</vt:i4>
      </vt:variant>
      <vt:variant>
        <vt:i4>0</vt:i4>
      </vt:variant>
      <vt:variant>
        <vt:i4>5</vt:i4>
      </vt:variant>
      <vt:variant>
        <vt:lpwstr/>
      </vt:variant>
      <vt:variant>
        <vt:lpwstr>_Toc339289996</vt:lpwstr>
      </vt:variant>
      <vt:variant>
        <vt:i4>1441851</vt:i4>
      </vt:variant>
      <vt:variant>
        <vt:i4>131</vt:i4>
      </vt:variant>
      <vt:variant>
        <vt:i4>0</vt:i4>
      </vt:variant>
      <vt:variant>
        <vt:i4>5</vt:i4>
      </vt:variant>
      <vt:variant>
        <vt:lpwstr/>
      </vt:variant>
      <vt:variant>
        <vt:lpwstr>_Toc339289995</vt:lpwstr>
      </vt:variant>
      <vt:variant>
        <vt:i4>1441851</vt:i4>
      </vt:variant>
      <vt:variant>
        <vt:i4>125</vt:i4>
      </vt:variant>
      <vt:variant>
        <vt:i4>0</vt:i4>
      </vt:variant>
      <vt:variant>
        <vt:i4>5</vt:i4>
      </vt:variant>
      <vt:variant>
        <vt:lpwstr/>
      </vt:variant>
      <vt:variant>
        <vt:lpwstr>_Toc339289994</vt:lpwstr>
      </vt:variant>
      <vt:variant>
        <vt:i4>1441851</vt:i4>
      </vt:variant>
      <vt:variant>
        <vt:i4>119</vt:i4>
      </vt:variant>
      <vt:variant>
        <vt:i4>0</vt:i4>
      </vt:variant>
      <vt:variant>
        <vt:i4>5</vt:i4>
      </vt:variant>
      <vt:variant>
        <vt:lpwstr/>
      </vt:variant>
      <vt:variant>
        <vt:lpwstr>_Toc339289993</vt:lpwstr>
      </vt:variant>
      <vt:variant>
        <vt:i4>1441851</vt:i4>
      </vt:variant>
      <vt:variant>
        <vt:i4>113</vt:i4>
      </vt:variant>
      <vt:variant>
        <vt:i4>0</vt:i4>
      </vt:variant>
      <vt:variant>
        <vt:i4>5</vt:i4>
      </vt:variant>
      <vt:variant>
        <vt:lpwstr/>
      </vt:variant>
      <vt:variant>
        <vt:lpwstr>_Toc339289992</vt:lpwstr>
      </vt:variant>
      <vt:variant>
        <vt:i4>1441851</vt:i4>
      </vt:variant>
      <vt:variant>
        <vt:i4>107</vt:i4>
      </vt:variant>
      <vt:variant>
        <vt:i4>0</vt:i4>
      </vt:variant>
      <vt:variant>
        <vt:i4>5</vt:i4>
      </vt:variant>
      <vt:variant>
        <vt:lpwstr/>
      </vt:variant>
      <vt:variant>
        <vt:lpwstr>_Toc339289991</vt:lpwstr>
      </vt:variant>
      <vt:variant>
        <vt:i4>1441851</vt:i4>
      </vt:variant>
      <vt:variant>
        <vt:i4>101</vt:i4>
      </vt:variant>
      <vt:variant>
        <vt:i4>0</vt:i4>
      </vt:variant>
      <vt:variant>
        <vt:i4>5</vt:i4>
      </vt:variant>
      <vt:variant>
        <vt:lpwstr/>
      </vt:variant>
      <vt:variant>
        <vt:lpwstr>_Toc339289990</vt:lpwstr>
      </vt:variant>
      <vt:variant>
        <vt:i4>1507387</vt:i4>
      </vt:variant>
      <vt:variant>
        <vt:i4>95</vt:i4>
      </vt:variant>
      <vt:variant>
        <vt:i4>0</vt:i4>
      </vt:variant>
      <vt:variant>
        <vt:i4>5</vt:i4>
      </vt:variant>
      <vt:variant>
        <vt:lpwstr/>
      </vt:variant>
      <vt:variant>
        <vt:lpwstr>_Toc339289989</vt:lpwstr>
      </vt:variant>
      <vt:variant>
        <vt:i4>1507387</vt:i4>
      </vt:variant>
      <vt:variant>
        <vt:i4>89</vt:i4>
      </vt:variant>
      <vt:variant>
        <vt:i4>0</vt:i4>
      </vt:variant>
      <vt:variant>
        <vt:i4>5</vt:i4>
      </vt:variant>
      <vt:variant>
        <vt:lpwstr/>
      </vt:variant>
      <vt:variant>
        <vt:lpwstr>_Toc339289988</vt:lpwstr>
      </vt:variant>
      <vt:variant>
        <vt:i4>1507387</vt:i4>
      </vt:variant>
      <vt:variant>
        <vt:i4>83</vt:i4>
      </vt:variant>
      <vt:variant>
        <vt:i4>0</vt:i4>
      </vt:variant>
      <vt:variant>
        <vt:i4>5</vt:i4>
      </vt:variant>
      <vt:variant>
        <vt:lpwstr/>
      </vt:variant>
      <vt:variant>
        <vt:lpwstr>_Toc339289987</vt:lpwstr>
      </vt:variant>
      <vt:variant>
        <vt:i4>1507387</vt:i4>
      </vt:variant>
      <vt:variant>
        <vt:i4>77</vt:i4>
      </vt:variant>
      <vt:variant>
        <vt:i4>0</vt:i4>
      </vt:variant>
      <vt:variant>
        <vt:i4>5</vt:i4>
      </vt:variant>
      <vt:variant>
        <vt:lpwstr/>
      </vt:variant>
      <vt:variant>
        <vt:lpwstr>_Toc339289986</vt:lpwstr>
      </vt:variant>
      <vt:variant>
        <vt:i4>1507387</vt:i4>
      </vt:variant>
      <vt:variant>
        <vt:i4>71</vt:i4>
      </vt:variant>
      <vt:variant>
        <vt:i4>0</vt:i4>
      </vt:variant>
      <vt:variant>
        <vt:i4>5</vt:i4>
      </vt:variant>
      <vt:variant>
        <vt:lpwstr/>
      </vt:variant>
      <vt:variant>
        <vt:lpwstr>_Toc339289985</vt:lpwstr>
      </vt:variant>
      <vt:variant>
        <vt:i4>1507387</vt:i4>
      </vt:variant>
      <vt:variant>
        <vt:i4>65</vt:i4>
      </vt:variant>
      <vt:variant>
        <vt:i4>0</vt:i4>
      </vt:variant>
      <vt:variant>
        <vt:i4>5</vt:i4>
      </vt:variant>
      <vt:variant>
        <vt:lpwstr/>
      </vt:variant>
      <vt:variant>
        <vt:lpwstr>_Toc339289984</vt:lpwstr>
      </vt:variant>
      <vt:variant>
        <vt:i4>1507387</vt:i4>
      </vt:variant>
      <vt:variant>
        <vt:i4>59</vt:i4>
      </vt:variant>
      <vt:variant>
        <vt:i4>0</vt:i4>
      </vt:variant>
      <vt:variant>
        <vt:i4>5</vt:i4>
      </vt:variant>
      <vt:variant>
        <vt:lpwstr/>
      </vt:variant>
      <vt:variant>
        <vt:lpwstr>_Toc339289983</vt:lpwstr>
      </vt:variant>
      <vt:variant>
        <vt:i4>1507387</vt:i4>
      </vt:variant>
      <vt:variant>
        <vt:i4>53</vt:i4>
      </vt:variant>
      <vt:variant>
        <vt:i4>0</vt:i4>
      </vt:variant>
      <vt:variant>
        <vt:i4>5</vt:i4>
      </vt:variant>
      <vt:variant>
        <vt:lpwstr/>
      </vt:variant>
      <vt:variant>
        <vt:lpwstr>_Toc339289982</vt:lpwstr>
      </vt:variant>
      <vt:variant>
        <vt:i4>1507387</vt:i4>
      </vt:variant>
      <vt:variant>
        <vt:i4>47</vt:i4>
      </vt:variant>
      <vt:variant>
        <vt:i4>0</vt:i4>
      </vt:variant>
      <vt:variant>
        <vt:i4>5</vt:i4>
      </vt:variant>
      <vt:variant>
        <vt:lpwstr/>
      </vt:variant>
      <vt:variant>
        <vt:lpwstr>_Toc339289981</vt:lpwstr>
      </vt:variant>
      <vt:variant>
        <vt:i4>1507387</vt:i4>
      </vt:variant>
      <vt:variant>
        <vt:i4>41</vt:i4>
      </vt:variant>
      <vt:variant>
        <vt:i4>0</vt:i4>
      </vt:variant>
      <vt:variant>
        <vt:i4>5</vt:i4>
      </vt:variant>
      <vt:variant>
        <vt:lpwstr/>
      </vt:variant>
      <vt:variant>
        <vt:lpwstr>_Toc339289980</vt:lpwstr>
      </vt:variant>
      <vt:variant>
        <vt:i4>1572923</vt:i4>
      </vt:variant>
      <vt:variant>
        <vt:i4>35</vt:i4>
      </vt:variant>
      <vt:variant>
        <vt:i4>0</vt:i4>
      </vt:variant>
      <vt:variant>
        <vt:i4>5</vt:i4>
      </vt:variant>
      <vt:variant>
        <vt:lpwstr/>
      </vt:variant>
      <vt:variant>
        <vt:lpwstr>_Toc339289979</vt:lpwstr>
      </vt:variant>
      <vt:variant>
        <vt:i4>1572923</vt:i4>
      </vt:variant>
      <vt:variant>
        <vt:i4>29</vt:i4>
      </vt:variant>
      <vt:variant>
        <vt:i4>0</vt:i4>
      </vt:variant>
      <vt:variant>
        <vt:i4>5</vt:i4>
      </vt:variant>
      <vt:variant>
        <vt:lpwstr/>
      </vt:variant>
      <vt:variant>
        <vt:lpwstr>_Toc339289978</vt:lpwstr>
      </vt:variant>
      <vt:variant>
        <vt:i4>1572923</vt:i4>
      </vt:variant>
      <vt:variant>
        <vt:i4>23</vt:i4>
      </vt:variant>
      <vt:variant>
        <vt:i4>0</vt:i4>
      </vt:variant>
      <vt:variant>
        <vt:i4>5</vt:i4>
      </vt:variant>
      <vt:variant>
        <vt:lpwstr/>
      </vt:variant>
      <vt:variant>
        <vt:lpwstr>_Toc339289977</vt:lpwstr>
      </vt:variant>
      <vt:variant>
        <vt:i4>1572923</vt:i4>
      </vt:variant>
      <vt:variant>
        <vt:i4>17</vt:i4>
      </vt:variant>
      <vt:variant>
        <vt:i4>0</vt:i4>
      </vt:variant>
      <vt:variant>
        <vt:i4>5</vt:i4>
      </vt:variant>
      <vt:variant>
        <vt:lpwstr/>
      </vt:variant>
      <vt:variant>
        <vt:lpwstr>_Toc339289976</vt:lpwstr>
      </vt:variant>
      <vt:variant>
        <vt:i4>1572923</vt:i4>
      </vt:variant>
      <vt:variant>
        <vt:i4>11</vt:i4>
      </vt:variant>
      <vt:variant>
        <vt:i4>0</vt:i4>
      </vt:variant>
      <vt:variant>
        <vt:i4>5</vt:i4>
      </vt:variant>
      <vt:variant>
        <vt:lpwstr/>
      </vt:variant>
      <vt:variant>
        <vt:lpwstr>_Toc339289975</vt:lpwstr>
      </vt:variant>
      <vt:variant>
        <vt:i4>1572923</vt:i4>
      </vt:variant>
      <vt:variant>
        <vt:i4>5</vt:i4>
      </vt:variant>
      <vt:variant>
        <vt:i4>0</vt:i4>
      </vt:variant>
      <vt:variant>
        <vt:i4>5</vt:i4>
      </vt:variant>
      <vt:variant>
        <vt:lpwstr/>
      </vt:variant>
      <vt:variant>
        <vt:lpwstr>_Toc339289974</vt:lpwstr>
      </vt:variant>
      <vt:variant>
        <vt:i4>2555972</vt:i4>
      </vt:variant>
      <vt:variant>
        <vt:i4>0</vt:i4>
      </vt:variant>
      <vt:variant>
        <vt:i4>0</vt:i4>
      </vt:variant>
      <vt:variant>
        <vt:i4>5</vt:i4>
      </vt:variant>
      <vt:variant>
        <vt:lpwstr>mailto:AERInquiry@aer.gov.au</vt:lpwstr>
      </vt:variant>
      <vt:variant>
        <vt:lpwstr/>
      </vt:variant>
      <vt:variant>
        <vt:i4>6684728</vt:i4>
      </vt:variant>
      <vt:variant>
        <vt:i4>27</vt:i4>
      </vt:variant>
      <vt:variant>
        <vt:i4>0</vt:i4>
      </vt:variant>
      <vt:variant>
        <vt:i4>5</vt:i4>
      </vt:variant>
      <vt:variant>
        <vt:lpwstr>http://www.aer.gov.au/node/2291</vt:lpwstr>
      </vt:variant>
      <vt:variant>
        <vt:lpwstr/>
      </vt:variant>
      <vt:variant>
        <vt:i4>5963788</vt:i4>
      </vt:variant>
      <vt:variant>
        <vt:i4>24</vt:i4>
      </vt:variant>
      <vt:variant>
        <vt:i4>0</vt:i4>
      </vt:variant>
      <vt:variant>
        <vt:i4>5</vt:i4>
      </vt:variant>
      <vt:variant>
        <vt:lpwstr>http://www.aer.gov.au/node/15433</vt:lpwstr>
      </vt:variant>
      <vt:variant>
        <vt:lpwstr/>
      </vt:variant>
      <vt:variant>
        <vt:i4>7143487</vt:i4>
      </vt:variant>
      <vt:variant>
        <vt:i4>21</vt:i4>
      </vt:variant>
      <vt:variant>
        <vt:i4>0</vt:i4>
      </vt:variant>
      <vt:variant>
        <vt:i4>5</vt:i4>
      </vt:variant>
      <vt:variant>
        <vt:lpwstr>http://www.aer.gov.au/node/454</vt:lpwstr>
      </vt:variant>
      <vt:variant>
        <vt:lpwstr/>
      </vt:variant>
      <vt:variant>
        <vt:i4>6553659</vt:i4>
      </vt:variant>
      <vt:variant>
        <vt:i4>18</vt:i4>
      </vt:variant>
      <vt:variant>
        <vt:i4>0</vt:i4>
      </vt:variant>
      <vt:variant>
        <vt:i4>5</vt:i4>
      </vt:variant>
      <vt:variant>
        <vt:lpwstr>http://www.aer.gov.au/node/1182</vt:lpwstr>
      </vt:variant>
      <vt:variant>
        <vt:lpwstr/>
      </vt:variant>
      <vt:variant>
        <vt:i4>6225920</vt:i4>
      </vt:variant>
      <vt:variant>
        <vt:i4>15</vt:i4>
      </vt:variant>
      <vt:variant>
        <vt:i4>0</vt:i4>
      </vt:variant>
      <vt:variant>
        <vt:i4>5</vt:i4>
      </vt:variant>
      <vt:variant>
        <vt:lpwstr>http://www.aer.gov.au/node/12182</vt:lpwstr>
      </vt:variant>
      <vt:variant>
        <vt:lpwstr/>
      </vt:variant>
      <vt:variant>
        <vt:i4>6094849</vt:i4>
      </vt:variant>
      <vt:variant>
        <vt:i4>12</vt:i4>
      </vt:variant>
      <vt:variant>
        <vt:i4>0</vt:i4>
      </vt:variant>
      <vt:variant>
        <vt:i4>5</vt:i4>
      </vt:variant>
      <vt:variant>
        <vt:lpwstr>http://www.aer.gov.au/node/18233</vt:lpwstr>
      </vt:variant>
      <vt:variant>
        <vt:lpwstr/>
      </vt:variant>
      <vt:variant>
        <vt:i4>2555953</vt:i4>
      </vt:variant>
      <vt:variant>
        <vt:i4>9</vt:i4>
      </vt:variant>
      <vt:variant>
        <vt:i4>0</vt:i4>
      </vt:variant>
      <vt:variant>
        <vt:i4>5</vt:i4>
      </vt:variant>
      <vt:variant>
        <vt:lpwstr>http://www.aemo.com.au/Consultations/Gas-Consultations/STTM/STTM-Phase-2-review_Review-of-within_day-market</vt:lpwstr>
      </vt:variant>
      <vt:variant>
        <vt:lpwstr>purpose</vt:lpwstr>
      </vt:variant>
      <vt:variant>
        <vt:i4>786506</vt:i4>
      </vt:variant>
      <vt:variant>
        <vt:i4>6</vt:i4>
      </vt:variant>
      <vt:variant>
        <vt:i4>0</vt:i4>
      </vt:variant>
      <vt:variant>
        <vt:i4>5</vt:i4>
      </vt:variant>
      <vt:variant>
        <vt:lpwstr>http://www.aer.gov.au/sites/default/files/AER compliance and enforcement%C3%A2%E2%82%AC%E2%80%9Dstatement of approach %28December 2010%29.pdf</vt:lpwstr>
      </vt:variant>
      <vt:variant>
        <vt:lpwstr/>
      </vt:variant>
      <vt:variant>
        <vt:i4>6684729</vt:i4>
      </vt:variant>
      <vt:variant>
        <vt:i4>3</vt:i4>
      </vt:variant>
      <vt:variant>
        <vt:i4>0</vt:i4>
      </vt:variant>
      <vt:variant>
        <vt:i4>5</vt:i4>
      </vt:variant>
      <vt:variant>
        <vt:lpwstr>http://www.aer.gov.au/node/2391</vt:lpwstr>
      </vt:variant>
      <vt:variant>
        <vt:lpwstr/>
      </vt:variant>
      <vt:variant>
        <vt:i4>7143487</vt:i4>
      </vt:variant>
      <vt:variant>
        <vt:i4>0</vt:i4>
      </vt:variant>
      <vt:variant>
        <vt:i4>0</vt:i4>
      </vt:variant>
      <vt:variant>
        <vt:i4>5</vt:i4>
      </vt:variant>
      <vt:variant>
        <vt:lpwstr>http://www.aer.gov.au/node/454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Compliance Report July - September 2014</dc:title>
  <dc:subject>Quarterly Compliance Report July - September 2014</dc:subject>
  <dc:creator/>
  <cp:keywords/>
  <dc:description/>
  <cp:lastModifiedBy/>
  <cp:revision>1</cp:revision>
  <dcterms:created xsi:type="dcterms:W3CDTF">2014-12-17T22:34:00Z</dcterms:created>
  <dcterms:modified xsi:type="dcterms:W3CDTF">2014-12-17T22:34:00Z</dcterms:modified>
</cp:coreProperties>
</file>