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C" w:rsidRPr="00191FF4" w:rsidRDefault="0087471E" w:rsidP="00F56851">
      <w:pPr>
        <w:pStyle w:val="AERTitle2"/>
        <w:rPr>
          <w:b/>
          <w:szCs w:val="32"/>
        </w:rPr>
      </w:pPr>
      <w:bookmarkStart w:id="0" w:name="_GoBack"/>
      <w:bookmarkEnd w:id="0"/>
      <w:r>
        <w:rPr>
          <w:b/>
          <w:noProof/>
          <w:szCs w:val="32"/>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92" type="#_x0000_t75" alt="AER-final-orange" style="position:absolute;left:0;text-align:left;margin-left:-90.7pt;margin-top:-73.35pt;width:597.45pt;height:846pt;z-index:-251658752;visibility:visible">
            <v:imagedata r:id="rId9" o:title="AER-final-orange"/>
          </v:shape>
        </w:pict>
      </w:r>
    </w:p>
    <w:p w:rsidR="008B0C16" w:rsidRDefault="008B0C16" w:rsidP="00A052AB">
      <w:pPr>
        <w:pStyle w:val="AERTitle1"/>
      </w:pPr>
      <w:bookmarkStart w:id="1" w:name="OLE_LINK1"/>
      <w:bookmarkStart w:id="2" w:name="OLE_LINK2"/>
    </w:p>
    <w:p w:rsidR="008B0C16" w:rsidRDefault="008B0C16" w:rsidP="00A052AB">
      <w:pPr>
        <w:pStyle w:val="AERTitle1"/>
      </w:pPr>
    </w:p>
    <w:p w:rsidR="008B0C16" w:rsidRDefault="008B0C16" w:rsidP="00A052AB">
      <w:pPr>
        <w:pStyle w:val="AERTitle1"/>
      </w:pPr>
    </w:p>
    <w:p w:rsidR="00CA2A01" w:rsidRDefault="00CA2A01" w:rsidP="00A052AB">
      <w:pPr>
        <w:pStyle w:val="AERTitle1"/>
      </w:pPr>
    </w:p>
    <w:p w:rsidR="008B0C16" w:rsidRPr="00E0671E" w:rsidRDefault="00A44C20" w:rsidP="0018678D">
      <w:pPr>
        <w:pStyle w:val="AERTitle1"/>
      </w:pPr>
      <w:bookmarkStart w:id="3" w:name="OLE_LINK5"/>
      <w:bookmarkStart w:id="4" w:name="OLE_LINK12"/>
      <w:bookmarkStart w:id="5" w:name="OLE_LINK3"/>
      <w:bookmarkStart w:id="6" w:name="OLE_LINK4"/>
      <w:r w:rsidRPr="00E0671E">
        <w:t>Quarterly Compliance Report</w:t>
      </w:r>
      <w:r w:rsidR="008A20B0" w:rsidRPr="00E0671E">
        <w:t>:</w:t>
      </w:r>
    </w:p>
    <w:p w:rsidR="008A20B0" w:rsidRPr="00236801" w:rsidRDefault="008A20B0" w:rsidP="0018678D">
      <w:pPr>
        <w:pStyle w:val="AERTitle2"/>
        <w:spacing w:before="240"/>
        <w:rPr>
          <w:highlight w:val="yellow"/>
        </w:rPr>
      </w:pPr>
      <w:r w:rsidRPr="00E0671E">
        <w:t>National Electricity and Gas Laws</w:t>
      </w:r>
      <w:bookmarkEnd w:id="3"/>
      <w:bookmarkEnd w:id="4"/>
    </w:p>
    <w:bookmarkEnd w:id="5"/>
    <w:bookmarkEnd w:id="6"/>
    <w:p w:rsidR="008A20B0" w:rsidRPr="00236801" w:rsidRDefault="008A20B0" w:rsidP="00A052AB">
      <w:pPr>
        <w:pStyle w:val="AERTitle1"/>
        <w:rPr>
          <w:highlight w:val="yellow"/>
        </w:rPr>
      </w:pPr>
    </w:p>
    <w:p w:rsidR="000733BC" w:rsidRPr="00E0671E" w:rsidRDefault="0004398F" w:rsidP="007F510E">
      <w:pPr>
        <w:pStyle w:val="AERTitle2"/>
        <w:spacing w:before="600"/>
      </w:pPr>
      <w:r>
        <w:t>October</w:t>
      </w:r>
      <w:r w:rsidR="00236801" w:rsidRPr="00E0671E">
        <w:t xml:space="preserve"> </w:t>
      </w:r>
      <w:r w:rsidR="007725E6" w:rsidRPr="00E0671E">
        <w:t xml:space="preserve">– </w:t>
      </w:r>
      <w:r>
        <w:t xml:space="preserve">December </w:t>
      </w:r>
      <w:r w:rsidR="002003A5" w:rsidRPr="00E0671E">
        <w:t>201</w:t>
      </w:r>
      <w:r w:rsidR="00236801" w:rsidRPr="00E0671E">
        <w:t>3</w:t>
      </w:r>
    </w:p>
    <w:p w:rsidR="008B0C16" w:rsidRPr="00E0671E" w:rsidRDefault="008B0C16" w:rsidP="00A052AB">
      <w:pPr>
        <w:pStyle w:val="AERTitle1"/>
      </w:pPr>
    </w:p>
    <w:p w:rsidR="00C56995" w:rsidRPr="00E0671E" w:rsidRDefault="00C56995" w:rsidP="00A052AB">
      <w:pPr>
        <w:pStyle w:val="AERTitle1"/>
      </w:pPr>
    </w:p>
    <w:p w:rsidR="00C56995" w:rsidRPr="00E0671E" w:rsidRDefault="00C56995" w:rsidP="00A052AB">
      <w:pPr>
        <w:pStyle w:val="AERTitle1"/>
      </w:pPr>
    </w:p>
    <w:bookmarkEnd w:id="1"/>
    <w:bookmarkEnd w:id="2"/>
    <w:p w:rsidR="00636F32" w:rsidRDefault="00636F32" w:rsidP="00636F32">
      <w:pPr>
        <w:pStyle w:val="AERTitle2"/>
        <w:spacing w:before="1080" w:after="0"/>
      </w:pPr>
    </w:p>
    <w:p w:rsidR="000733BC" w:rsidRPr="00636F32" w:rsidRDefault="00A44C20" w:rsidP="007F510E">
      <w:pPr>
        <w:pStyle w:val="AERTitle2"/>
        <w:spacing w:before="1800"/>
        <w:rPr>
          <w:sz w:val="28"/>
          <w:szCs w:val="28"/>
        </w:rPr>
      </w:pPr>
      <w:r w:rsidRPr="00636F32">
        <w:rPr>
          <w:sz w:val="28"/>
          <w:szCs w:val="28"/>
        </w:rPr>
        <w:t xml:space="preserve">Published </w:t>
      </w:r>
      <w:r w:rsidR="0004398F">
        <w:rPr>
          <w:sz w:val="28"/>
          <w:szCs w:val="28"/>
        </w:rPr>
        <w:t>February</w:t>
      </w:r>
      <w:r w:rsidR="00CB1599" w:rsidRPr="00636F32">
        <w:rPr>
          <w:sz w:val="28"/>
          <w:szCs w:val="28"/>
        </w:rPr>
        <w:t xml:space="preserve"> </w:t>
      </w:r>
      <w:r w:rsidR="0004398F">
        <w:rPr>
          <w:sz w:val="28"/>
          <w:szCs w:val="28"/>
        </w:rPr>
        <w:t>2014</w:t>
      </w:r>
    </w:p>
    <w:p w:rsidR="000733BC" w:rsidRPr="00F6235D" w:rsidRDefault="000733BC" w:rsidP="004D044A">
      <w:pPr>
        <w:pStyle w:val="AERbodytext"/>
      </w:pPr>
      <w:r w:rsidRPr="00F6235D">
        <w:lastRenderedPageBreak/>
        <w:t xml:space="preserve"> </w:t>
      </w:r>
    </w:p>
    <w:p w:rsidR="00DC724B" w:rsidRDefault="00DC724B" w:rsidP="004D044A">
      <w:pPr>
        <w:pStyle w:val="TOC1"/>
        <w:sectPr w:rsidR="00DC724B" w:rsidSect="000D2D9C">
          <w:headerReference w:type="even" r:id="rId10"/>
          <w:headerReference w:type="default" r:id="rId11"/>
          <w:footerReference w:type="even" r:id="rId12"/>
          <w:footerReference w:type="default" r:id="rId13"/>
          <w:headerReference w:type="first" r:id="rId14"/>
          <w:footerReference w:type="first" r:id="rId15"/>
          <w:pgSz w:w="11906" w:h="16838" w:code="9"/>
          <w:pgMar w:top="1440" w:right="1797" w:bottom="1440" w:left="1797" w:header="709" w:footer="709" w:gutter="0"/>
          <w:pgNumType w:fmt="lowerRoman" w:start="1"/>
          <w:cols w:space="708"/>
          <w:docGrid w:linePitch="360"/>
        </w:sectPr>
      </w:pPr>
    </w:p>
    <w:p w:rsidR="008513E8" w:rsidRDefault="008513E8" w:rsidP="004D044A">
      <w:pPr>
        <w:pStyle w:val="AERbodytext"/>
      </w:pPr>
    </w:p>
    <w:p w:rsidR="00AA1DED" w:rsidRPr="00E0671E" w:rsidRDefault="00AA1DED" w:rsidP="00963CA2">
      <w:pPr>
        <w:pStyle w:val="AERbodytext"/>
        <w:rPr>
          <w:b/>
        </w:rPr>
      </w:pPr>
      <w:r w:rsidRPr="00E0671E">
        <w:rPr>
          <w:b/>
        </w:rPr>
        <w:t>© Commonwealth of Australia 201</w:t>
      </w:r>
      <w:r w:rsidR="007725E6" w:rsidRPr="00E0671E">
        <w:rPr>
          <w:b/>
        </w:rPr>
        <w:t>3</w:t>
      </w:r>
    </w:p>
    <w:p w:rsidR="00AA1DED" w:rsidRPr="00E0671E" w:rsidRDefault="00AA1DED" w:rsidP="00AA1DED">
      <w:pPr>
        <w:pStyle w:val="AERbodytext"/>
      </w:pPr>
      <w:r w:rsidRPr="00E0671E">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AA1DED" w:rsidRPr="00E0671E" w:rsidRDefault="00AA1DED" w:rsidP="00AA1DED">
      <w:pPr>
        <w:pStyle w:val="AERbodytext"/>
      </w:pPr>
      <w:r w:rsidRPr="00E0671E">
        <w:t>Inquiries about this report should be addressed to:</w:t>
      </w:r>
    </w:p>
    <w:p w:rsidR="00AA1DED" w:rsidRPr="00E0671E" w:rsidRDefault="00AA1DED" w:rsidP="00AA1DED">
      <w:pPr>
        <w:pStyle w:val="AERbodytext"/>
        <w:spacing w:after="0"/>
      </w:pPr>
      <w:r w:rsidRPr="00E0671E">
        <w:t>Australian Energy Regulator</w:t>
      </w:r>
    </w:p>
    <w:p w:rsidR="00AA1DED" w:rsidRPr="00E0671E" w:rsidRDefault="00AA1DED" w:rsidP="00AA1DED">
      <w:pPr>
        <w:pStyle w:val="AERbodytext"/>
        <w:spacing w:after="0"/>
      </w:pPr>
      <w:r w:rsidRPr="00E0671E">
        <w:t>GPO Box 520</w:t>
      </w:r>
    </w:p>
    <w:p w:rsidR="00AA1DED" w:rsidRPr="00E0671E" w:rsidRDefault="00AA1DED" w:rsidP="00AA1DED">
      <w:pPr>
        <w:pStyle w:val="AERbodytext"/>
        <w:spacing w:after="0"/>
      </w:pPr>
      <w:proofErr w:type="gramStart"/>
      <w:r w:rsidRPr="00E0671E">
        <w:t>Melbourne  Vic</w:t>
      </w:r>
      <w:proofErr w:type="gramEnd"/>
      <w:r w:rsidRPr="00E0671E">
        <w:t xml:space="preserve">  3001</w:t>
      </w:r>
    </w:p>
    <w:p w:rsidR="00AA1DED" w:rsidRPr="00E0671E" w:rsidRDefault="00AA1DED" w:rsidP="00AA1DED">
      <w:pPr>
        <w:pStyle w:val="AERbodytext"/>
        <w:spacing w:after="0"/>
      </w:pPr>
      <w:r w:rsidRPr="00E0671E">
        <w:t>Tel: (03) 9290 1444</w:t>
      </w:r>
    </w:p>
    <w:p w:rsidR="00AA1DED" w:rsidRPr="00E0671E" w:rsidRDefault="00AA1DED" w:rsidP="00AA1DED">
      <w:pPr>
        <w:pStyle w:val="AERbodytext"/>
        <w:spacing w:after="0"/>
      </w:pPr>
      <w:r w:rsidRPr="00E0671E">
        <w:t>Fax: (03) 9290 1457</w:t>
      </w:r>
    </w:p>
    <w:p w:rsidR="00AA1DED" w:rsidRPr="00E0671E" w:rsidRDefault="00AA1DED" w:rsidP="00AA1DED">
      <w:pPr>
        <w:pStyle w:val="AERbodytext"/>
      </w:pPr>
      <w:r w:rsidRPr="00E0671E">
        <w:t xml:space="preserve">Email: </w:t>
      </w:r>
      <w:hyperlink r:id="rId16" w:history="1">
        <w:r w:rsidRPr="00E0671E">
          <w:rPr>
            <w:rStyle w:val="Hyperlink"/>
          </w:rPr>
          <w:t>AERInquiry@aer.gov.au</w:t>
        </w:r>
      </w:hyperlink>
    </w:p>
    <w:p w:rsidR="00AA1DED" w:rsidRPr="00E0671E" w:rsidRDefault="00AA1DED" w:rsidP="00AA1DED">
      <w:pPr>
        <w:pStyle w:val="AERbodytext"/>
        <w:rPr>
          <w:lang w:eastAsia="en-AU"/>
        </w:rPr>
      </w:pPr>
    </w:p>
    <w:p w:rsidR="009710F3" w:rsidRPr="0020321C" w:rsidRDefault="009710F3" w:rsidP="0020321C">
      <w:pPr>
        <w:pStyle w:val="AERbodytext"/>
        <w:jc w:val="left"/>
        <w:rPr>
          <w:rFonts w:cs="Gautami"/>
        </w:rPr>
      </w:pPr>
      <w:r w:rsidRPr="00E0671E">
        <w:t xml:space="preserve">AER reference:   </w:t>
      </w:r>
      <w:r w:rsidR="0031180C" w:rsidRPr="00E0671E">
        <w:t>5</w:t>
      </w:r>
      <w:r w:rsidR="00683D97">
        <w:t>2</w:t>
      </w:r>
      <w:r w:rsidR="0004398F">
        <w:t>621</w:t>
      </w:r>
      <w:r w:rsidR="007725E6" w:rsidRPr="00E0671E">
        <w:t>-</w:t>
      </w:r>
      <w:r w:rsidR="00E16A37" w:rsidRPr="00E16A37">
        <w:t>D1</w:t>
      </w:r>
      <w:r w:rsidR="0004398F">
        <w:t>4</w:t>
      </w:r>
      <w:r w:rsidR="00E16A37" w:rsidRPr="00E16A37">
        <w:t>/</w:t>
      </w:r>
      <w:r w:rsidR="0004398F">
        <w:t>6367</w:t>
      </w:r>
    </w:p>
    <w:p w:rsidR="000733BC" w:rsidRPr="00F6235D" w:rsidRDefault="000733BC" w:rsidP="004D044A">
      <w:pPr>
        <w:pStyle w:val="AERbodytext"/>
      </w:pPr>
    </w:p>
    <w:p w:rsidR="000733BC" w:rsidRPr="00F6235D" w:rsidRDefault="000733BC" w:rsidP="004D044A">
      <w:pPr>
        <w:pStyle w:val="TOC1"/>
      </w:pPr>
    </w:p>
    <w:p w:rsidR="000733BC" w:rsidRDefault="000733BC" w:rsidP="00E86435">
      <w:pPr>
        <w:pStyle w:val="AERbodytext"/>
      </w:pPr>
      <w:bookmarkStart w:id="7" w:name="_Toc317520245"/>
    </w:p>
    <w:p w:rsidR="00AC0EF2" w:rsidRDefault="000733BC" w:rsidP="00AC0EF2">
      <w:pPr>
        <w:pStyle w:val="UnnumberedHeading"/>
      </w:pPr>
      <w:bookmarkStart w:id="8" w:name="_Toc348356878"/>
      <w:bookmarkStart w:id="9" w:name="_Toc348436394"/>
      <w:bookmarkStart w:id="10" w:name="_Toc349127069"/>
      <w:bookmarkStart w:id="11" w:name="_Toc349571708"/>
      <w:bookmarkStart w:id="12" w:name="_Toc352776003"/>
      <w:bookmarkStart w:id="13" w:name="_Toc353291604"/>
      <w:bookmarkStart w:id="14" w:name="_Toc353448647"/>
      <w:bookmarkStart w:id="15" w:name="_Toc354138172"/>
      <w:bookmarkStart w:id="16" w:name="_Toc354149233"/>
      <w:bookmarkStart w:id="17" w:name="_Toc362268658"/>
      <w:bookmarkStart w:id="18" w:name="_Toc369252562"/>
      <w:bookmarkStart w:id="19" w:name="_Toc378763077"/>
      <w:bookmarkStart w:id="20" w:name="_Toc378763110"/>
      <w:bookmarkStart w:id="21" w:name="_Toc378930716"/>
      <w:bookmarkStart w:id="22" w:name="_Toc385507260"/>
      <w:r w:rsidRPr="00B011D7">
        <w:lastRenderedPageBreak/>
        <w:t>Contents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bookmarkStart w:id="23" w:name="_Toc337553424"/>
    <w:p w:rsidR="000E298C" w:rsidRDefault="00345E1B">
      <w:pPr>
        <w:pStyle w:val="TOC1"/>
        <w:rPr>
          <w:rFonts w:asciiTheme="minorHAnsi" w:eastAsiaTheme="minorEastAsia" w:hAnsiTheme="minorHAnsi" w:cstheme="minorBidi"/>
          <w:b w:val="0"/>
          <w:noProof/>
          <w:lang w:eastAsia="en-AU"/>
        </w:rPr>
      </w:pPr>
      <w:r>
        <w:fldChar w:fldCharType="begin"/>
      </w:r>
      <w:r w:rsidR="002C7158">
        <w:instrText xml:space="preserve"> TOC \h \z \t "AER heading 2,2,AER unnumbered heading,1,AER confidentialo appendix heading 1,1,Unnumbered Heading,1,QCR unnumbered unbold heading,2,QCR Heading 1,1" </w:instrText>
      </w:r>
      <w:r>
        <w:fldChar w:fldCharType="separate"/>
      </w:r>
      <w:hyperlink w:anchor="_Toc385507261" w:history="1">
        <w:r w:rsidR="000E298C" w:rsidRPr="0058155C">
          <w:rPr>
            <w:rStyle w:val="Hyperlink"/>
            <w:noProof/>
          </w:rPr>
          <w:t>Executive summary</w:t>
        </w:r>
        <w:r w:rsidR="000E298C">
          <w:rPr>
            <w:noProof/>
            <w:webHidden/>
          </w:rPr>
          <w:tab/>
        </w:r>
        <w:r w:rsidR="000E298C">
          <w:rPr>
            <w:noProof/>
            <w:webHidden/>
          </w:rPr>
          <w:fldChar w:fldCharType="begin"/>
        </w:r>
        <w:r w:rsidR="000E298C">
          <w:rPr>
            <w:noProof/>
            <w:webHidden/>
          </w:rPr>
          <w:instrText xml:space="preserve"> PAGEREF _Toc385507261 \h </w:instrText>
        </w:r>
        <w:r w:rsidR="000E298C">
          <w:rPr>
            <w:noProof/>
            <w:webHidden/>
          </w:rPr>
        </w:r>
        <w:r w:rsidR="000E298C">
          <w:rPr>
            <w:noProof/>
            <w:webHidden/>
          </w:rPr>
          <w:fldChar w:fldCharType="separate"/>
        </w:r>
        <w:r w:rsidR="0087471E">
          <w:rPr>
            <w:noProof/>
            <w:webHidden/>
          </w:rPr>
          <w:t>4</w:t>
        </w:r>
        <w:r w:rsidR="000E298C">
          <w:rPr>
            <w:noProof/>
            <w:webHidden/>
          </w:rPr>
          <w:fldChar w:fldCharType="end"/>
        </w:r>
      </w:hyperlink>
    </w:p>
    <w:p w:rsidR="000E298C" w:rsidRDefault="0087471E">
      <w:pPr>
        <w:pStyle w:val="TOC1"/>
        <w:rPr>
          <w:rFonts w:asciiTheme="minorHAnsi" w:eastAsiaTheme="minorEastAsia" w:hAnsiTheme="minorHAnsi" w:cstheme="minorBidi"/>
          <w:b w:val="0"/>
          <w:noProof/>
          <w:lang w:eastAsia="en-AU"/>
        </w:rPr>
      </w:pPr>
      <w:hyperlink w:anchor="_Toc385507262" w:history="1">
        <w:r w:rsidR="000E298C" w:rsidRPr="0058155C">
          <w:rPr>
            <w:rStyle w:val="Hyperlink"/>
            <w:noProof/>
          </w:rPr>
          <w:t>Background</w:t>
        </w:r>
        <w:r w:rsidR="000E298C">
          <w:rPr>
            <w:noProof/>
            <w:webHidden/>
          </w:rPr>
          <w:tab/>
        </w:r>
        <w:r w:rsidR="000E298C">
          <w:rPr>
            <w:noProof/>
            <w:webHidden/>
          </w:rPr>
          <w:fldChar w:fldCharType="begin"/>
        </w:r>
        <w:r w:rsidR="000E298C">
          <w:rPr>
            <w:noProof/>
            <w:webHidden/>
          </w:rPr>
          <w:instrText xml:space="preserve"> PAGEREF _Toc385507262 \h </w:instrText>
        </w:r>
        <w:r w:rsidR="000E298C">
          <w:rPr>
            <w:noProof/>
            <w:webHidden/>
          </w:rPr>
        </w:r>
        <w:r w:rsidR="000E298C">
          <w:rPr>
            <w:noProof/>
            <w:webHidden/>
          </w:rPr>
          <w:fldChar w:fldCharType="separate"/>
        </w:r>
        <w:r>
          <w:rPr>
            <w:noProof/>
            <w:webHidden/>
          </w:rPr>
          <w:t>6</w:t>
        </w:r>
        <w:r w:rsidR="000E298C">
          <w:rPr>
            <w:noProof/>
            <w:webHidden/>
          </w:rPr>
          <w:fldChar w:fldCharType="end"/>
        </w:r>
      </w:hyperlink>
    </w:p>
    <w:p w:rsidR="000E298C" w:rsidRDefault="0087471E">
      <w:pPr>
        <w:pStyle w:val="TOC1"/>
        <w:rPr>
          <w:rFonts w:asciiTheme="minorHAnsi" w:eastAsiaTheme="minorEastAsia" w:hAnsiTheme="minorHAnsi" w:cstheme="minorBidi"/>
          <w:b w:val="0"/>
          <w:noProof/>
          <w:lang w:eastAsia="en-AU"/>
        </w:rPr>
      </w:pPr>
      <w:hyperlink w:anchor="_Toc385507263" w:history="1">
        <w:r w:rsidR="000E298C" w:rsidRPr="0058155C">
          <w:rPr>
            <w:rStyle w:val="Hyperlink"/>
            <w:noProof/>
          </w:rPr>
          <w:t>1</w:t>
        </w:r>
        <w:r w:rsidR="000E298C">
          <w:rPr>
            <w:rFonts w:asciiTheme="minorHAnsi" w:eastAsiaTheme="minorEastAsia" w:hAnsiTheme="minorHAnsi" w:cstheme="minorBidi"/>
            <w:b w:val="0"/>
            <w:noProof/>
            <w:lang w:eastAsia="en-AU"/>
          </w:rPr>
          <w:tab/>
        </w:r>
        <w:r w:rsidR="000E298C" w:rsidRPr="0058155C">
          <w:rPr>
            <w:rStyle w:val="Hyperlink"/>
            <w:noProof/>
          </w:rPr>
          <w:t>Strategic compliance projects</w:t>
        </w:r>
        <w:r w:rsidR="000E298C">
          <w:rPr>
            <w:noProof/>
            <w:webHidden/>
          </w:rPr>
          <w:tab/>
        </w:r>
        <w:r w:rsidR="000E298C">
          <w:rPr>
            <w:noProof/>
            <w:webHidden/>
          </w:rPr>
          <w:fldChar w:fldCharType="begin"/>
        </w:r>
        <w:r w:rsidR="000E298C">
          <w:rPr>
            <w:noProof/>
            <w:webHidden/>
          </w:rPr>
          <w:instrText xml:space="preserve"> PAGEREF _Toc385507263 \h </w:instrText>
        </w:r>
        <w:r w:rsidR="000E298C">
          <w:rPr>
            <w:noProof/>
            <w:webHidden/>
          </w:rPr>
        </w:r>
        <w:r w:rsidR="000E298C">
          <w:rPr>
            <w:noProof/>
            <w:webHidden/>
          </w:rPr>
          <w:fldChar w:fldCharType="separate"/>
        </w:r>
        <w:r>
          <w:rPr>
            <w:noProof/>
            <w:webHidden/>
          </w:rPr>
          <w:t>7</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64" w:history="1">
        <w:r w:rsidR="000E298C" w:rsidRPr="0058155C">
          <w:rPr>
            <w:rStyle w:val="Hyperlink"/>
            <w:noProof/>
          </w:rPr>
          <w:t>1.1</w:t>
        </w:r>
        <w:r w:rsidR="000E298C">
          <w:rPr>
            <w:rFonts w:asciiTheme="minorHAnsi" w:eastAsiaTheme="minorEastAsia" w:hAnsiTheme="minorHAnsi" w:cstheme="minorBidi"/>
            <w:noProof/>
            <w:lang w:eastAsia="en-AU"/>
          </w:rPr>
          <w:tab/>
        </w:r>
        <w:r w:rsidR="000E298C" w:rsidRPr="0058155C">
          <w:rPr>
            <w:rStyle w:val="Hyperlink"/>
            <w:noProof/>
          </w:rPr>
          <w:t>MT PASA data accuracy</w:t>
        </w:r>
        <w:r w:rsidR="000E298C">
          <w:rPr>
            <w:noProof/>
            <w:webHidden/>
          </w:rPr>
          <w:tab/>
        </w:r>
        <w:r w:rsidR="000E298C">
          <w:rPr>
            <w:noProof/>
            <w:webHidden/>
          </w:rPr>
          <w:fldChar w:fldCharType="begin"/>
        </w:r>
        <w:r w:rsidR="000E298C">
          <w:rPr>
            <w:noProof/>
            <w:webHidden/>
          </w:rPr>
          <w:instrText xml:space="preserve"> PAGEREF _Toc385507264 \h </w:instrText>
        </w:r>
        <w:r w:rsidR="000E298C">
          <w:rPr>
            <w:noProof/>
            <w:webHidden/>
          </w:rPr>
        </w:r>
        <w:r w:rsidR="000E298C">
          <w:rPr>
            <w:noProof/>
            <w:webHidden/>
          </w:rPr>
          <w:fldChar w:fldCharType="separate"/>
        </w:r>
        <w:r>
          <w:rPr>
            <w:noProof/>
            <w:webHidden/>
          </w:rPr>
          <w:t>7</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65" w:history="1">
        <w:r w:rsidR="000E298C" w:rsidRPr="0058155C">
          <w:rPr>
            <w:rStyle w:val="Hyperlink"/>
            <w:noProof/>
          </w:rPr>
          <w:t>1.2</w:t>
        </w:r>
        <w:r w:rsidR="000E298C">
          <w:rPr>
            <w:rFonts w:asciiTheme="minorHAnsi" w:eastAsiaTheme="minorEastAsia" w:hAnsiTheme="minorHAnsi" w:cstheme="minorBidi"/>
            <w:noProof/>
            <w:lang w:eastAsia="en-AU"/>
          </w:rPr>
          <w:tab/>
        </w:r>
        <w:r w:rsidR="000E298C" w:rsidRPr="0058155C">
          <w:rPr>
            <w:rStyle w:val="Hyperlink"/>
            <w:noProof/>
          </w:rPr>
          <w:t>Electricity metering metrics</w:t>
        </w:r>
        <w:r w:rsidR="000E298C">
          <w:rPr>
            <w:noProof/>
            <w:webHidden/>
          </w:rPr>
          <w:tab/>
        </w:r>
        <w:r w:rsidR="000E298C">
          <w:rPr>
            <w:noProof/>
            <w:webHidden/>
          </w:rPr>
          <w:fldChar w:fldCharType="begin"/>
        </w:r>
        <w:r w:rsidR="000E298C">
          <w:rPr>
            <w:noProof/>
            <w:webHidden/>
          </w:rPr>
          <w:instrText xml:space="preserve"> PAGEREF _Toc385507265 \h </w:instrText>
        </w:r>
        <w:r w:rsidR="000E298C">
          <w:rPr>
            <w:noProof/>
            <w:webHidden/>
          </w:rPr>
        </w:r>
        <w:r w:rsidR="000E298C">
          <w:rPr>
            <w:noProof/>
            <w:webHidden/>
          </w:rPr>
          <w:fldChar w:fldCharType="separate"/>
        </w:r>
        <w:r>
          <w:rPr>
            <w:noProof/>
            <w:webHidden/>
          </w:rPr>
          <w:t>8</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66" w:history="1">
        <w:r w:rsidR="000E298C" w:rsidRPr="0058155C">
          <w:rPr>
            <w:rStyle w:val="Hyperlink"/>
            <w:noProof/>
          </w:rPr>
          <w:t>1.3</w:t>
        </w:r>
        <w:r w:rsidR="000E298C">
          <w:rPr>
            <w:rFonts w:asciiTheme="minorHAnsi" w:eastAsiaTheme="minorEastAsia" w:hAnsiTheme="minorHAnsi" w:cstheme="minorBidi"/>
            <w:noProof/>
            <w:lang w:eastAsia="en-AU"/>
          </w:rPr>
          <w:tab/>
        </w:r>
        <w:r w:rsidR="000E298C" w:rsidRPr="0058155C">
          <w:rPr>
            <w:rStyle w:val="Hyperlink"/>
            <w:noProof/>
          </w:rPr>
          <w:t>Performance of ancillary services for regulation</w:t>
        </w:r>
        <w:r w:rsidR="000E298C">
          <w:rPr>
            <w:noProof/>
            <w:webHidden/>
          </w:rPr>
          <w:tab/>
        </w:r>
        <w:r w:rsidR="000E298C">
          <w:rPr>
            <w:noProof/>
            <w:webHidden/>
          </w:rPr>
          <w:fldChar w:fldCharType="begin"/>
        </w:r>
        <w:r w:rsidR="000E298C">
          <w:rPr>
            <w:noProof/>
            <w:webHidden/>
          </w:rPr>
          <w:instrText xml:space="preserve"> PAGEREF _Toc385507266 \h </w:instrText>
        </w:r>
        <w:r w:rsidR="000E298C">
          <w:rPr>
            <w:noProof/>
            <w:webHidden/>
          </w:rPr>
        </w:r>
        <w:r w:rsidR="000E298C">
          <w:rPr>
            <w:noProof/>
            <w:webHidden/>
          </w:rPr>
          <w:fldChar w:fldCharType="separate"/>
        </w:r>
        <w:r>
          <w:rPr>
            <w:noProof/>
            <w:webHidden/>
          </w:rPr>
          <w:t>9</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67" w:history="1">
        <w:r w:rsidR="000E298C" w:rsidRPr="0058155C">
          <w:rPr>
            <w:rStyle w:val="Hyperlink"/>
            <w:noProof/>
          </w:rPr>
          <w:t>1.4</w:t>
        </w:r>
        <w:r w:rsidR="000E298C">
          <w:rPr>
            <w:rFonts w:asciiTheme="minorHAnsi" w:eastAsiaTheme="minorEastAsia" w:hAnsiTheme="minorHAnsi" w:cstheme="minorBidi"/>
            <w:noProof/>
            <w:lang w:eastAsia="en-AU"/>
          </w:rPr>
          <w:tab/>
        </w:r>
        <w:r w:rsidR="000E298C" w:rsidRPr="0058155C">
          <w:rPr>
            <w:rStyle w:val="Hyperlink"/>
            <w:noProof/>
          </w:rPr>
          <w:t>Trends in power system operating incident reports</w:t>
        </w:r>
        <w:r w:rsidR="000E298C">
          <w:rPr>
            <w:noProof/>
            <w:webHidden/>
          </w:rPr>
          <w:tab/>
        </w:r>
        <w:r w:rsidR="000E298C">
          <w:rPr>
            <w:noProof/>
            <w:webHidden/>
          </w:rPr>
          <w:fldChar w:fldCharType="begin"/>
        </w:r>
        <w:r w:rsidR="000E298C">
          <w:rPr>
            <w:noProof/>
            <w:webHidden/>
          </w:rPr>
          <w:instrText xml:space="preserve"> PAGEREF _Toc385507267 \h </w:instrText>
        </w:r>
        <w:r w:rsidR="000E298C">
          <w:rPr>
            <w:noProof/>
            <w:webHidden/>
          </w:rPr>
        </w:r>
        <w:r w:rsidR="000E298C">
          <w:rPr>
            <w:noProof/>
            <w:webHidden/>
          </w:rPr>
          <w:fldChar w:fldCharType="separate"/>
        </w:r>
        <w:r>
          <w:rPr>
            <w:noProof/>
            <w:webHidden/>
          </w:rPr>
          <w:t>12</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68" w:history="1">
        <w:r w:rsidR="000E298C" w:rsidRPr="0058155C">
          <w:rPr>
            <w:rStyle w:val="Hyperlink"/>
            <w:noProof/>
          </w:rPr>
          <w:t>1.5</w:t>
        </w:r>
        <w:r w:rsidR="000E298C">
          <w:rPr>
            <w:rFonts w:asciiTheme="minorHAnsi" w:eastAsiaTheme="minorEastAsia" w:hAnsiTheme="minorHAnsi" w:cstheme="minorBidi"/>
            <w:noProof/>
            <w:lang w:eastAsia="en-AU"/>
          </w:rPr>
          <w:tab/>
        </w:r>
        <w:r w:rsidR="000E298C" w:rsidRPr="0058155C">
          <w:rPr>
            <w:rStyle w:val="Hyperlink"/>
            <w:noProof/>
          </w:rPr>
          <w:t>STTM demand forecasting</w:t>
        </w:r>
        <w:r w:rsidR="000E298C">
          <w:rPr>
            <w:noProof/>
            <w:webHidden/>
          </w:rPr>
          <w:tab/>
        </w:r>
        <w:r w:rsidR="000E298C">
          <w:rPr>
            <w:noProof/>
            <w:webHidden/>
          </w:rPr>
          <w:fldChar w:fldCharType="begin"/>
        </w:r>
        <w:r w:rsidR="000E298C">
          <w:rPr>
            <w:noProof/>
            <w:webHidden/>
          </w:rPr>
          <w:instrText xml:space="preserve"> PAGEREF _Toc385507268 \h </w:instrText>
        </w:r>
        <w:r w:rsidR="000E298C">
          <w:rPr>
            <w:noProof/>
            <w:webHidden/>
          </w:rPr>
        </w:r>
        <w:r w:rsidR="000E298C">
          <w:rPr>
            <w:noProof/>
            <w:webHidden/>
          </w:rPr>
          <w:fldChar w:fldCharType="separate"/>
        </w:r>
        <w:r>
          <w:rPr>
            <w:noProof/>
            <w:webHidden/>
          </w:rPr>
          <w:t>13</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69" w:history="1">
        <w:r w:rsidR="000E298C" w:rsidRPr="0058155C">
          <w:rPr>
            <w:rStyle w:val="Hyperlink"/>
            <w:noProof/>
          </w:rPr>
          <w:t>1.6</w:t>
        </w:r>
        <w:r w:rsidR="000E298C">
          <w:rPr>
            <w:rFonts w:asciiTheme="minorHAnsi" w:eastAsiaTheme="minorEastAsia" w:hAnsiTheme="minorHAnsi" w:cstheme="minorBidi"/>
            <w:noProof/>
            <w:lang w:eastAsia="en-AU"/>
          </w:rPr>
          <w:tab/>
        </w:r>
        <w:r w:rsidR="000E298C" w:rsidRPr="0058155C">
          <w:rPr>
            <w:rStyle w:val="Hyperlink"/>
            <w:noProof/>
          </w:rPr>
          <w:t>Electricity transmission connections</w:t>
        </w:r>
        <w:r w:rsidR="000E298C">
          <w:rPr>
            <w:noProof/>
            <w:webHidden/>
          </w:rPr>
          <w:tab/>
        </w:r>
        <w:r w:rsidR="000E298C">
          <w:rPr>
            <w:noProof/>
            <w:webHidden/>
          </w:rPr>
          <w:fldChar w:fldCharType="begin"/>
        </w:r>
        <w:r w:rsidR="000E298C">
          <w:rPr>
            <w:noProof/>
            <w:webHidden/>
          </w:rPr>
          <w:instrText xml:space="preserve"> PAGEREF _Toc385507269 \h </w:instrText>
        </w:r>
        <w:r w:rsidR="000E298C">
          <w:rPr>
            <w:noProof/>
            <w:webHidden/>
          </w:rPr>
        </w:r>
        <w:r w:rsidR="000E298C">
          <w:rPr>
            <w:noProof/>
            <w:webHidden/>
          </w:rPr>
          <w:fldChar w:fldCharType="separate"/>
        </w:r>
        <w:r>
          <w:rPr>
            <w:noProof/>
            <w:webHidden/>
          </w:rPr>
          <w:t>17</w:t>
        </w:r>
        <w:r w:rsidR="000E298C">
          <w:rPr>
            <w:noProof/>
            <w:webHidden/>
          </w:rPr>
          <w:fldChar w:fldCharType="end"/>
        </w:r>
      </w:hyperlink>
    </w:p>
    <w:p w:rsidR="000E298C" w:rsidRDefault="0087471E">
      <w:pPr>
        <w:pStyle w:val="TOC1"/>
        <w:rPr>
          <w:rFonts w:asciiTheme="minorHAnsi" w:eastAsiaTheme="minorEastAsia" w:hAnsiTheme="minorHAnsi" w:cstheme="minorBidi"/>
          <w:b w:val="0"/>
          <w:noProof/>
          <w:lang w:eastAsia="en-AU"/>
        </w:rPr>
      </w:pPr>
      <w:hyperlink w:anchor="_Toc385507270" w:history="1">
        <w:r w:rsidR="000E298C" w:rsidRPr="0058155C">
          <w:rPr>
            <w:rStyle w:val="Hyperlink"/>
            <w:noProof/>
          </w:rPr>
          <w:t>2</w:t>
        </w:r>
        <w:r w:rsidR="000E298C">
          <w:rPr>
            <w:rFonts w:asciiTheme="minorHAnsi" w:eastAsiaTheme="minorEastAsia" w:hAnsiTheme="minorHAnsi" w:cstheme="minorBidi"/>
            <w:b w:val="0"/>
            <w:noProof/>
            <w:lang w:eastAsia="en-AU"/>
          </w:rPr>
          <w:tab/>
        </w:r>
        <w:r w:rsidR="000E298C" w:rsidRPr="0058155C">
          <w:rPr>
            <w:rStyle w:val="Hyperlink"/>
            <w:noProof/>
          </w:rPr>
          <w:t>Gas</w:t>
        </w:r>
        <w:r w:rsidR="000E298C">
          <w:rPr>
            <w:noProof/>
            <w:webHidden/>
          </w:rPr>
          <w:tab/>
        </w:r>
        <w:r w:rsidR="000E298C">
          <w:rPr>
            <w:noProof/>
            <w:webHidden/>
          </w:rPr>
          <w:fldChar w:fldCharType="begin"/>
        </w:r>
        <w:r w:rsidR="000E298C">
          <w:rPr>
            <w:noProof/>
            <w:webHidden/>
          </w:rPr>
          <w:instrText xml:space="preserve"> PAGEREF _Toc385507270 \h </w:instrText>
        </w:r>
        <w:r w:rsidR="000E298C">
          <w:rPr>
            <w:noProof/>
            <w:webHidden/>
          </w:rPr>
        </w:r>
        <w:r w:rsidR="000E298C">
          <w:rPr>
            <w:noProof/>
            <w:webHidden/>
          </w:rPr>
          <w:fldChar w:fldCharType="separate"/>
        </w:r>
        <w:r>
          <w:rPr>
            <w:noProof/>
            <w:webHidden/>
          </w:rPr>
          <w:t>18</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71" w:history="1">
        <w:r w:rsidR="000E298C" w:rsidRPr="000E298C">
          <w:rPr>
            <w:rStyle w:val="Hyperlink"/>
            <w:i/>
            <w:noProof/>
          </w:rPr>
          <w:t>Short Term Trading Market</w:t>
        </w:r>
        <w:r w:rsidR="000E298C">
          <w:rPr>
            <w:noProof/>
            <w:webHidden/>
          </w:rPr>
          <w:tab/>
        </w:r>
        <w:r w:rsidR="000E298C">
          <w:rPr>
            <w:noProof/>
            <w:webHidden/>
          </w:rPr>
          <w:fldChar w:fldCharType="begin"/>
        </w:r>
        <w:r w:rsidR="000E298C">
          <w:rPr>
            <w:noProof/>
            <w:webHidden/>
          </w:rPr>
          <w:instrText xml:space="preserve"> PAGEREF _Toc385507271 \h </w:instrText>
        </w:r>
        <w:r w:rsidR="000E298C">
          <w:rPr>
            <w:noProof/>
            <w:webHidden/>
          </w:rPr>
        </w:r>
        <w:r w:rsidR="000E298C">
          <w:rPr>
            <w:noProof/>
            <w:webHidden/>
          </w:rPr>
          <w:fldChar w:fldCharType="separate"/>
        </w:r>
        <w:r>
          <w:rPr>
            <w:noProof/>
            <w:webHidden/>
          </w:rPr>
          <w:t>18</w:t>
        </w:r>
        <w:r w:rsidR="000E298C">
          <w:rPr>
            <w:noProof/>
            <w:webHidden/>
          </w:rPr>
          <w:fldChar w:fldCharType="end"/>
        </w:r>
      </w:hyperlink>
    </w:p>
    <w:p w:rsidR="000E298C" w:rsidRPr="000E298C" w:rsidRDefault="000E298C">
      <w:pPr>
        <w:pStyle w:val="TOC2"/>
        <w:rPr>
          <w:rStyle w:val="Hyperlink"/>
          <w:noProof/>
          <w:color w:val="auto"/>
        </w:rPr>
      </w:pPr>
    </w:p>
    <w:p w:rsidR="000E298C" w:rsidRDefault="0087471E">
      <w:pPr>
        <w:pStyle w:val="TOC2"/>
        <w:rPr>
          <w:rFonts w:asciiTheme="minorHAnsi" w:eastAsiaTheme="minorEastAsia" w:hAnsiTheme="minorHAnsi" w:cstheme="minorBidi"/>
          <w:noProof/>
          <w:lang w:eastAsia="en-AU"/>
        </w:rPr>
      </w:pPr>
      <w:hyperlink w:anchor="_Toc385507272" w:history="1">
        <w:r w:rsidR="000E298C" w:rsidRPr="0058155C">
          <w:rPr>
            <w:rStyle w:val="Hyperlink"/>
            <w:noProof/>
          </w:rPr>
          <w:t>2.1</w:t>
        </w:r>
        <w:r w:rsidR="000E298C">
          <w:rPr>
            <w:rFonts w:asciiTheme="minorHAnsi" w:eastAsiaTheme="minorEastAsia" w:hAnsiTheme="minorHAnsi" w:cstheme="minorBidi"/>
            <w:noProof/>
            <w:lang w:eastAsia="en-AU"/>
          </w:rPr>
          <w:tab/>
        </w:r>
        <w:r w:rsidR="000E298C" w:rsidRPr="0058155C">
          <w:rPr>
            <w:rStyle w:val="Hyperlink"/>
            <w:noProof/>
          </w:rPr>
          <w:t>Capacity and allocation data quality</w:t>
        </w:r>
        <w:r w:rsidR="000E298C">
          <w:rPr>
            <w:noProof/>
            <w:webHidden/>
          </w:rPr>
          <w:tab/>
        </w:r>
        <w:r w:rsidR="000E298C">
          <w:rPr>
            <w:noProof/>
            <w:webHidden/>
          </w:rPr>
          <w:fldChar w:fldCharType="begin"/>
        </w:r>
        <w:r w:rsidR="000E298C">
          <w:rPr>
            <w:noProof/>
            <w:webHidden/>
          </w:rPr>
          <w:instrText xml:space="preserve"> PAGEREF _Toc385507272 \h </w:instrText>
        </w:r>
        <w:r w:rsidR="000E298C">
          <w:rPr>
            <w:noProof/>
            <w:webHidden/>
          </w:rPr>
        </w:r>
        <w:r w:rsidR="000E298C">
          <w:rPr>
            <w:noProof/>
            <w:webHidden/>
          </w:rPr>
          <w:fldChar w:fldCharType="separate"/>
        </w:r>
        <w:r>
          <w:rPr>
            <w:noProof/>
            <w:webHidden/>
          </w:rPr>
          <w:t>18</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73" w:history="1">
        <w:r w:rsidR="000E298C" w:rsidRPr="0058155C">
          <w:rPr>
            <w:rStyle w:val="Hyperlink"/>
            <w:noProof/>
          </w:rPr>
          <w:t>2.2</w:t>
        </w:r>
        <w:r w:rsidR="000E298C">
          <w:rPr>
            <w:rFonts w:asciiTheme="minorHAnsi" w:eastAsiaTheme="minorEastAsia" w:hAnsiTheme="minorHAnsi" w:cstheme="minorBidi"/>
            <w:noProof/>
            <w:lang w:eastAsia="en-AU"/>
          </w:rPr>
          <w:tab/>
        </w:r>
        <w:r w:rsidR="000E298C" w:rsidRPr="0058155C">
          <w:rPr>
            <w:rStyle w:val="Hyperlink"/>
            <w:noProof/>
          </w:rPr>
          <w:t>Epic Energy—incorrect, missing and late STTM data</w:t>
        </w:r>
        <w:r w:rsidR="000E298C">
          <w:rPr>
            <w:noProof/>
            <w:webHidden/>
          </w:rPr>
          <w:tab/>
        </w:r>
        <w:r w:rsidR="000E298C">
          <w:rPr>
            <w:noProof/>
            <w:webHidden/>
          </w:rPr>
          <w:fldChar w:fldCharType="begin"/>
        </w:r>
        <w:r w:rsidR="000E298C">
          <w:rPr>
            <w:noProof/>
            <w:webHidden/>
          </w:rPr>
          <w:instrText xml:space="preserve"> PAGEREF _Toc385507273 \h </w:instrText>
        </w:r>
        <w:r w:rsidR="000E298C">
          <w:rPr>
            <w:noProof/>
            <w:webHidden/>
          </w:rPr>
        </w:r>
        <w:r w:rsidR="000E298C">
          <w:rPr>
            <w:noProof/>
            <w:webHidden/>
          </w:rPr>
          <w:fldChar w:fldCharType="separate"/>
        </w:r>
        <w:r>
          <w:rPr>
            <w:noProof/>
            <w:webHidden/>
          </w:rPr>
          <w:t>18</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74" w:history="1">
        <w:r w:rsidR="000E298C" w:rsidRPr="0058155C">
          <w:rPr>
            <w:rStyle w:val="Hyperlink"/>
            <w:noProof/>
          </w:rPr>
          <w:t>2.3</w:t>
        </w:r>
        <w:r w:rsidR="000E298C">
          <w:rPr>
            <w:rFonts w:asciiTheme="minorHAnsi" w:eastAsiaTheme="minorEastAsia" w:hAnsiTheme="minorHAnsi" w:cstheme="minorBidi"/>
            <w:noProof/>
            <w:lang w:eastAsia="en-AU"/>
          </w:rPr>
          <w:tab/>
        </w:r>
        <w:r w:rsidR="000E298C" w:rsidRPr="0058155C">
          <w:rPr>
            <w:rStyle w:val="Hyperlink"/>
            <w:noProof/>
          </w:rPr>
          <w:t>Jemena EGP—late capacity data</w:t>
        </w:r>
        <w:r w:rsidR="000E298C">
          <w:rPr>
            <w:noProof/>
            <w:webHidden/>
          </w:rPr>
          <w:tab/>
        </w:r>
        <w:r w:rsidR="000E298C">
          <w:rPr>
            <w:noProof/>
            <w:webHidden/>
          </w:rPr>
          <w:fldChar w:fldCharType="begin"/>
        </w:r>
        <w:r w:rsidR="000E298C">
          <w:rPr>
            <w:noProof/>
            <w:webHidden/>
          </w:rPr>
          <w:instrText xml:space="preserve"> PAGEREF _Toc385507274 \h </w:instrText>
        </w:r>
        <w:r w:rsidR="000E298C">
          <w:rPr>
            <w:noProof/>
            <w:webHidden/>
          </w:rPr>
        </w:r>
        <w:r w:rsidR="000E298C">
          <w:rPr>
            <w:noProof/>
            <w:webHidden/>
          </w:rPr>
          <w:fldChar w:fldCharType="separate"/>
        </w:r>
        <w:r>
          <w:rPr>
            <w:noProof/>
            <w:webHidden/>
          </w:rPr>
          <w:t>20</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75" w:history="1">
        <w:r w:rsidR="000E298C" w:rsidRPr="0058155C">
          <w:rPr>
            <w:rStyle w:val="Hyperlink"/>
            <w:noProof/>
          </w:rPr>
          <w:t>2.4</w:t>
        </w:r>
        <w:r w:rsidR="000E298C">
          <w:rPr>
            <w:rFonts w:asciiTheme="minorHAnsi" w:eastAsiaTheme="minorEastAsia" w:hAnsiTheme="minorHAnsi" w:cstheme="minorBidi"/>
            <w:noProof/>
            <w:lang w:eastAsia="en-AU"/>
          </w:rPr>
          <w:tab/>
        </w:r>
        <w:r w:rsidR="000E298C" w:rsidRPr="0058155C">
          <w:rPr>
            <w:rStyle w:val="Hyperlink"/>
            <w:noProof/>
          </w:rPr>
          <w:t>AGL—incorrect capacity data</w:t>
        </w:r>
        <w:r w:rsidR="000E298C">
          <w:rPr>
            <w:noProof/>
            <w:webHidden/>
          </w:rPr>
          <w:tab/>
        </w:r>
        <w:r w:rsidR="000E298C">
          <w:rPr>
            <w:noProof/>
            <w:webHidden/>
          </w:rPr>
          <w:fldChar w:fldCharType="begin"/>
        </w:r>
        <w:r w:rsidR="000E298C">
          <w:rPr>
            <w:noProof/>
            <w:webHidden/>
          </w:rPr>
          <w:instrText xml:space="preserve"> PAGEREF _Toc385507275 \h </w:instrText>
        </w:r>
        <w:r w:rsidR="000E298C">
          <w:rPr>
            <w:noProof/>
            <w:webHidden/>
          </w:rPr>
        </w:r>
        <w:r w:rsidR="000E298C">
          <w:rPr>
            <w:noProof/>
            <w:webHidden/>
          </w:rPr>
          <w:fldChar w:fldCharType="separate"/>
        </w:r>
        <w:r>
          <w:rPr>
            <w:noProof/>
            <w:webHidden/>
          </w:rPr>
          <w:t>20</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76" w:history="1">
        <w:r w:rsidR="000E298C" w:rsidRPr="0058155C">
          <w:rPr>
            <w:rStyle w:val="Hyperlink"/>
            <w:noProof/>
          </w:rPr>
          <w:t>2.5</w:t>
        </w:r>
        <w:r w:rsidR="000E298C">
          <w:rPr>
            <w:rFonts w:asciiTheme="minorHAnsi" w:eastAsiaTheme="minorEastAsia" w:hAnsiTheme="minorHAnsi" w:cstheme="minorBidi"/>
            <w:noProof/>
            <w:lang w:eastAsia="en-AU"/>
          </w:rPr>
          <w:tab/>
        </w:r>
        <w:r w:rsidR="000E298C" w:rsidRPr="0058155C">
          <w:rPr>
            <w:rStyle w:val="Hyperlink"/>
            <w:noProof/>
          </w:rPr>
          <w:t>APA Group—late capacity data</w:t>
        </w:r>
        <w:r w:rsidR="000E298C">
          <w:rPr>
            <w:noProof/>
            <w:webHidden/>
          </w:rPr>
          <w:tab/>
        </w:r>
        <w:r w:rsidR="000E298C">
          <w:rPr>
            <w:noProof/>
            <w:webHidden/>
          </w:rPr>
          <w:fldChar w:fldCharType="begin"/>
        </w:r>
        <w:r w:rsidR="000E298C">
          <w:rPr>
            <w:noProof/>
            <w:webHidden/>
          </w:rPr>
          <w:instrText xml:space="preserve"> PAGEREF _Toc385507276 \h </w:instrText>
        </w:r>
        <w:r w:rsidR="000E298C">
          <w:rPr>
            <w:noProof/>
            <w:webHidden/>
          </w:rPr>
        </w:r>
        <w:r w:rsidR="000E298C">
          <w:rPr>
            <w:noProof/>
            <w:webHidden/>
          </w:rPr>
          <w:fldChar w:fldCharType="separate"/>
        </w:r>
        <w:r>
          <w:rPr>
            <w:noProof/>
            <w:webHidden/>
          </w:rPr>
          <w:t>20</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77" w:history="1">
        <w:r w:rsidR="000E298C" w:rsidRPr="0058155C">
          <w:rPr>
            <w:rStyle w:val="Hyperlink"/>
            <w:noProof/>
          </w:rPr>
          <w:t>2.6</w:t>
        </w:r>
        <w:r w:rsidR="000E298C">
          <w:rPr>
            <w:rFonts w:asciiTheme="minorHAnsi" w:eastAsiaTheme="minorEastAsia" w:hAnsiTheme="minorHAnsi" w:cstheme="minorBidi"/>
            <w:noProof/>
            <w:lang w:eastAsia="en-AU"/>
          </w:rPr>
          <w:tab/>
        </w:r>
        <w:r w:rsidR="000E298C" w:rsidRPr="0058155C">
          <w:rPr>
            <w:rStyle w:val="Hyperlink"/>
            <w:noProof/>
          </w:rPr>
          <w:t>Incitec Pivot—late capacity data</w:t>
        </w:r>
        <w:r w:rsidR="000E298C">
          <w:rPr>
            <w:noProof/>
            <w:webHidden/>
          </w:rPr>
          <w:tab/>
        </w:r>
        <w:r w:rsidR="000E298C">
          <w:rPr>
            <w:noProof/>
            <w:webHidden/>
          </w:rPr>
          <w:fldChar w:fldCharType="begin"/>
        </w:r>
        <w:r w:rsidR="000E298C">
          <w:rPr>
            <w:noProof/>
            <w:webHidden/>
          </w:rPr>
          <w:instrText xml:space="preserve"> PAGEREF _Toc385507277 \h </w:instrText>
        </w:r>
        <w:r w:rsidR="000E298C">
          <w:rPr>
            <w:noProof/>
            <w:webHidden/>
          </w:rPr>
        </w:r>
        <w:r w:rsidR="000E298C">
          <w:rPr>
            <w:noProof/>
            <w:webHidden/>
          </w:rPr>
          <w:fldChar w:fldCharType="separate"/>
        </w:r>
        <w:r>
          <w:rPr>
            <w:noProof/>
            <w:webHidden/>
          </w:rPr>
          <w:t>21</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78" w:history="1">
        <w:r w:rsidR="000E298C" w:rsidRPr="0058155C">
          <w:rPr>
            <w:rStyle w:val="Hyperlink"/>
            <w:noProof/>
          </w:rPr>
          <w:t>2.7</w:t>
        </w:r>
        <w:r w:rsidR="000E298C">
          <w:rPr>
            <w:rFonts w:asciiTheme="minorHAnsi" w:eastAsiaTheme="minorEastAsia" w:hAnsiTheme="minorHAnsi" w:cstheme="minorBidi"/>
            <w:noProof/>
            <w:lang w:eastAsia="en-AU"/>
          </w:rPr>
          <w:tab/>
        </w:r>
        <w:r w:rsidR="000E298C" w:rsidRPr="0058155C">
          <w:rPr>
            <w:rStyle w:val="Hyperlink"/>
            <w:noProof/>
          </w:rPr>
          <w:t>Facility operator audits</w:t>
        </w:r>
        <w:r w:rsidR="000E298C">
          <w:rPr>
            <w:noProof/>
            <w:webHidden/>
          </w:rPr>
          <w:tab/>
        </w:r>
        <w:r w:rsidR="000E298C">
          <w:rPr>
            <w:noProof/>
            <w:webHidden/>
          </w:rPr>
          <w:fldChar w:fldCharType="begin"/>
        </w:r>
        <w:r w:rsidR="000E298C">
          <w:rPr>
            <w:noProof/>
            <w:webHidden/>
          </w:rPr>
          <w:instrText xml:space="preserve"> PAGEREF _Toc385507278 \h </w:instrText>
        </w:r>
        <w:r w:rsidR="000E298C">
          <w:rPr>
            <w:noProof/>
            <w:webHidden/>
          </w:rPr>
        </w:r>
        <w:r w:rsidR="000E298C">
          <w:rPr>
            <w:noProof/>
            <w:webHidden/>
          </w:rPr>
          <w:fldChar w:fldCharType="separate"/>
        </w:r>
        <w:r>
          <w:rPr>
            <w:noProof/>
            <w:webHidden/>
          </w:rPr>
          <w:t>21</w:t>
        </w:r>
        <w:r w:rsidR="000E298C">
          <w:rPr>
            <w:noProof/>
            <w:webHidden/>
          </w:rPr>
          <w:fldChar w:fldCharType="end"/>
        </w:r>
      </w:hyperlink>
    </w:p>
    <w:p w:rsidR="000E298C" w:rsidRPr="000E298C" w:rsidRDefault="000E298C">
      <w:pPr>
        <w:pStyle w:val="TOC2"/>
        <w:rPr>
          <w:rStyle w:val="Hyperlink"/>
          <w:noProof/>
          <w:color w:val="auto"/>
        </w:rPr>
      </w:pPr>
    </w:p>
    <w:p w:rsidR="000E298C" w:rsidRDefault="0087471E">
      <w:pPr>
        <w:pStyle w:val="TOC2"/>
        <w:rPr>
          <w:rFonts w:asciiTheme="minorHAnsi" w:eastAsiaTheme="minorEastAsia" w:hAnsiTheme="minorHAnsi" w:cstheme="minorBidi"/>
          <w:noProof/>
          <w:lang w:eastAsia="en-AU"/>
        </w:rPr>
      </w:pPr>
      <w:hyperlink w:anchor="_Toc385507279" w:history="1">
        <w:r w:rsidR="000E298C" w:rsidRPr="000E298C">
          <w:rPr>
            <w:rStyle w:val="Hyperlink"/>
            <w:i/>
            <w:noProof/>
          </w:rPr>
          <w:t>Bulletin Board</w:t>
        </w:r>
        <w:r w:rsidR="000E298C">
          <w:rPr>
            <w:noProof/>
            <w:webHidden/>
          </w:rPr>
          <w:tab/>
        </w:r>
        <w:r w:rsidR="000E298C">
          <w:rPr>
            <w:noProof/>
            <w:webHidden/>
          </w:rPr>
          <w:fldChar w:fldCharType="begin"/>
        </w:r>
        <w:r w:rsidR="000E298C">
          <w:rPr>
            <w:noProof/>
            <w:webHidden/>
          </w:rPr>
          <w:instrText xml:space="preserve"> PAGEREF _Toc385507279 \h </w:instrText>
        </w:r>
        <w:r w:rsidR="000E298C">
          <w:rPr>
            <w:noProof/>
            <w:webHidden/>
          </w:rPr>
        </w:r>
        <w:r w:rsidR="000E298C">
          <w:rPr>
            <w:noProof/>
            <w:webHidden/>
          </w:rPr>
          <w:fldChar w:fldCharType="separate"/>
        </w:r>
        <w:r>
          <w:rPr>
            <w:noProof/>
            <w:webHidden/>
          </w:rPr>
          <w:t>22</w:t>
        </w:r>
        <w:r w:rsidR="000E298C">
          <w:rPr>
            <w:noProof/>
            <w:webHidden/>
          </w:rPr>
          <w:fldChar w:fldCharType="end"/>
        </w:r>
      </w:hyperlink>
    </w:p>
    <w:p w:rsidR="000E298C" w:rsidRDefault="0087471E">
      <w:pPr>
        <w:pStyle w:val="TOC1"/>
        <w:rPr>
          <w:rFonts w:asciiTheme="minorHAnsi" w:eastAsiaTheme="minorEastAsia" w:hAnsiTheme="minorHAnsi" w:cstheme="minorBidi"/>
          <w:b w:val="0"/>
          <w:noProof/>
          <w:lang w:eastAsia="en-AU"/>
        </w:rPr>
      </w:pPr>
      <w:hyperlink w:anchor="_Toc385507280" w:history="1">
        <w:r w:rsidR="000E298C" w:rsidRPr="0058155C">
          <w:rPr>
            <w:rStyle w:val="Hyperlink"/>
            <w:noProof/>
          </w:rPr>
          <w:t>3</w:t>
        </w:r>
        <w:r w:rsidR="000E298C">
          <w:rPr>
            <w:rFonts w:asciiTheme="minorHAnsi" w:eastAsiaTheme="minorEastAsia" w:hAnsiTheme="minorHAnsi" w:cstheme="minorBidi"/>
            <w:b w:val="0"/>
            <w:noProof/>
            <w:lang w:eastAsia="en-AU"/>
          </w:rPr>
          <w:tab/>
        </w:r>
        <w:r w:rsidR="000E298C" w:rsidRPr="0058155C">
          <w:rPr>
            <w:rStyle w:val="Hyperlink"/>
            <w:noProof/>
          </w:rPr>
          <w:t>Electricity</w:t>
        </w:r>
        <w:r w:rsidR="000E298C">
          <w:rPr>
            <w:noProof/>
            <w:webHidden/>
          </w:rPr>
          <w:tab/>
        </w:r>
        <w:r w:rsidR="000E298C">
          <w:rPr>
            <w:noProof/>
            <w:webHidden/>
          </w:rPr>
          <w:fldChar w:fldCharType="begin"/>
        </w:r>
        <w:r w:rsidR="000E298C">
          <w:rPr>
            <w:noProof/>
            <w:webHidden/>
          </w:rPr>
          <w:instrText xml:space="preserve"> PAGEREF _Toc385507280 \h </w:instrText>
        </w:r>
        <w:r w:rsidR="000E298C">
          <w:rPr>
            <w:noProof/>
            <w:webHidden/>
          </w:rPr>
        </w:r>
        <w:r w:rsidR="000E298C">
          <w:rPr>
            <w:noProof/>
            <w:webHidden/>
          </w:rPr>
          <w:fldChar w:fldCharType="separate"/>
        </w:r>
        <w:r>
          <w:rPr>
            <w:noProof/>
            <w:webHidden/>
          </w:rPr>
          <w:t>23</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81" w:history="1">
        <w:r w:rsidR="000E298C" w:rsidRPr="0058155C">
          <w:rPr>
            <w:rStyle w:val="Hyperlink"/>
            <w:noProof/>
          </w:rPr>
          <w:t>3.1</w:t>
        </w:r>
        <w:r w:rsidR="000E298C">
          <w:rPr>
            <w:rFonts w:asciiTheme="minorHAnsi" w:eastAsiaTheme="minorEastAsia" w:hAnsiTheme="minorHAnsi" w:cstheme="minorBidi"/>
            <w:noProof/>
            <w:lang w:eastAsia="en-AU"/>
          </w:rPr>
          <w:tab/>
        </w:r>
        <w:r w:rsidR="000E298C" w:rsidRPr="0058155C">
          <w:rPr>
            <w:rStyle w:val="Hyperlink"/>
            <w:noProof/>
          </w:rPr>
          <w:t>Rebidding</w:t>
        </w:r>
        <w:r w:rsidR="000E298C">
          <w:rPr>
            <w:noProof/>
            <w:webHidden/>
          </w:rPr>
          <w:tab/>
        </w:r>
        <w:r w:rsidR="000E298C">
          <w:rPr>
            <w:noProof/>
            <w:webHidden/>
          </w:rPr>
          <w:fldChar w:fldCharType="begin"/>
        </w:r>
        <w:r w:rsidR="000E298C">
          <w:rPr>
            <w:noProof/>
            <w:webHidden/>
          </w:rPr>
          <w:instrText xml:space="preserve"> PAGEREF _Toc385507281 \h </w:instrText>
        </w:r>
        <w:r w:rsidR="000E298C">
          <w:rPr>
            <w:noProof/>
            <w:webHidden/>
          </w:rPr>
        </w:r>
        <w:r w:rsidR="000E298C">
          <w:rPr>
            <w:noProof/>
            <w:webHidden/>
          </w:rPr>
          <w:fldChar w:fldCharType="separate"/>
        </w:r>
        <w:r>
          <w:rPr>
            <w:noProof/>
            <w:webHidden/>
          </w:rPr>
          <w:t>23</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82" w:history="1">
        <w:r w:rsidR="000E298C" w:rsidRPr="0058155C">
          <w:rPr>
            <w:rStyle w:val="Hyperlink"/>
            <w:noProof/>
          </w:rPr>
          <w:t>3.2</w:t>
        </w:r>
        <w:r w:rsidR="000E298C">
          <w:rPr>
            <w:rFonts w:asciiTheme="minorHAnsi" w:eastAsiaTheme="minorEastAsia" w:hAnsiTheme="minorHAnsi" w:cstheme="minorBidi"/>
            <w:noProof/>
            <w:lang w:eastAsia="en-AU"/>
          </w:rPr>
          <w:tab/>
        </w:r>
        <w:r w:rsidR="000E298C" w:rsidRPr="0058155C">
          <w:rPr>
            <w:rStyle w:val="Hyperlink"/>
            <w:noProof/>
          </w:rPr>
          <w:t>Hydro Tasmania—MT PASA data</w:t>
        </w:r>
        <w:r w:rsidR="000E298C">
          <w:rPr>
            <w:noProof/>
            <w:webHidden/>
          </w:rPr>
          <w:tab/>
        </w:r>
        <w:r w:rsidR="000E298C">
          <w:rPr>
            <w:noProof/>
            <w:webHidden/>
          </w:rPr>
          <w:fldChar w:fldCharType="begin"/>
        </w:r>
        <w:r w:rsidR="000E298C">
          <w:rPr>
            <w:noProof/>
            <w:webHidden/>
          </w:rPr>
          <w:instrText xml:space="preserve"> PAGEREF _Toc385507282 \h </w:instrText>
        </w:r>
        <w:r w:rsidR="000E298C">
          <w:rPr>
            <w:noProof/>
            <w:webHidden/>
          </w:rPr>
        </w:r>
        <w:r w:rsidR="000E298C">
          <w:rPr>
            <w:noProof/>
            <w:webHidden/>
          </w:rPr>
          <w:fldChar w:fldCharType="separate"/>
        </w:r>
        <w:r>
          <w:rPr>
            <w:noProof/>
            <w:webHidden/>
          </w:rPr>
          <w:t>24</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83" w:history="1">
        <w:r w:rsidR="000E298C" w:rsidRPr="0058155C">
          <w:rPr>
            <w:rStyle w:val="Hyperlink"/>
            <w:noProof/>
          </w:rPr>
          <w:t>3.3</w:t>
        </w:r>
        <w:r w:rsidR="000E298C">
          <w:rPr>
            <w:rFonts w:asciiTheme="minorHAnsi" w:eastAsiaTheme="minorEastAsia" w:hAnsiTheme="minorHAnsi" w:cstheme="minorBidi"/>
            <w:noProof/>
            <w:lang w:eastAsia="en-AU"/>
          </w:rPr>
          <w:tab/>
        </w:r>
        <w:r w:rsidR="000E298C" w:rsidRPr="0058155C">
          <w:rPr>
            <w:rStyle w:val="Hyperlink"/>
            <w:noProof/>
          </w:rPr>
          <w:t>Metering compliance issues</w:t>
        </w:r>
        <w:r w:rsidR="000E298C">
          <w:rPr>
            <w:noProof/>
            <w:webHidden/>
          </w:rPr>
          <w:tab/>
        </w:r>
        <w:r w:rsidR="000E298C">
          <w:rPr>
            <w:noProof/>
            <w:webHidden/>
          </w:rPr>
          <w:fldChar w:fldCharType="begin"/>
        </w:r>
        <w:r w:rsidR="000E298C">
          <w:rPr>
            <w:noProof/>
            <w:webHidden/>
          </w:rPr>
          <w:instrText xml:space="preserve"> PAGEREF _Toc385507283 \h </w:instrText>
        </w:r>
        <w:r w:rsidR="000E298C">
          <w:rPr>
            <w:noProof/>
            <w:webHidden/>
          </w:rPr>
        </w:r>
        <w:r w:rsidR="000E298C">
          <w:rPr>
            <w:noProof/>
            <w:webHidden/>
          </w:rPr>
          <w:fldChar w:fldCharType="separate"/>
        </w:r>
        <w:r>
          <w:rPr>
            <w:noProof/>
            <w:webHidden/>
          </w:rPr>
          <w:t>24</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84" w:history="1">
        <w:r w:rsidR="000E298C" w:rsidRPr="0058155C">
          <w:rPr>
            <w:rStyle w:val="Hyperlink"/>
            <w:noProof/>
          </w:rPr>
          <w:t>3.4</w:t>
        </w:r>
        <w:r w:rsidR="000E298C">
          <w:rPr>
            <w:rFonts w:asciiTheme="minorHAnsi" w:eastAsiaTheme="minorEastAsia" w:hAnsiTheme="minorHAnsi" w:cstheme="minorBidi"/>
            <w:noProof/>
            <w:lang w:eastAsia="en-AU"/>
          </w:rPr>
          <w:tab/>
        </w:r>
        <w:r w:rsidR="000E298C" w:rsidRPr="0058155C">
          <w:rPr>
            <w:rStyle w:val="Hyperlink"/>
            <w:noProof/>
          </w:rPr>
          <w:t>Technical audits</w:t>
        </w:r>
        <w:r w:rsidR="000E298C">
          <w:rPr>
            <w:noProof/>
            <w:webHidden/>
          </w:rPr>
          <w:tab/>
        </w:r>
        <w:r w:rsidR="000E298C">
          <w:rPr>
            <w:noProof/>
            <w:webHidden/>
          </w:rPr>
          <w:fldChar w:fldCharType="begin"/>
        </w:r>
        <w:r w:rsidR="000E298C">
          <w:rPr>
            <w:noProof/>
            <w:webHidden/>
          </w:rPr>
          <w:instrText xml:space="preserve"> PAGEREF _Toc385507284 \h </w:instrText>
        </w:r>
        <w:r w:rsidR="000E298C">
          <w:rPr>
            <w:noProof/>
            <w:webHidden/>
          </w:rPr>
        </w:r>
        <w:r w:rsidR="000E298C">
          <w:rPr>
            <w:noProof/>
            <w:webHidden/>
          </w:rPr>
          <w:fldChar w:fldCharType="separate"/>
        </w:r>
        <w:r>
          <w:rPr>
            <w:noProof/>
            <w:webHidden/>
          </w:rPr>
          <w:t>25</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85" w:history="1">
        <w:r w:rsidR="000E298C" w:rsidRPr="0058155C">
          <w:rPr>
            <w:rStyle w:val="Hyperlink"/>
            <w:noProof/>
          </w:rPr>
          <w:t>3.5</w:t>
        </w:r>
        <w:r w:rsidR="000E298C">
          <w:rPr>
            <w:rFonts w:asciiTheme="minorHAnsi" w:eastAsiaTheme="minorEastAsia" w:hAnsiTheme="minorHAnsi" w:cstheme="minorBidi"/>
            <w:noProof/>
            <w:lang w:eastAsia="en-AU"/>
          </w:rPr>
          <w:tab/>
        </w:r>
        <w:r w:rsidR="000E298C" w:rsidRPr="0058155C">
          <w:rPr>
            <w:rStyle w:val="Hyperlink"/>
            <w:noProof/>
          </w:rPr>
          <w:t>Targeted compliance review</w:t>
        </w:r>
        <w:r w:rsidR="000E298C">
          <w:rPr>
            <w:noProof/>
            <w:webHidden/>
          </w:rPr>
          <w:tab/>
        </w:r>
        <w:r w:rsidR="000E298C">
          <w:rPr>
            <w:noProof/>
            <w:webHidden/>
          </w:rPr>
          <w:fldChar w:fldCharType="begin"/>
        </w:r>
        <w:r w:rsidR="000E298C">
          <w:rPr>
            <w:noProof/>
            <w:webHidden/>
          </w:rPr>
          <w:instrText xml:space="preserve"> PAGEREF _Toc385507285 \h </w:instrText>
        </w:r>
        <w:r w:rsidR="000E298C">
          <w:rPr>
            <w:noProof/>
            <w:webHidden/>
          </w:rPr>
        </w:r>
        <w:r w:rsidR="000E298C">
          <w:rPr>
            <w:noProof/>
            <w:webHidden/>
          </w:rPr>
          <w:fldChar w:fldCharType="separate"/>
        </w:r>
        <w:r>
          <w:rPr>
            <w:noProof/>
            <w:webHidden/>
          </w:rPr>
          <w:t>26</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86" w:history="1">
        <w:r w:rsidR="000E298C" w:rsidRPr="0058155C">
          <w:rPr>
            <w:rStyle w:val="Hyperlink"/>
            <w:noProof/>
          </w:rPr>
          <w:t>3.6</w:t>
        </w:r>
        <w:r w:rsidR="000E298C">
          <w:rPr>
            <w:rFonts w:asciiTheme="minorHAnsi" w:eastAsiaTheme="minorEastAsia" w:hAnsiTheme="minorHAnsi" w:cstheme="minorBidi"/>
            <w:noProof/>
            <w:lang w:eastAsia="en-AU"/>
          </w:rPr>
          <w:tab/>
        </w:r>
        <w:r w:rsidR="000E298C" w:rsidRPr="0058155C">
          <w:rPr>
            <w:rStyle w:val="Hyperlink"/>
            <w:noProof/>
          </w:rPr>
          <w:t>Network compliance projects</w:t>
        </w:r>
        <w:r w:rsidR="000E298C">
          <w:rPr>
            <w:noProof/>
            <w:webHidden/>
          </w:rPr>
          <w:tab/>
        </w:r>
        <w:r w:rsidR="000E298C">
          <w:rPr>
            <w:noProof/>
            <w:webHidden/>
          </w:rPr>
          <w:fldChar w:fldCharType="begin"/>
        </w:r>
        <w:r w:rsidR="000E298C">
          <w:rPr>
            <w:noProof/>
            <w:webHidden/>
          </w:rPr>
          <w:instrText xml:space="preserve"> PAGEREF _Toc385507286 \h </w:instrText>
        </w:r>
        <w:r w:rsidR="000E298C">
          <w:rPr>
            <w:noProof/>
            <w:webHidden/>
          </w:rPr>
        </w:r>
        <w:r w:rsidR="000E298C">
          <w:rPr>
            <w:noProof/>
            <w:webHidden/>
          </w:rPr>
          <w:fldChar w:fldCharType="separate"/>
        </w:r>
        <w:r>
          <w:rPr>
            <w:noProof/>
            <w:webHidden/>
          </w:rPr>
          <w:t>27</w:t>
        </w:r>
        <w:r w:rsidR="000E298C">
          <w:rPr>
            <w:noProof/>
            <w:webHidden/>
          </w:rPr>
          <w:fldChar w:fldCharType="end"/>
        </w:r>
      </w:hyperlink>
    </w:p>
    <w:p w:rsidR="000E298C" w:rsidRDefault="0087471E">
      <w:pPr>
        <w:pStyle w:val="TOC2"/>
        <w:rPr>
          <w:rFonts w:asciiTheme="minorHAnsi" w:eastAsiaTheme="minorEastAsia" w:hAnsiTheme="minorHAnsi" w:cstheme="minorBidi"/>
          <w:noProof/>
          <w:lang w:eastAsia="en-AU"/>
        </w:rPr>
      </w:pPr>
      <w:hyperlink w:anchor="_Toc385507287" w:history="1">
        <w:r w:rsidR="000E298C" w:rsidRPr="0058155C">
          <w:rPr>
            <w:rStyle w:val="Hyperlink"/>
            <w:noProof/>
          </w:rPr>
          <w:t>3.7</w:t>
        </w:r>
        <w:r w:rsidR="000E298C">
          <w:rPr>
            <w:rFonts w:asciiTheme="minorHAnsi" w:eastAsiaTheme="minorEastAsia" w:hAnsiTheme="minorHAnsi" w:cstheme="minorBidi"/>
            <w:noProof/>
            <w:lang w:eastAsia="en-AU"/>
          </w:rPr>
          <w:tab/>
        </w:r>
        <w:r w:rsidR="000E298C" w:rsidRPr="0058155C">
          <w:rPr>
            <w:rStyle w:val="Hyperlink"/>
            <w:noProof/>
          </w:rPr>
          <w:t>Jurisdictional derogations</w:t>
        </w:r>
        <w:r w:rsidR="000E298C">
          <w:rPr>
            <w:noProof/>
            <w:webHidden/>
          </w:rPr>
          <w:tab/>
        </w:r>
        <w:r w:rsidR="000E298C">
          <w:rPr>
            <w:noProof/>
            <w:webHidden/>
          </w:rPr>
          <w:fldChar w:fldCharType="begin"/>
        </w:r>
        <w:r w:rsidR="000E298C">
          <w:rPr>
            <w:noProof/>
            <w:webHidden/>
          </w:rPr>
          <w:instrText xml:space="preserve"> PAGEREF _Toc385507287 \h </w:instrText>
        </w:r>
        <w:r w:rsidR="000E298C">
          <w:rPr>
            <w:noProof/>
            <w:webHidden/>
          </w:rPr>
        </w:r>
        <w:r w:rsidR="000E298C">
          <w:rPr>
            <w:noProof/>
            <w:webHidden/>
          </w:rPr>
          <w:fldChar w:fldCharType="separate"/>
        </w:r>
        <w:r>
          <w:rPr>
            <w:noProof/>
            <w:webHidden/>
          </w:rPr>
          <w:t>29</w:t>
        </w:r>
        <w:r w:rsidR="000E298C">
          <w:rPr>
            <w:noProof/>
            <w:webHidden/>
          </w:rPr>
          <w:fldChar w:fldCharType="end"/>
        </w:r>
      </w:hyperlink>
    </w:p>
    <w:p w:rsidR="000E298C" w:rsidRDefault="0087471E">
      <w:pPr>
        <w:pStyle w:val="TOC1"/>
        <w:rPr>
          <w:rFonts w:asciiTheme="minorHAnsi" w:eastAsiaTheme="minorEastAsia" w:hAnsiTheme="minorHAnsi" w:cstheme="minorBidi"/>
          <w:b w:val="0"/>
          <w:noProof/>
          <w:lang w:eastAsia="en-AU"/>
        </w:rPr>
      </w:pPr>
      <w:hyperlink w:anchor="_Toc385507288" w:history="1">
        <w:r w:rsidR="000E298C" w:rsidRPr="0058155C">
          <w:rPr>
            <w:rStyle w:val="Hyperlink"/>
            <w:noProof/>
          </w:rPr>
          <w:t>Appendix A:  Shortened forms</w:t>
        </w:r>
        <w:r w:rsidR="000E298C">
          <w:rPr>
            <w:noProof/>
            <w:webHidden/>
          </w:rPr>
          <w:tab/>
        </w:r>
        <w:r w:rsidR="000E298C">
          <w:rPr>
            <w:noProof/>
            <w:webHidden/>
          </w:rPr>
          <w:fldChar w:fldCharType="begin"/>
        </w:r>
        <w:r w:rsidR="000E298C">
          <w:rPr>
            <w:noProof/>
            <w:webHidden/>
          </w:rPr>
          <w:instrText xml:space="preserve"> PAGEREF _Toc385507288 \h </w:instrText>
        </w:r>
        <w:r w:rsidR="000E298C">
          <w:rPr>
            <w:noProof/>
            <w:webHidden/>
          </w:rPr>
        </w:r>
        <w:r w:rsidR="000E298C">
          <w:rPr>
            <w:noProof/>
            <w:webHidden/>
          </w:rPr>
          <w:fldChar w:fldCharType="separate"/>
        </w:r>
        <w:r>
          <w:rPr>
            <w:noProof/>
            <w:webHidden/>
          </w:rPr>
          <w:t>30</w:t>
        </w:r>
        <w:r w:rsidR="000E298C">
          <w:rPr>
            <w:noProof/>
            <w:webHidden/>
          </w:rPr>
          <w:fldChar w:fldCharType="end"/>
        </w:r>
      </w:hyperlink>
    </w:p>
    <w:p w:rsidR="000E298C" w:rsidRDefault="0087471E">
      <w:pPr>
        <w:pStyle w:val="TOC1"/>
        <w:rPr>
          <w:rFonts w:asciiTheme="minorHAnsi" w:eastAsiaTheme="minorEastAsia" w:hAnsiTheme="minorHAnsi" w:cstheme="minorBidi"/>
          <w:b w:val="0"/>
          <w:noProof/>
          <w:lang w:eastAsia="en-AU"/>
        </w:rPr>
      </w:pPr>
      <w:hyperlink w:anchor="_Toc385507289" w:history="1">
        <w:r w:rsidR="000E298C" w:rsidRPr="0058155C">
          <w:rPr>
            <w:rStyle w:val="Hyperlink"/>
            <w:noProof/>
          </w:rPr>
          <w:t>Appendix B:  Previous targeted compliance reviews</w:t>
        </w:r>
        <w:r w:rsidR="000E298C">
          <w:rPr>
            <w:noProof/>
            <w:webHidden/>
          </w:rPr>
          <w:tab/>
        </w:r>
        <w:r w:rsidR="000E298C">
          <w:rPr>
            <w:noProof/>
            <w:webHidden/>
          </w:rPr>
          <w:fldChar w:fldCharType="begin"/>
        </w:r>
        <w:r w:rsidR="000E298C">
          <w:rPr>
            <w:noProof/>
            <w:webHidden/>
          </w:rPr>
          <w:instrText xml:space="preserve"> PAGEREF _Toc385507289 \h </w:instrText>
        </w:r>
        <w:r w:rsidR="000E298C">
          <w:rPr>
            <w:noProof/>
            <w:webHidden/>
          </w:rPr>
        </w:r>
        <w:r w:rsidR="000E298C">
          <w:rPr>
            <w:noProof/>
            <w:webHidden/>
          </w:rPr>
          <w:fldChar w:fldCharType="separate"/>
        </w:r>
        <w:r>
          <w:rPr>
            <w:noProof/>
            <w:webHidden/>
          </w:rPr>
          <w:t>31</w:t>
        </w:r>
        <w:r w:rsidR="000E298C">
          <w:rPr>
            <w:noProof/>
            <w:webHidden/>
          </w:rPr>
          <w:fldChar w:fldCharType="end"/>
        </w:r>
      </w:hyperlink>
    </w:p>
    <w:p w:rsidR="00914770" w:rsidRDefault="00345E1B" w:rsidP="00CB1599">
      <w:pPr>
        <w:pStyle w:val="AERtabletitle"/>
        <w:keepNext w:val="0"/>
      </w:pPr>
      <w:r>
        <w:fldChar w:fldCharType="end"/>
      </w:r>
    </w:p>
    <w:p w:rsidR="00914770" w:rsidRDefault="00914770" w:rsidP="00914770"/>
    <w:p w:rsidR="0067781E" w:rsidRDefault="0067781E" w:rsidP="00914770"/>
    <w:p w:rsidR="0067781E" w:rsidRDefault="0067781E" w:rsidP="00914770"/>
    <w:p w:rsidR="0067781E" w:rsidRPr="00914770" w:rsidRDefault="0067781E" w:rsidP="00914770"/>
    <w:p w:rsidR="0067781E" w:rsidRPr="0067781E" w:rsidRDefault="0067781E" w:rsidP="0067781E"/>
    <w:p w:rsidR="000733BC" w:rsidRPr="00742426" w:rsidRDefault="00AB2AA9" w:rsidP="001F2CA4">
      <w:pPr>
        <w:pStyle w:val="UnnumberedHeading"/>
        <w:numPr>
          <w:ilvl w:val="0"/>
          <w:numId w:val="0"/>
        </w:numPr>
      </w:pPr>
      <w:bookmarkStart w:id="24" w:name="_Toc337553425"/>
      <w:bookmarkStart w:id="25" w:name="_Toc385507261"/>
      <w:bookmarkStart w:id="26" w:name="_Toc316978870"/>
      <w:bookmarkStart w:id="27" w:name="_Toc317520246"/>
      <w:bookmarkStart w:id="28" w:name="_Toc305751931"/>
      <w:bookmarkStart w:id="29" w:name="_Toc308601044"/>
      <w:bookmarkEnd w:id="23"/>
      <w:r w:rsidRPr="00742426">
        <w:lastRenderedPageBreak/>
        <w:t>Executive summary</w:t>
      </w:r>
      <w:bookmarkEnd w:id="24"/>
      <w:bookmarkEnd w:id="25"/>
    </w:p>
    <w:p w:rsidR="003528E9" w:rsidRDefault="003528E9" w:rsidP="003528E9">
      <w:pPr>
        <w:pStyle w:val="AERbodytext"/>
        <w:rPr>
          <w:szCs w:val="20"/>
        </w:rPr>
      </w:pPr>
      <w:bookmarkStart w:id="30" w:name="OLE_LINK72"/>
      <w:bookmarkStart w:id="31" w:name="OLE_LINK73"/>
      <w:r>
        <w:t>The purpose of this Quarterly Compliance Report (</w:t>
      </w:r>
      <w:r w:rsidRPr="00793608">
        <w:rPr>
          <w:b/>
        </w:rPr>
        <w:t>QCR</w:t>
      </w:r>
      <w:r>
        <w:t>) is to outline the Australian Energy Regulator’s (</w:t>
      </w:r>
      <w:r>
        <w:rPr>
          <w:b/>
          <w:bCs/>
        </w:rPr>
        <w:t>AER</w:t>
      </w:r>
      <w:r>
        <w:t>) compliance monitoring and enforcement activity under the National Electricity Law (</w:t>
      </w:r>
      <w:r>
        <w:rPr>
          <w:b/>
          <w:bCs/>
        </w:rPr>
        <w:t>Electricity Law</w:t>
      </w:r>
      <w:r>
        <w:t>) and National Gas Law</w:t>
      </w:r>
      <w:r w:rsidR="00484DDC">
        <w:t xml:space="preserve"> </w:t>
      </w:r>
      <w:r>
        <w:t>(</w:t>
      </w:r>
      <w:r>
        <w:rPr>
          <w:b/>
          <w:bCs/>
        </w:rPr>
        <w:t>Gas Law</w:t>
      </w:r>
      <w:r>
        <w:t xml:space="preserve">)—including the rules and regulations which sit under those Laws. This QCR covers the period 1 </w:t>
      </w:r>
      <w:r w:rsidR="0004398F">
        <w:t>October</w:t>
      </w:r>
      <w:r w:rsidR="00D023EF">
        <w:t xml:space="preserve"> to 3</w:t>
      </w:r>
      <w:r w:rsidR="0004398F">
        <w:t>1</w:t>
      </w:r>
      <w:r>
        <w:t xml:space="preserve"> </w:t>
      </w:r>
      <w:r w:rsidR="0004398F">
        <w:t xml:space="preserve">December </w:t>
      </w:r>
      <w:r>
        <w:t>2013 (</w:t>
      </w:r>
      <w:r>
        <w:rPr>
          <w:b/>
          <w:bCs/>
        </w:rPr>
        <w:t xml:space="preserve">the </w:t>
      </w:r>
      <w:r w:rsidR="0004398F">
        <w:rPr>
          <w:b/>
          <w:bCs/>
        </w:rPr>
        <w:t xml:space="preserve">December </w:t>
      </w:r>
      <w:r>
        <w:rPr>
          <w:b/>
          <w:bCs/>
        </w:rPr>
        <w:t>2013 quarter</w:t>
      </w:r>
      <w:r>
        <w:t>).</w:t>
      </w:r>
      <w:r w:rsidR="003E4F6D">
        <w:rPr>
          <w:rStyle w:val="FootnoteReference"/>
        </w:rPr>
        <w:footnoteReference w:id="1"/>
      </w:r>
    </w:p>
    <w:p w:rsidR="00AA7097" w:rsidRDefault="00D56EC7" w:rsidP="00097A82">
      <w:pPr>
        <w:pStyle w:val="AERbodytext"/>
      </w:pPr>
      <w:r>
        <w:t>In this report we conclude several of</w:t>
      </w:r>
      <w:r w:rsidR="00C25586">
        <w:t xml:space="preserve"> our </w:t>
      </w:r>
      <w:r w:rsidR="00C10F2F" w:rsidRPr="00C10F2F">
        <w:t>strategic compliance projects</w:t>
      </w:r>
      <w:r w:rsidR="00C25586">
        <w:t xml:space="preserve"> conducted throughout 2013</w:t>
      </w:r>
      <w:r w:rsidR="00AA7097">
        <w:t>, including:</w:t>
      </w:r>
    </w:p>
    <w:p w:rsidR="005F4362" w:rsidRDefault="005F4362" w:rsidP="005F4362">
      <w:pPr>
        <w:pStyle w:val="AERbulletlistsecondstyle"/>
      </w:pPr>
      <w:r>
        <w:t>MT PASA data accuracy</w:t>
      </w:r>
    </w:p>
    <w:p w:rsidR="004D11B5" w:rsidRDefault="004D11B5" w:rsidP="004D11B5">
      <w:pPr>
        <w:pStyle w:val="AERbulletlistsecondstyle"/>
      </w:pPr>
      <w:r>
        <w:t>electricity metering metrics</w:t>
      </w:r>
    </w:p>
    <w:p w:rsidR="005F4362" w:rsidRDefault="008B3670" w:rsidP="005F4362">
      <w:pPr>
        <w:pStyle w:val="AERbulletlistsecondstyle"/>
      </w:pPr>
      <w:r>
        <w:t>p</w:t>
      </w:r>
      <w:r w:rsidR="005F4362">
        <w:t>erformance of ancillary services for regulation</w:t>
      </w:r>
    </w:p>
    <w:p w:rsidR="005F4362" w:rsidRDefault="008B3670" w:rsidP="005F4362">
      <w:pPr>
        <w:pStyle w:val="AERbulletlistsecondstyle"/>
      </w:pPr>
      <w:r>
        <w:t>t</w:t>
      </w:r>
      <w:r w:rsidR="005F4362">
        <w:t>rends in power system operating incident reports</w:t>
      </w:r>
    </w:p>
    <w:p w:rsidR="00005B12" w:rsidRDefault="00005B12" w:rsidP="005F4362">
      <w:pPr>
        <w:pStyle w:val="AERbulletlistsecondstyle"/>
      </w:pPr>
      <w:r>
        <w:t>STTM demand forecasting</w:t>
      </w:r>
    </w:p>
    <w:p w:rsidR="00AA7097" w:rsidRDefault="008B3670" w:rsidP="005F4362">
      <w:pPr>
        <w:pStyle w:val="AERbulletlistsecondstyle"/>
      </w:pPr>
      <w:proofErr w:type="gramStart"/>
      <w:r>
        <w:t>e</w:t>
      </w:r>
      <w:r w:rsidR="005F4362">
        <w:t>lectricity</w:t>
      </w:r>
      <w:proofErr w:type="gramEnd"/>
      <w:r w:rsidR="005F4362">
        <w:t xml:space="preserve"> transmission connections.</w:t>
      </w:r>
    </w:p>
    <w:p w:rsidR="00C10F2F" w:rsidRDefault="00C10F2F" w:rsidP="00097A82">
      <w:pPr>
        <w:pStyle w:val="AERbodytext"/>
        <w:rPr>
          <w:highlight w:val="yellow"/>
        </w:rPr>
      </w:pPr>
      <w:r w:rsidRPr="00C10F2F">
        <w:t xml:space="preserve">Of particular note is the electricity transmission connections project. This project involved a survey of parties that have sought to connect to the National Electricity Market transmission network to assess the performance </w:t>
      </w:r>
      <w:r w:rsidR="00D77C5D">
        <w:t>of</w:t>
      </w:r>
      <w:r w:rsidR="00D77C5D" w:rsidRPr="00C10F2F">
        <w:t xml:space="preserve"> </w:t>
      </w:r>
      <w:r w:rsidRPr="00C10F2F">
        <w:t>Transmission Network Service Providers (</w:t>
      </w:r>
      <w:r w:rsidRPr="00C10F2F">
        <w:rPr>
          <w:b/>
        </w:rPr>
        <w:t>TNSPs</w:t>
      </w:r>
      <w:r w:rsidRPr="00C10F2F">
        <w:t>) in terms</w:t>
      </w:r>
      <w:r>
        <w:t xml:space="preserve"> of timeliness, provision of information, cost, design, availability of competitive procurement and responsiveness to connection applicants’ commercial requirements. </w:t>
      </w:r>
      <w:r w:rsidR="005A086F">
        <w:t xml:space="preserve">The survey was sent out in mid-2013 and we have completed a review of the responses. Due to the scope of the project and complexity of its results, we </w:t>
      </w:r>
      <w:r w:rsidR="00DF3730">
        <w:t xml:space="preserve">are considering the findings and will report on this matter further next quarter. </w:t>
      </w:r>
    </w:p>
    <w:p w:rsidR="00957192" w:rsidRDefault="00C10F2F" w:rsidP="00097A82">
      <w:pPr>
        <w:pStyle w:val="AERbodytext"/>
        <w:rPr>
          <w:highlight w:val="yellow"/>
        </w:rPr>
      </w:pPr>
      <w:r w:rsidRPr="00200099">
        <w:t xml:space="preserve">Chapter two details our </w:t>
      </w:r>
      <w:r w:rsidR="00A812E5" w:rsidRPr="00200099">
        <w:t xml:space="preserve">compliance and enforcement work undertaken for the gas markets. We </w:t>
      </w:r>
      <w:r w:rsidR="007F4EDD" w:rsidRPr="00200099">
        <w:t>highlight that there</w:t>
      </w:r>
      <w:r w:rsidR="00426DE8" w:rsidRPr="00200099">
        <w:t xml:space="preserve"> were </w:t>
      </w:r>
      <w:r w:rsidR="005E5530">
        <w:t>four</w:t>
      </w:r>
      <w:r w:rsidR="007F4EDD" w:rsidRPr="00200099">
        <w:t xml:space="preserve"> data errors for the </w:t>
      </w:r>
      <w:r w:rsidR="00A812E5" w:rsidRPr="00200099">
        <w:t>short term trading market (</w:t>
      </w:r>
      <w:r w:rsidR="00A812E5" w:rsidRPr="00200099">
        <w:rPr>
          <w:b/>
        </w:rPr>
        <w:t>STTM</w:t>
      </w:r>
      <w:r w:rsidR="005D2DC9" w:rsidRPr="00200099">
        <w:t>)</w:t>
      </w:r>
      <w:r w:rsidR="004D11B5">
        <w:t xml:space="preserve"> during the quarter</w:t>
      </w:r>
      <w:r w:rsidR="006902D5" w:rsidRPr="00200099">
        <w:t xml:space="preserve">. </w:t>
      </w:r>
      <w:r w:rsidR="00957192" w:rsidRPr="00200099">
        <w:t xml:space="preserve">There are updates </w:t>
      </w:r>
      <w:r w:rsidR="00D56EC7">
        <w:t>on several</w:t>
      </w:r>
      <w:r w:rsidR="00957192" w:rsidRPr="00200099">
        <w:t xml:space="preserve"> incidents of incorrect, missing or late STTM data involving Epic Energy. Epic paid an infringement notice in relation to one of these incidents and has implemented a number of measures to ensure the quality of data it provides to AEMO improves. We also report on Bulletin Board errors, including the failure by one facility operator to submit firm nomination data to AEMO </w:t>
      </w:r>
      <w:r w:rsidR="00200099" w:rsidRPr="00200099">
        <w:t>on</w:t>
      </w:r>
      <w:r w:rsidR="00957192" w:rsidRPr="00200099">
        <w:t xml:space="preserve"> nine occasions</w:t>
      </w:r>
      <w:r w:rsidR="00200099" w:rsidRPr="00200099">
        <w:t xml:space="preserve"> due to </w:t>
      </w:r>
      <w:r w:rsidR="00957192" w:rsidRPr="00200099">
        <w:t>a server error during the implementation of</w:t>
      </w:r>
      <w:r w:rsidR="00957192" w:rsidRPr="00551314">
        <w:t xml:space="preserve"> customer reporting system changes. </w:t>
      </w:r>
    </w:p>
    <w:p w:rsidR="00036810" w:rsidRPr="00FF76FB" w:rsidRDefault="003C5B3D" w:rsidP="00036810">
      <w:pPr>
        <w:pStyle w:val="AERbodytext"/>
      </w:pPr>
      <w:r w:rsidRPr="00FF76FB">
        <w:rPr>
          <w:szCs w:val="16"/>
        </w:rPr>
        <w:t xml:space="preserve">Chapter </w:t>
      </w:r>
      <w:r w:rsidR="00AA7097" w:rsidRPr="00FF76FB">
        <w:rPr>
          <w:szCs w:val="16"/>
        </w:rPr>
        <w:t xml:space="preserve">three discusses </w:t>
      </w:r>
      <w:r w:rsidR="007C654A" w:rsidRPr="00FF76FB">
        <w:rPr>
          <w:szCs w:val="16"/>
        </w:rPr>
        <w:t>a number of electricity matters, such as</w:t>
      </w:r>
      <w:r w:rsidR="00F52B50" w:rsidRPr="00FF76FB">
        <w:rPr>
          <w:szCs w:val="16"/>
        </w:rPr>
        <w:t>:</w:t>
      </w:r>
      <w:r w:rsidR="00036810" w:rsidRPr="00FF76FB">
        <w:t xml:space="preserve"> </w:t>
      </w:r>
    </w:p>
    <w:p w:rsidR="00F52B50" w:rsidRPr="00FF76FB" w:rsidRDefault="00F52B50" w:rsidP="00D1453F">
      <w:pPr>
        <w:pStyle w:val="AERbulletlistsecondstyle"/>
      </w:pPr>
      <w:r w:rsidRPr="00FF76FB">
        <w:t xml:space="preserve">generator rebidding activities, including </w:t>
      </w:r>
      <w:r w:rsidR="005F4362" w:rsidRPr="00FF76FB">
        <w:t>three</w:t>
      </w:r>
      <w:r w:rsidRPr="00FF76FB">
        <w:t xml:space="preserve"> warning</w:t>
      </w:r>
      <w:r w:rsidR="005F4362" w:rsidRPr="00FF76FB">
        <w:t>s</w:t>
      </w:r>
      <w:r w:rsidR="00FF76FB" w:rsidRPr="00FF76FB">
        <w:t xml:space="preserve"> issued with respect to</w:t>
      </w:r>
      <w:r w:rsidRPr="00FF76FB">
        <w:t xml:space="preserve"> rebid</w:t>
      </w:r>
      <w:r w:rsidR="00FF76FB" w:rsidRPr="00FF76FB">
        <w:t xml:space="preserve"> reasons</w:t>
      </w:r>
    </w:p>
    <w:p w:rsidR="00FF76FB" w:rsidRPr="00FF76FB" w:rsidRDefault="00FF76FB" w:rsidP="007C654A">
      <w:pPr>
        <w:pStyle w:val="AERbulletlistsecondstyle"/>
      </w:pPr>
      <w:r w:rsidRPr="00FF76FB">
        <w:t>a failure by Hydro Tasmania to update its projected assessment of system adequacy (</w:t>
      </w:r>
      <w:r w:rsidRPr="00FF76FB">
        <w:rPr>
          <w:b/>
        </w:rPr>
        <w:t>PASA</w:t>
      </w:r>
      <w:r w:rsidRPr="00FF76FB">
        <w:t>) availability for its scheduled generating units</w:t>
      </w:r>
    </w:p>
    <w:p w:rsidR="00FF76FB" w:rsidRPr="00FF76FB" w:rsidRDefault="00FF76FB" w:rsidP="007C654A">
      <w:pPr>
        <w:pStyle w:val="AERbulletlistsecondstyle"/>
      </w:pPr>
      <w:r w:rsidRPr="00FF76FB">
        <w:t>metering compliance issues where a network service provider has either failed to install a meter before energising a site or failed to register the connection with AEMO</w:t>
      </w:r>
    </w:p>
    <w:p w:rsidR="00FF76FB" w:rsidRPr="00FF76FB" w:rsidRDefault="00FF76FB" w:rsidP="007C654A">
      <w:pPr>
        <w:pStyle w:val="AERbulletlistsecondstyle"/>
      </w:pPr>
      <w:r w:rsidRPr="00FF76FB">
        <w:lastRenderedPageBreak/>
        <w:t xml:space="preserve">the conclusion of </w:t>
      </w:r>
      <w:r w:rsidR="00DA342F" w:rsidRPr="00FF76FB">
        <w:t xml:space="preserve">our </w:t>
      </w:r>
      <w:r w:rsidR="00C17047" w:rsidRPr="00FF76FB">
        <w:t xml:space="preserve">technical standards compliance program </w:t>
      </w:r>
      <w:r w:rsidR="00A45530" w:rsidRPr="00FF76FB">
        <w:t xml:space="preserve">audit of </w:t>
      </w:r>
      <w:r w:rsidR="00F52B50" w:rsidRPr="00FF76FB">
        <w:t>AGL’s Mac</w:t>
      </w:r>
      <w:r w:rsidR="00543C9B" w:rsidRPr="00FF76FB">
        <w:t>arthur wind farm, the first wind farm to be examined under this process</w:t>
      </w:r>
    </w:p>
    <w:p w:rsidR="00A45530" w:rsidRPr="008B3670" w:rsidRDefault="00FF76FB" w:rsidP="007C654A">
      <w:pPr>
        <w:pStyle w:val="AERbulletlistsecondstyle"/>
      </w:pPr>
      <w:proofErr w:type="gramStart"/>
      <w:r w:rsidRPr="008B3670">
        <w:t>a</w:t>
      </w:r>
      <w:proofErr w:type="gramEnd"/>
      <w:r w:rsidRPr="008B3670">
        <w:t xml:space="preserve"> targeted compliance review of Electricity Rules clause 7.8.2 relating to </w:t>
      </w:r>
      <w:r w:rsidR="008B3670" w:rsidRPr="008B3670">
        <w:t>the protection of energy data from direct local or electronic access</w:t>
      </w:r>
      <w:r w:rsidR="00A45530" w:rsidRPr="008B3670">
        <w:t xml:space="preserve">. </w:t>
      </w:r>
    </w:p>
    <w:bookmarkEnd w:id="30"/>
    <w:bookmarkEnd w:id="31"/>
    <w:p w:rsidR="00D77C5D" w:rsidRPr="008B3670" w:rsidRDefault="00D77C5D" w:rsidP="00D77C5D">
      <w:pPr>
        <w:pStyle w:val="AERbodytext"/>
      </w:pPr>
      <w:r>
        <w:t xml:space="preserve">During 2014 </w:t>
      </w:r>
      <w:r w:rsidR="00D56EC7">
        <w:t xml:space="preserve">two new areas the </w:t>
      </w:r>
      <w:r>
        <w:t xml:space="preserve">AER </w:t>
      </w:r>
      <w:r w:rsidR="00E5703D">
        <w:t xml:space="preserve">will </w:t>
      </w:r>
      <w:r w:rsidR="00D56EC7">
        <w:t xml:space="preserve">be </w:t>
      </w:r>
      <w:r w:rsidR="004825B4">
        <w:t xml:space="preserve">examining </w:t>
      </w:r>
      <w:r w:rsidR="00D56EC7">
        <w:t xml:space="preserve">relate to network businesses. One involves analysis of </w:t>
      </w:r>
      <w:r w:rsidRPr="008B3670">
        <w:t xml:space="preserve">transmission business annual planning reports. This project will involve </w:t>
      </w:r>
      <w:r w:rsidRPr="00D77C5D">
        <w:t xml:space="preserve">engaging with </w:t>
      </w:r>
      <w:r>
        <w:t xml:space="preserve">network </w:t>
      </w:r>
      <w:r w:rsidRPr="00D77C5D">
        <w:t xml:space="preserve">businesses to ensure that future </w:t>
      </w:r>
      <w:r w:rsidR="00C25586">
        <w:t xml:space="preserve">annual planning reports </w:t>
      </w:r>
      <w:r w:rsidRPr="00D77C5D">
        <w:t>meet the requirements of the Electricity Rules</w:t>
      </w:r>
      <w:r w:rsidRPr="008B3670">
        <w:t xml:space="preserve">. The second project relates to distribution </w:t>
      </w:r>
      <w:r>
        <w:t xml:space="preserve">network </w:t>
      </w:r>
      <w:r w:rsidRPr="008B3670">
        <w:t>reliability</w:t>
      </w:r>
      <w:r>
        <w:t xml:space="preserve"> and </w:t>
      </w:r>
      <w:r w:rsidRPr="008B3670">
        <w:t>performance, particularly at times of high demand</w:t>
      </w:r>
      <w:r>
        <w:t xml:space="preserve"> as experience</w:t>
      </w:r>
      <w:r w:rsidR="00C25586">
        <w:t>d</w:t>
      </w:r>
      <w:r>
        <w:t xml:space="preserve"> during the early parts of 2014</w:t>
      </w:r>
      <w:r w:rsidRPr="008B3670">
        <w:t>.</w:t>
      </w:r>
    </w:p>
    <w:p w:rsidR="00C25586" w:rsidRDefault="00C25586" w:rsidP="00C25586">
      <w:pPr>
        <w:pStyle w:val="AERbodytext"/>
        <w:rPr>
          <w:szCs w:val="16"/>
        </w:rPr>
      </w:pPr>
      <w:r w:rsidRPr="008B3670">
        <w:rPr>
          <w:szCs w:val="16"/>
        </w:rPr>
        <w:t>For those readers from network businesses, sections 1.3 (electricity metering metrics), 1.</w:t>
      </w:r>
      <w:r w:rsidR="00005B12">
        <w:rPr>
          <w:szCs w:val="16"/>
        </w:rPr>
        <w:t>6</w:t>
      </w:r>
      <w:r w:rsidRPr="008B3670">
        <w:rPr>
          <w:szCs w:val="16"/>
        </w:rPr>
        <w:t> (electricity transmission connections) and 3.6 (network compliance projects) will be of particular</w:t>
      </w:r>
      <w:r>
        <w:rPr>
          <w:szCs w:val="16"/>
        </w:rPr>
        <w:t xml:space="preserve"> relevance</w:t>
      </w:r>
      <w:r w:rsidRPr="008B3670">
        <w:rPr>
          <w:szCs w:val="16"/>
        </w:rPr>
        <w:t>.</w:t>
      </w:r>
    </w:p>
    <w:p w:rsidR="00D77C5D" w:rsidRPr="00641BD9" w:rsidRDefault="00D77C5D" w:rsidP="00EE7934">
      <w:pPr>
        <w:pStyle w:val="AERbodytext"/>
        <w:rPr>
          <w:lang w:eastAsia="en-AU"/>
        </w:rPr>
      </w:pPr>
    </w:p>
    <w:p w:rsidR="00273AF7" w:rsidRPr="00860DB5" w:rsidRDefault="007D5491" w:rsidP="001F2CA4">
      <w:pPr>
        <w:pStyle w:val="UnnumberedHeading"/>
        <w:numPr>
          <w:ilvl w:val="0"/>
          <w:numId w:val="0"/>
        </w:numPr>
      </w:pPr>
      <w:bookmarkStart w:id="32" w:name="_Toc385507262"/>
      <w:bookmarkEnd w:id="26"/>
      <w:bookmarkEnd w:id="27"/>
      <w:r w:rsidRPr="00860DB5">
        <w:lastRenderedPageBreak/>
        <w:t>Background</w:t>
      </w:r>
      <w:bookmarkEnd w:id="32"/>
    </w:p>
    <w:p w:rsidR="00A10D28" w:rsidRPr="00E0671E" w:rsidRDefault="00631881" w:rsidP="00634993">
      <w:pPr>
        <w:pStyle w:val="AERbodytext"/>
        <w:spacing w:after="220"/>
      </w:pPr>
      <w:r>
        <w:t>The AER is</w:t>
      </w:r>
      <w:r w:rsidRPr="00E0671E">
        <w:t xml:space="preserve"> </w:t>
      </w:r>
      <w:r w:rsidR="00A10D28" w:rsidRPr="00E0671E">
        <w:t xml:space="preserve">responsible for monitoring compliance and enforcement under legislation and rules governing Australia’s wholesale energy markets, including those applying to Network Service Providers. Section 15 of the Electricity Law and section 27 of the Gas Law set out </w:t>
      </w:r>
      <w:r>
        <w:t>our</w:t>
      </w:r>
      <w:r w:rsidRPr="00E0671E">
        <w:t xml:space="preserve"> </w:t>
      </w:r>
      <w:r w:rsidR="00A10D28" w:rsidRPr="00E0671E">
        <w:t>functions and powers, which include:</w:t>
      </w:r>
    </w:p>
    <w:p w:rsidR="00AA5B35" w:rsidRDefault="00A10D28" w:rsidP="00AA5B35">
      <w:pPr>
        <w:pStyle w:val="AERbulletlistsecondstyle"/>
      </w:pPr>
      <w:r w:rsidRPr="00E0671E">
        <w:t>monitoring compliance by energy industry participants</w:t>
      </w:r>
      <w:r w:rsidR="0082230C">
        <w:rPr>
          <w:rStyle w:val="FootnoteReference"/>
        </w:rPr>
        <w:footnoteReference w:id="2"/>
      </w:r>
      <w:r w:rsidRPr="00E0671E">
        <w:t xml:space="preserve"> and other persons</w:t>
      </w:r>
    </w:p>
    <w:p w:rsidR="00AA5B35" w:rsidRDefault="00A10D28" w:rsidP="00AA5B35">
      <w:pPr>
        <w:pStyle w:val="AERbulletlistsecondstyle"/>
      </w:pPr>
      <w:proofErr w:type="gramStart"/>
      <w:r w:rsidRPr="00E0671E">
        <w:t>investigating</w:t>
      </w:r>
      <w:proofErr w:type="gramEnd"/>
      <w:r w:rsidRPr="00E0671E">
        <w:t xml:space="preserve"> breaches, or possible breaches, of provisions of the legislative instruments under </w:t>
      </w:r>
      <w:r w:rsidR="00C506DD">
        <w:t>our</w:t>
      </w:r>
      <w:r w:rsidRPr="00E0671E">
        <w:t xml:space="preserve"> jurisdiction.</w:t>
      </w:r>
    </w:p>
    <w:p w:rsidR="009930C1" w:rsidRPr="00E0671E" w:rsidRDefault="009930C1" w:rsidP="00634993">
      <w:pPr>
        <w:pStyle w:val="AERbodytext"/>
        <w:spacing w:after="220"/>
      </w:pPr>
      <w:r w:rsidRPr="00E0671E">
        <w:rPr>
          <w:lang w:eastAsia="en-AU"/>
        </w:rPr>
        <w:t xml:space="preserve">Consistent with </w:t>
      </w:r>
      <w:r w:rsidR="00631881">
        <w:rPr>
          <w:lang w:eastAsia="en-AU"/>
        </w:rPr>
        <w:t>our</w:t>
      </w:r>
      <w:r w:rsidR="00631881" w:rsidRPr="00E0671E">
        <w:rPr>
          <w:lang w:eastAsia="en-AU"/>
        </w:rPr>
        <w:t xml:space="preserve"> </w:t>
      </w:r>
      <w:hyperlink r:id="rId17" w:history="1">
        <w:r w:rsidR="00CB7808" w:rsidRPr="00543C9B">
          <w:rPr>
            <w:rStyle w:val="Hyperlink"/>
            <w:lang w:eastAsia="en-AU"/>
          </w:rPr>
          <w:t>statement of approach</w:t>
        </w:r>
      </w:hyperlink>
      <w:r w:rsidRPr="00E0671E">
        <w:rPr>
          <w:lang w:eastAsia="en-AU"/>
        </w:rPr>
        <w:t xml:space="preserve">, </w:t>
      </w:r>
      <w:r w:rsidR="00631881">
        <w:t xml:space="preserve">we </w:t>
      </w:r>
      <w:r w:rsidRPr="00E0671E">
        <w:t xml:space="preserve">aim to promote high levels of compliance, and seek to build a culture of compliance in </w:t>
      </w:r>
      <w:r w:rsidR="008A20B0" w:rsidRPr="00E0671E">
        <w:t>the</w:t>
      </w:r>
      <w:r w:rsidRPr="00E0671E">
        <w:t xml:space="preserve"> energy industry. A culture of compliance will:</w:t>
      </w:r>
    </w:p>
    <w:p w:rsidR="00AA5B35" w:rsidRDefault="009930C1" w:rsidP="00AA5B35">
      <w:pPr>
        <w:pStyle w:val="AERbulletlistsecondstyle"/>
      </w:pPr>
      <w:r w:rsidRPr="00E0671E">
        <w:t>reduce the risk of industry participants breaching their regulatory obligations</w:t>
      </w:r>
    </w:p>
    <w:p w:rsidR="00AA5B35" w:rsidRDefault="00783406" w:rsidP="00AA5B35">
      <w:pPr>
        <w:pStyle w:val="AERbulletlistsecondstyle"/>
      </w:pPr>
      <w:proofErr w:type="gramStart"/>
      <w:r>
        <w:t>assist</w:t>
      </w:r>
      <w:proofErr w:type="gramEnd"/>
      <w:r>
        <w:t xml:space="preserve"> in </w:t>
      </w:r>
      <w:r w:rsidR="009930C1" w:rsidRPr="00E0671E">
        <w:t>ensur</w:t>
      </w:r>
      <w:r>
        <w:t>ing</w:t>
      </w:r>
      <w:r w:rsidR="009930C1" w:rsidRPr="00E0671E">
        <w:t xml:space="preserve"> industry participants can engage confidently in </w:t>
      </w:r>
      <w:r>
        <w:t>efficient energy markets</w:t>
      </w:r>
      <w:r w:rsidR="009930C1" w:rsidRPr="00E0671E">
        <w:t>.</w:t>
      </w:r>
    </w:p>
    <w:p w:rsidR="009930C1" w:rsidRPr="00E0671E" w:rsidRDefault="009930C1" w:rsidP="00634993">
      <w:pPr>
        <w:pStyle w:val="AERbodytext"/>
        <w:spacing w:after="220"/>
      </w:pPr>
      <w:r w:rsidRPr="00E0671E">
        <w:t xml:space="preserve">As part of this process, </w:t>
      </w:r>
      <w:r w:rsidR="00631881">
        <w:t>we</w:t>
      </w:r>
      <w:r w:rsidRPr="00E0671E">
        <w:t xml:space="preserve"> undertake a continuous compliance risk assessment of the </w:t>
      </w:r>
      <w:r w:rsidR="008E7A66">
        <w:t>National Electricity Rules (</w:t>
      </w:r>
      <w:r w:rsidR="008E7A66" w:rsidRPr="008E7A66">
        <w:rPr>
          <w:b/>
        </w:rPr>
        <w:t>Electricity Rules</w:t>
      </w:r>
      <w:r w:rsidR="008E7A66">
        <w:t xml:space="preserve">) </w:t>
      </w:r>
      <w:r w:rsidRPr="00E0671E">
        <w:t xml:space="preserve">and </w:t>
      </w:r>
      <w:r w:rsidR="008E7A66">
        <w:t>National Gas Rules (</w:t>
      </w:r>
      <w:r w:rsidR="008E7A66" w:rsidRPr="008E7A66">
        <w:rPr>
          <w:b/>
        </w:rPr>
        <w:t>Gas Rules</w:t>
      </w:r>
      <w:r w:rsidR="008E7A66">
        <w:t>)</w:t>
      </w:r>
      <w:r w:rsidRPr="00E0671E">
        <w:t xml:space="preserve"> to identify appropriate focus areas and monitoring</w:t>
      </w:r>
      <w:r w:rsidR="009F0901" w:rsidRPr="00E0671E">
        <w:t>/compliance</w:t>
      </w:r>
      <w:r w:rsidRPr="00E0671E">
        <w:t xml:space="preserve"> mechanisms. These mechanisms include </w:t>
      </w:r>
      <w:r w:rsidR="003829E0" w:rsidRPr="00E0671E">
        <w:t xml:space="preserve">our </w:t>
      </w:r>
      <w:r w:rsidR="009F0901" w:rsidRPr="00E0671E">
        <w:t>strategi</w:t>
      </w:r>
      <w:r w:rsidR="003829E0" w:rsidRPr="00E0671E">
        <w:t xml:space="preserve">c compliance projects, </w:t>
      </w:r>
      <w:r w:rsidRPr="00E0671E">
        <w:t xml:space="preserve">audits, </w:t>
      </w:r>
      <w:proofErr w:type="gramStart"/>
      <w:r w:rsidRPr="00E0671E">
        <w:t>the</w:t>
      </w:r>
      <w:proofErr w:type="gramEnd"/>
      <w:r w:rsidRPr="00E0671E">
        <w:t xml:space="preserve"> imposition of reporting requirements, market monitoring, and targeted compliance reviews.</w:t>
      </w:r>
      <w:r w:rsidRPr="00E0671E">
        <w:rPr>
          <w:rStyle w:val="FootnoteReference"/>
        </w:rPr>
        <w:footnoteReference w:id="3"/>
      </w:r>
    </w:p>
    <w:p w:rsidR="009930C1" w:rsidRPr="00E0671E" w:rsidRDefault="009930C1" w:rsidP="00634993">
      <w:pPr>
        <w:pStyle w:val="AERbodytext"/>
        <w:spacing w:after="220"/>
        <w:rPr>
          <w:lang w:eastAsia="en-AU"/>
        </w:rPr>
      </w:pPr>
      <w:r w:rsidRPr="00E0671E">
        <w:rPr>
          <w:lang w:eastAsia="en-AU"/>
        </w:rPr>
        <w:t xml:space="preserve">In selecting the areas for review, </w:t>
      </w:r>
      <w:r w:rsidR="00631881">
        <w:rPr>
          <w:lang w:eastAsia="en-AU"/>
        </w:rPr>
        <w:t>we</w:t>
      </w:r>
      <w:r w:rsidRPr="00E0671E">
        <w:rPr>
          <w:lang w:eastAsia="en-AU"/>
        </w:rPr>
        <w:t xml:space="preserve"> adopt the following principles:</w:t>
      </w:r>
    </w:p>
    <w:p w:rsidR="00AA5B35" w:rsidRDefault="009930C1" w:rsidP="00AA5B35">
      <w:pPr>
        <w:pStyle w:val="AERbulletlistsecondstyle"/>
      </w:pPr>
      <w:r w:rsidRPr="00E0671E">
        <w:t>consideration of risk (the greater the risk, the higher the priority)</w:t>
      </w:r>
    </w:p>
    <w:p w:rsidR="00AA5B35" w:rsidRDefault="009930C1" w:rsidP="00AA5B35">
      <w:pPr>
        <w:pStyle w:val="AERbulletlistsecondstyle"/>
      </w:pPr>
      <w:proofErr w:type="gramStart"/>
      <w:r w:rsidRPr="00E0671E">
        <w:t>a</w:t>
      </w:r>
      <w:proofErr w:type="gramEnd"/>
      <w:r w:rsidRPr="00E0671E">
        <w:t xml:space="preserve"> commitment to ensuring that both systemic issues and those with the potential for isolated but significant impact are addressed.</w:t>
      </w:r>
    </w:p>
    <w:p w:rsidR="00AA5B35" w:rsidRDefault="009930C1" w:rsidP="00CF20CC">
      <w:pPr>
        <w:pStyle w:val="AERbulletlistsecondstyle"/>
        <w:numPr>
          <w:ilvl w:val="0"/>
          <w:numId w:val="0"/>
        </w:numPr>
      </w:pPr>
      <w:r w:rsidRPr="00E0671E">
        <w:t xml:space="preserve">In carrying out </w:t>
      </w:r>
      <w:r w:rsidR="00AD3313">
        <w:t>our</w:t>
      </w:r>
      <w:r w:rsidR="00AD3313" w:rsidRPr="00E0671E">
        <w:t xml:space="preserve"> </w:t>
      </w:r>
      <w:r w:rsidRPr="00E0671E">
        <w:t xml:space="preserve">monitoring functions, </w:t>
      </w:r>
      <w:r w:rsidR="00631881">
        <w:t>we</w:t>
      </w:r>
      <w:r w:rsidRPr="00E0671E">
        <w:t xml:space="preserve"> aim for:</w:t>
      </w:r>
    </w:p>
    <w:p w:rsidR="00AA5B35" w:rsidRDefault="009930C1" w:rsidP="00AA5B35">
      <w:pPr>
        <w:pStyle w:val="AERbulletlistsecondstyle"/>
      </w:pPr>
      <w:r w:rsidRPr="00E0671E">
        <w:t>cost effectiveness for energy industry participants and the AER</w:t>
      </w:r>
    </w:p>
    <w:p w:rsidR="00AA5B35" w:rsidRDefault="009930C1" w:rsidP="00AA5B35">
      <w:pPr>
        <w:pStyle w:val="AERbulletlistsecondstyle"/>
      </w:pPr>
      <w:proofErr w:type="gramStart"/>
      <w:r w:rsidRPr="00E0671E">
        <w:t>transparency</w:t>
      </w:r>
      <w:proofErr w:type="gramEnd"/>
      <w:r w:rsidRPr="00E0671E">
        <w:t xml:space="preserve"> (subject to confidentiality requirements).</w:t>
      </w:r>
    </w:p>
    <w:p w:rsidR="00A46922" w:rsidRDefault="009930C1" w:rsidP="00B4653F">
      <w:pPr>
        <w:pStyle w:val="AERbodytext"/>
        <w:spacing w:after="220"/>
        <w:rPr>
          <w:lang w:eastAsia="en-AU"/>
        </w:rPr>
      </w:pPr>
      <w:r w:rsidRPr="00E0671E">
        <w:rPr>
          <w:lang w:eastAsia="en-AU"/>
        </w:rPr>
        <w:t xml:space="preserve">While most obligations under the Electricity and Gas Rules do not require registered participants to establish specific compliance programs, </w:t>
      </w:r>
      <w:r w:rsidR="00631881">
        <w:rPr>
          <w:lang w:eastAsia="en-AU"/>
        </w:rPr>
        <w:t>we</w:t>
      </w:r>
      <w:r w:rsidRPr="00E0671E">
        <w:rPr>
          <w:lang w:eastAsia="en-AU"/>
        </w:rPr>
        <w:t xml:space="preserve"> take into account a participant’s compliance framework when determining response</w:t>
      </w:r>
      <w:r w:rsidR="00631881">
        <w:rPr>
          <w:lang w:eastAsia="en-AU"/>
        </w:rPr>
        <w:t>s</w:t>
      </w:r>
      <w:r w:rsidRPr="00E0671E">
        <w:rPr>
          <w:lang w:eastAsia="en-AU"/>
        </w:rPr>
        <w:t xml:space="preserve"> to breaches. In assessing compliance culture, </w:t>
      </w:r>
      <w:r w:rsidR="00631881">
        <w:rPr>
          <w:lang w:eastAsia="en-AU"/>
        </w:rPr>
        <w:t>we</w:t>
      </w:r>
      <w:r w:rsidRPr="00E0671E">
        <w:rPr>
          <w:lang w:eastAsia="en-AU"/>
        </w:rPr>
        <w:t xml:space="preserve"> consider whether compliance programs and processes are effectively applied, up-to-date and tested regularly. </w:t>
      </w:r>
      <w:bookmarkStart w:id="33" w:name="_Toc337553427"/>
      <w:bookmarkStart w:id="34" w:name="_Ref353362800"/>
      <w:bookmarkStart w:id="35" w:name="_Toc316978871"/>
      <w:bookmarkStart w:id="36" w:name="_Toc317520247"/>
    </w:p>
    <w:p w:rsidR="001D06D2" w:rsidRPr="00860DB5" w:rsidRDefault="001D06D2" w:rsidP="001D06D2">
      <w:pPr>
        <w:pStyle w:val="QCRHeading1"/>
      </w:pPr>
      <w:bookmarkStart w:id="37" w:name="_Toc385507263"/>
      <w:r>
        <w:lastRenderedPageBreak/>
        <w:t>Strategic compliance projects</w:t>
      </w:r>
      <w:bookmarkEnd w:id="37"/>
    </w:p>
    <w:p w:rsidR="001D06D2" w:rsidRDefault="001D06D2" w:rsidP="001D06D2">
      <w:pPr>
        <w:pStyle w:val="AERbodytext"/>
      </w:pPr>
      <w:r w:rsidRPr="001D06D2">
        <w:t xml:space="preserve">Since 2011, the </w:t>
      </w:r>
      <w:r w:rsidR="00640899">
        <w:t xml:space="preserve">AER </w:t>
      </w:r>
      <w:r w:rsidRPr="001D06D2">
        <w:t xml:space="preserve">has reported on a stream of strategic </w:t>
      </w:r>
      <w:r w:rsidR="00640899">
        <w:t>compliance projects.</w:t>
      </w:r>
      <w:r w:rsidRPr="001D06D2">
        <w:t xml:space="preserve"> All projects have involved identifying a particular </w:t>
      </w:r>
      <w:r w:rsidR="00D56EC7">
        <w:t xml:space="preserve">compliance </w:t>
      </w:r>
      <w:r w:rsidRPr="001D06D2">
        <w:t xml:space="preserve">problem, inefficiency, harm or </w:t>
      </w:r>
      <w:r w:rsidR="00D56EC7">
        <w:t xml:space="preserve">risk </w:t>
      </w:r>
      <w:r w:rsidRPr="001D06D2">
        <w:t>within the energy wholesale markets and working toward solving the issue or reducing its severity</w:t>
      </w:r>
      <w:r w:rsidR="00D56EC7">
        <w:t xml:space="preserve"> or likelihood</w:t>
      </w:r>
      <w:r w:rsidRPr="001D06D2">
        <w:t xml:space="preserve">. Most projects have had a tailored metric in order to measure the AER’s and industry’s success. </w:t>
      </w:r>
      <w:r w:rsidR="00640899">
        <w:t xml:space="preserve">An update on all current strategic compliance projects is below. </w:t>
      </w:r>
    </w:p>
    <w:p w:rsidR="00640899" w:rsidRPr="00C25586" w:rsidRDefault="00640899" w:rsidP="00640899">
      <w:pPr>
        <w:pStyle w:val="AERheading2"/>
        <w:tabs>
          <w:tab w:val="clear" w:pos="2484"/>
          <w:tab w:val="num" w:pos="357"/>
        </w:tabs>
        <w:ind w:left="357"/>
      </w:pPr>
      <w:bookmarkStart w:id="38" w:name="_Toc385507264"/>
      <w:r w:rsidRPr="00C25586">
        <w:t>MT PASA data accuracy</w:t>
      </w:r>
      <w:bookmarkEnd w:id="38"/>
    </w:p>
    <w:p w:rsidR="00007451" w:rsidRPr="00811AA2" w:rsidRDefault="00007451" w:rsidP="00007451">
      <w:pPr>
        <w:pStyle w:val="AERbodytext"/>
      </w:pPr>
      <w:r w:rsidRPr="00811AA2">
        <w:t xml:space="preserve">The </w:t>
      </w:r>
      <w:r>
        <w:t>m</w:t>
      </w:r>
      <w:r w:rsidRPr="00811AA2">
        <w:t xml:space="preserve">edium </w:t>
      </w:r>
      <w:r>
        <w:t>t</w:t>
      </w:r>
      <w:r w:rsidRPr="00811AA2">
        <w:t xml:space="preserve">erm </w:t>
      </w:r>
      <w:r>
        <w:t>p</w:t>
      </w:r>
      <w:r w:rsidRPr="00811AA2">
        <w:t xml:space="preserve">rojected </w:t>
      </w:r>
      <w:r>
        <w:t>a</w:t>
      </w:r>
      <w:r w:rsidRPr="00811AA2">
        <w:t xml:space="preserve">ssessment of </w:t>
      </w:r>
      <w:r>
        <w:t>s</w:t>
      </w:r>
      <w:r w:rsidRPr="00811AA2">
        <w:t xml:space="preserve">ystem </w:t>
      </w:r>
      <w:r>
        <w:t>a</w:t>
      </w:r>
      <w:r w:rsidRPr="00811AA2">
        <w:t>dequacy (</w:t>
      </w:r>
      <w:r w:rsidRPr="00811AA2">
        <w:rPr>
          <w:b/>
        </w:rPr>
        <w:t>MT PASA</w:t>
      </w:r>
      <w:r w:rsidRPr="00811AA2">
        <w:t>)</w:t>
      </w:r>
      <w:r>
        <w:t>, published by AEMO,</w:t>
      </w:r>
      <w:r w:rsidRPr="00811AA2">
        <w:t xml:space="preserve"> </w:t>
      </w:r>
      <w:proofErr w:type="gramStart"/>
      <w:r w:rsidRPr="00811AA2">
        <w:t>provides</w:t>
      </w:r>
      <w:proofErr w:type="gramEnd"/>
      <w:r w:rsidRPr="00811AA2">
        <w:t xml:space="preserve"> the medium term power system supply/demand balance prospects for the next 24 months. </w:t>
      </w:r>
      <w:r>
        <w:t>Following</w:t>
      </w:r>
      <w:r w:rsidRPr="00811AA2">
        <w:t xml:space="preserve"> the introduction of the carbon price </w:t>
      </w:r>
      <w:r>
        <w:t xml:space="preserve">in July 2012 </w:t>
      </w:r>
      <w:r w:rsidRPr="00811AA2">
        <w:t xml:space="preserve">and subsequent increased likelihood of generators’ operating modes becoming much more dynamic, it </w:t>
      </w:r>
      <w:r>
        <w:t xml:space="preserve">became more </w:t>
      </w:r>
      <w:r w:rsidRPr="00811AA2">
        <w:t>important that electricity generators provid</w:t>
      </w:r>
      <w:r>
        <w:t>ed</w:t>
      </w:r>
      <w:r w:rsidRPr="00811AA2">
        <w:t xml:space="preserve"> timely and accurate information, such as availability, to the market across all time horizons. If information in the MT PASA is not accurate, participants may make ill-informed decisions and</w:t>
      </w:r>
      <w:r w:rsidR="00D56EC7">
        <w:t>,</w:t>
      </w:r>
      <w:r w:rsidRPr="00811AA2">
        <w:t xml:space="preserve"> in the extreme</w:t>
      </w:r>
      <w:r w:rsidR="00D56EC7">
        <w:t xml:space="preserve">, </w:t>
      </w:r>
      <w:r w:rsidR="004825B4">
        <w:t xml:space="preserve">there could be </w:t>
      </w:r>
      <w:r>
        <w:t xml:space="preserve">an adverse </w:t>
      </w:r>
      <w:r w:rsidRPr="00811AA2">
        <w:t>impact on reserve levels and the reliability of the power system.</w:t>
      </w:r>
    </w:p>
    <w:p w:rsidR="00007451" w:rsidRPr="00811AA2" w:rsidRDefault="00007451" w:rsidP="00007451">
      <w:pPr>
        <w:pStyle w:val="AERbodytext"/>
      </w:pPr>
      <w:r w:rsidRPr="00811AA2">
        <w:t xml:space="preserve">In the </w:t>
      </w:r>
      <w:hyperlink r:id="rId18" w:history="1">
        <w:r>
          <w:rPr>
            <w:rStyle w:val="Hyperlink"/>
          </w:rPr>
          <w:t>March 2013 QCR</w:t>
        </w:r>
      </w:hyperlink>
      <w:r w:rsidRPr="00811AA2">
        <w:t>, we announced a strategic compliance project to review MT PASA data. The project was established to compare projected and actual generator availability per generation portfolio. While fluctuations were expected, the project sought to identify any significant systemic discrepancies.</w:t>
      </w:r>
    </w:p>
    <w:p w:rsidR="00007451" w:rsidRDefault="00007451" w:rsidP="00007451">
      <w:pPr>
        <w:pStyle w:val="AERbodytext"/>
      </w:pPr>
      <w:r>
        <w:t>As part of this project</w:t>
      </w:r>
      <w:r w:rsidRPr="00811AA2">
        <w:t xml:space="preserve">, we reviewed MT PASA data </w:t>
      </w:r>
      <w:r>
        <w:t>against actual generator availability from</w:t>
      </w:r>
      <w:r w:rsidRPr="00811AA2">
        <w:t xml:space="preserve"> 1</w:t>
      </w:r>
      <w:r>
        <w:t> </w:t>
      </w:r>
      <w:r w:rsidRPr="00811AA2">
        <w:t xml:space="preserve">October 2012 </w:t>
      </w:r>
      <w:r>
        <w:t xml:space="preserve">to 30 June 2013. In particular, we identified ‘zero availability’ periods of greater than seven days and compared these to the corresponding MT PASA data inputs. Seven days was identified as an appropriate threshold because since outages lasting longer than this period should generally be reflected in MT PASA. </w:t>
      </w:r>
    </w:p>
    <w:p w:rsidR="00007451" w:rsidRDefault="00007451" w:rsidP="00007451">
      <w:pPr>
        <w:pStyle w:val="AERbodytext"/>
      </w:pPr>
      <w:r>
        <w:t>Based on our review, we identified approximately 160 zero availability periods of greater than seven days. In most cases, these periods were fully or partially reflected in MT PASA. However, we also found four instances of zero availability for greater than 14 days which was not reflected in MT PASA. These events related to CS Energy and Stanwell.</w:t>
      </w:r>
    </w:p>
    <w:p w:rsidR="00007451" w:rsidRDefault="00007451" w:rsidP="00007451">
      <w:pPr>
        <w:pStyle w:val="AERbodytext"/>
      </w:pPr>
      <w:r>
        <w:t xml:space="preserve">In December 2013, we wrote to CS Energy and Stanwell to seek </w:t>
      </w:r>
      <w:r w:rsidRPr="00811AA2">
        <w:t xml:space="preserve">information </w:t>
      </w:r>
      <w:r>
        <w:t xml:space="preserve">to justify </w:t>
      </w:r>
      <w:r w:rsidRPr="00811AA2">
        <w:t xml:space="preserve">inconsistencies between the </w:t>
      </w:r>
      <w:r>
        <w:t xml:space="preserve">various forecasting systems. In January 2014, the two participants responded and confirmed that they did not update the MT PASA during these outages. </w:t>
      </w:r>
      <w:r w:rsidR="00F324A1">
        <w:t xml:space="preserve">Both </w:t>
      </w:r>
      <w:r>
        <w:t xml:space="preserve">Stanwell </w:t>
      </w:r>
      <w:r w:rsidR="00F324A1">
        <w:t xml:space="preserve">and CS Energy </w:t>
      </w:r>
      <w:r>
        <w:t xml:space="preserve">stated that </w:t>
      </w:r>
      <w:r w:rsidR="00F324A1">
        <w:t xml:space="preserve">they </w:t>
      </w:r>
      <w:r w:rsidR="000B6CDB">
        <w:t xml:space="preserve">did not </w:t>
      </w:r>
      <w:r w:rsidR="00F324A1">
        <w:t>update MT PASA during the forced outage</w:t>
      </w:r>
      <w:r w:rsidR="00D72F5E">
        <w:t xml:space="preserve"> period</w:t>
      </w:r>
      <w:r w:rsidR="00F324A1">
        <w:t xml:space="preserve">s as they did not </w:t>
      </w:r>
      <w:r w:rsidR="000B6CDB">
        <w:t xml:space="preserve">comprehend the </w:t>
      </w:r>
      <w:r>
        <w:t xml:space="preserve">complexity </w:t>
      </w:r>
      <w:r w:rsidR="000B6CDB">
        <w:t xml:space="preserve">of </w:t>
      </w:r>
      <w:r>
        <w:t xml:space="preserve">the </w:t>
      </w:r>
      <w:r w:rsidR="00F324A1">
        <w:t xml:space="preserve">respective </w:t>
      </w:r>
      <w:r>
        <w:t>forced outage</w:t>
      </w:r>
      <w:r w:rsidR="00F324A1">
        <w:t>s</w:t>
      </w:r>
      <w:r>
        <w:t xml:space="preserve"> </w:t>
      </w:r>
      <w:r w:rsidR="000B6CDB">
        <w:t xml:space="preserve">or </w:t>
      </w:r>
      <w:r>
        <w:t xml:space="preserve">expect </w:t>
      </w:r>
      <w:r w:rsidR="00D72F5E">
        <w:t xml:space="preserve">the affected </w:t>
      </w:r>
      <w:r>
        <w:t xml:space="preserve">units to be out </w:t>
      </w:r>
      <w:r w:rsidR="00D72F5E">
        <w:t xml:space="preserve">of service </w:t>
      </w:r>
      <w:r>
        <w:t>for as long as they were. However, CS Energy acknowledged that an inadvertent error led to MT PASA not being updated for a reserve shutdown. Both businesses have confirmed they will review their MT PASA processes to ensure compliance in the future.</w:t>
      </w:r>
    </w:p>
    <w:p w:rsidR="00640899" w:rsidRPr="00811AA2" w:rsidRDefault="00007451" w:rsidP="00640899">
      <w:pPr>
        <w:pStyle w:val="AERbodytext"/>
      </w:pPr>
      <w:r>
        <w:t>In 2014, the AER will continue to monitor these businesses, as well as the rest of the market, to ensure MT PASA is updated in accordance with the Electricity Rules. In particular, we will use the tools and measures we have developed as part of this strategic compliance project to ensure the ongoing accuracy of MT PASA data in the National Electricity Market (</w:t>
      </w:r>
      <w:r w:rsidRPr="00007451">
        <w:rPr>
          <w:b/>
        </w:rPr>
        <w:t>NEM</w:t>
      </w:r>
      <w:r>
        <w:t>).</w:t>
      </w:r>
      <w:r w:rsidR="00640899" w:rsidRPr="00811AA2">
        <w:t xml:space="preserve"> </w:t>
      </w:r>
    </w:p>
    <w:p w:rsidR="000B6CDB" w:rsidRPr="00C25586" w:rsidRDefault="000B6CDB" w:rsidP="000B6CDB">
      <w:pPr>
        <w:pStyle w:val="AERheading2"/>
        <w:tabs>
          <w:tab w:val="clear" w:pos="2484"/>
          <w:tab w:val="num" w:pos="357"/>
        </w:tabs>
        <w:ind w:left="357"/>
      </w:pPr>
      <w:bookmarkStart w:id="39" w:name="_Toc385507265"/>
      <w:bookmarkStart w:id="40" w:name="_Ref353364621"/>
      <w:bookmarkStart w:id="41" w:name="_Toc354149237"/>
      <w:r w:rsidRPr="00C25586">
        <w:lastRenderedPageBreak/>
        <w:t>Electricity metering metrics</w:t>
      </w:r>
      <w:bookmarkEnd w:id="39"/>
    </w:p>
    <w:p w:rsidR="000B6CDB" w:rsidRPr="003B7459" w:rsidRDefault="000B6CDB" w:rsidP="000B6CDB">
      <w:pPr>
        <w:pStyle w:val="AERbodytext"/>
        <w:rPr>
          <w:rStyle w:val="AERbody"/>
        </w:rPr>
      </w:pPr>
      <w:r w:rsidRPr="003B7459">
        <w:rPr>
          <w:rStyle w:val="AERbody"/>
        </w:rPr>
        <w:t>As highlighted by the AEMC’s Power of Choice review,</w:t>
      </w:r>
      <w:r>
        <w:rPr>
          <w:rStyle w:val="FootnoteReference"/>
          <w:szCs w:val="16"/>
        </w:rPr>
        <w:footnoteReference w:id="4"/>
      </w:r>
      <w:r w:rsidRPr="003B7459">
        <w:rPr>
          <w:rStyle w:val="AERbody"/>
        </w:rPr>
        <w:t xml:space="preserve"> metering arrangements play a crucial role in the current and future operation of the NEM. </w:t>
      </w:r>
      <w:r>
        <w:rPr>
          <w:rStyle w:val="AERbody"/>
        </w:rPr>
        <w:t>It</w:t>
      </w:r>
      <w:r w:rsidRPr="003B7459">
        <w:rPr>
          <w:rStyle w:val="AERbody"/>
        </w:rPr>
        <w:t xml:space="preserve"> is important to ensure participants comply with their metering obligations under the Electricity Rules in order to facilitate effective and efficient metering processes</w:t>
      </w:r>
      <w:r>
        <w:rPr>
          <w:rStyle w:val="AERbody"/>
        </w:rPr>
        <w:t xml:space="preserve">. </w:t>
      </w:r>
    </w:p>
    <w:p w:rsidR="000B6CDB" w:rsidRPr="00304045" w:rsidRDefault="000B6CDB" w:rsidP="000B6CDB">
      <w:pPr>
        <w:pStyle w:val="AERbodytext"/>
        <w:rPr>
          <w:rStyle w:val="AERbody"/>
        </w:rPr>
      </w:pPr>
      <w:r w:rsidRPr="00304045">
        <w:rPr>
          <w:rStyle w:val="AERbody"/>
        </w:rPr>
        <w:t xml:space="preserve">We currently have two projects focusing on this area—metering data quality and the upgrade of metering installations. </w:t>
      </w:r>
    </w:p>
    <w:p w:rsidR="000B6CDB" w:rsidRPr="00304045" w:rsidRDefault="000B6CDB" w:rsidP="000B6CDB">
      <w:pPr>
        <w:pStyle w:val="AERgenericboldheading"/>
      </w:pPr>
      <w:r w:rsidRPr="00304045">
        <w:t>Metering data quality</w:t>
      </w:r>
    </w:p>
    <w:p w:rsidR="000B6CDB" w:rsidRDefault="000B6CDB" w:rsidP="000B6CDB">
      <w:pPr>
        <w:pStyle w:val="AERbodytext"/>
        <w:rPr>
          <w:rStyle w:val="AERbody"/>
        </w:rPr>
      </w:pPr>
      <w:r w:rsidRPr="003B7459">
        <w:rPr>
          <w:rStyle w:val="AERbody"/>
        </w:rPr>
        <w:t xml:space="preserve">In consultation with AEMO, </w:t>
      </w:r>
      <w:r>
        <w:rPr>
          <w:rStyle w:val="AERbody"/>
        </w:rPr>
        <w:t>we</w:t>
      </w:r>
      <w:r w:rsidRPr="003B7459">
        <w:rPr>
          <w:rStyle w:val="AERbody"/>
        </w:rPr>
        <w:t xml:space="preserve"> monitor the quality of metering data provided to AEMO’s market settlement and transfer solution (</w:t>
      </w:r>
      <w:r w:rsidRPr="00D652B7">
        <w:rPr>
          <w:rStyle w:val="AERbody"/>
          <w:b/>
        </w:rPr>
        <w:t>MSATS</w:t>
      </w:r>
      <w:r w:rsidRPr="003B7459">
        <w:rPr>
          <w:rStyle w:val="AERbody"/>
        </w:rPr>
        <w:t xml:space="preserve">) system. The MSATS system captures important connection point information, such as the customer’s relevant distribution loss factor and retailer of last resort. It also captures actual and aggregated metering data. AEMO </w:t>
      </w:r>
      <w:r>
        <w:rPr>
          <w:rStyle w:val="AERbody"/>
        </w:rPr>
        <w:t xml:space="preserve">is currently developing new reporting metrics and seeking to </w:t>
      </w:r>
      <w:r w:rsidRPr="003B7459">
        <w:rPr>
          <w:rStyle w:val="AERbody"/>
        </w:rPr>
        <w:t xml:space="preserve">improve the performance of MSATS </w:t>
      </w:r>
      <w:r>
        <w:rPr>
          <w:rStyle w:val="AERbody"/>
        </w:rPr>
        <w:t xml:space="preserve">users using </w:t>
      </w:r>
      <w:r w:rsidRPr="003B7459">
        <w:rPr>
          <w:rStyle w:val="AERbody"/>
        </w:rPr>
        <w:t>targeted compliance activities and participant engagement.</w:t>
      </w:r>
      <w:r>
        <w:rPr>
          <w:rStyle w:val="AERbody"/>
        </w:rPr>
        <w:t xml:space="preserve"> We will continue to assist AEMO in this process.</w:t>
      </w:r>
    </w:p>
    <w:p w:rsidR="000B6CDB" w:rsidRDefault="000B6CDB" w:rsidP="000B6CDB">
      <w:pPr>
        <w:pStyle w:val="AERbodytext"/>
        <w:rPr>
          <w:rFonts w:eastAsia="Calibri"/>
        </w:rPr>
      </w:pPr>
      <w:r>
        <w:rPr>
          <w:rFonts w:eastAsia="Calibri"/>
        </w:rPr>
        <w:t xml:space="preserve">Figure 1.2 below </w:t>
      </w:r>
      <w:r w:rsidRPr="005064BF">
        <w:rPr>
          <w:rFonts w:eastAsia="Calibri"/>
        </w:rPr>
        <w:t xml:space="preserve">shows the number of </w:t>
      </w:r>
      <w:r>
        <w:rPr>
          <w:rFonts w:eastAsia="Calibri"/>
        </w:rPr>
        <w:t xml:space="preserve">MSATS </w:t>
      </w:r>
      <w:r w:rsidRPr="005064BF">
        <w:rPr>
          <w:rFonts w:eastAsia="Calibri"/>
        </w:rPr>
        <w:t xml:space="preserve">errors made by each Local </w:t>
      </w:r>
      <w:r>
        <w:rPr>
          <w:rFonts w:eastAsia="Calibri"/>
        </w:rPr>
        <w:t>Network Service Provider </w:t>
      </w:r>
      <w:r w:rsidRPr="005064BF">
        <w:rPr>
          <w:rFonts w:eastAsia="Calibri"/>
        </w:rPr>
        <w:t>(</w:t>
      </w:r>
      <w:r w:rsidRPr="005064BF">
        <w:rPr>
          <w:rFonts w:eastAsia="Calibri"/>
          <w:b/>
          <w:bCs/>
        </w:rPr>
        <w:t>LNSP</w:t>
      </w:r>
      <w:r w:rsidRPr="005064BF">
        <w:rPr>
          <w:rFonts w:eastAsia="Calibri"/>
        </w:rPr>
        <w:t xml:space="preserve">) in the last week of each month since April 2010. </w:t>
      </w:r>
      <w:r>
        <w:rPr>
          <w:rFonts w:eastAsia="Calibri"/>
        </w:rPr>
        <w:t xml:space="preserve">We have reviewed total error levels across the six errors and will be contacting LNSPs who have shown a consistently high number of errors over that period. </w:t>
      </w:r>
    </w:p>
    <w:p w:rsidR="000B6CDB" w:rsidRPr="00AC42D8" w:rsidRDefault="000B6CDB" w:rsidP="000B6CDB">
      <w:pPr>
        <w:pStyle w:val="AERfigureheading"/>
      </w:pPr>
      <w:r>
        <w:t>Total MSATS errors across all LNSPs</w:t>
      </w:r>
    </w:p>
    <w:p w:rsidR="000B6CDB" w:rsidRDefault="00D46FEA" w:rsidP="000B6CDB">
      <w:pPr>
        <w:pStyle w:val="AERbodytext"/>
      </w:pPr>
      <w:r>
        <w:pict>
          <v:shape id="_x0000_i1025" type="#_x0000_t75" alt="Total MSATS errors across all LNSPs" style="width:451.4pt;height:273.6pt">
            <v:imagedata r:id="rId19" o:title=""/>
          </v:shape>
        </w:pict>
      </w:r>
    </w:p>
    <w:p w:rsidR="000B6CDB" w:rsidRDefault="000B6CDB" w:rsidP="000B6CDB">
      <w:pPr>
        <w:pStyle w:val="AERgenericboldheading"/>
      </w:pPr>
      <w:r>
        <w:lastRenderedPageBreak/>
        <w:t>Upgrade of metering installations</w:t>
      </w:r>
    </w:p>
    <w:p w:rsidR="000B6CDB" w:rsidRPr="00E372DF" w:rsidRDefault="000B6CDB" w:rsidP="000B6CDB">
      <w:pPr>
        <w:pStyle w:val="AERbodytext"/>
      </w:pPr>
      <w:r>
        <w:t>The Power of Choice review noted that i</w:t>
      </w:r>
      <w:r w:rsidRPr="00E372DF">
        <w:t>nterval meters play an important role in facilitating demand side participation. The metering rules and metrology procedures establish a series of volume limits and accuracy thresholds for various types of meters. When the amount of energy through the meter exceeds that threshold, the meter should be upgraded.</w:t>
      </w:r>
    </w:p>
    <w:p w:rsidR="000B6CDB" w:rsidRPr="00E372DF" w:rsidRDefault="000B6CDB" w:rsidP="000B6CDB">
      <w:pPr>
        <w:pStyle w:val="AERbodytext"/>
      </w:pPr>
      <w:r w:rsidRPr="00E372DF">
        <w:t xml:space="preserve">In June 2013, AEMO advised the AER that there were at least 275 metering installations that exceed the </w:t>
      </w:r>
      <w:r>
        <w:t xml:space="preserve">accumulation meter </w:t>
      </w:r>
      <w:r w:rsidRPr="00E372DF">
        <w:t>volume threshold</w:t>
      </w:r>
      <w:r>
        <w:t xml:space="preserve"> of 160 MWh per annum</w:t>
      </w:r>
      <w:r w:rsidRPr="00E372DF">
        <w:t>. In response, we wrote to the 20</w:t>
      </w:r>
      <w:r>
        <w:t> </w:t>
      </w:r>
      <w:r w:rsidRPr="00E372DF">
        <w:t xml:space="preserve">retailers and distributors who have responsibility for these meters to seek resolution of the matter. </w:t>
      </w:r>
    </w:p>
    <w:p w:rsidR="000B6CDB" w:rsidRDefault="000B6CDB" w:rsidP="000B6CDB">
      <w:pPr>
        <w:pStyle w:val="AERbodytext"/>
      </w:pPr>
      <w:r>
        <w:t>The participant responses highlighted the complexity surrounding these regulatory arrangements. In particular, when the 160 MWh per annum consumption threshold is exceeded, the retailer should initiate a request in the MSATS system to become the responsible person for the connection point and upgrade the meter. However, the distributor will remain the RP for the connection point in the MSATS system until this occurs.</w:t>
      </w:r>
    </w:p>
    <w:p w:rsidR="000B6CDB" w:rsidRDefault="000B6CDB" w:rsidP="000B6CDB">
      <w:pPr>
        <w:pStyle w:val="AERbodytext"/>
      </w:pPr>
      <w:r>
        <w:t xml:space="preserve">In their responses, distributors indicated their frustrations in engaging with retailers on this matter. To resolve the issue, some distributors identified they had increased their communications with retailers to ensure the meter upgrades occurred. </w:t>
      </w:r>
      <w:r w:rsidR="00B514AD">
        <w:t>One</w:t>
      </w:r>
      <w:r>
        <w:t xml:space="preserve"> distributor also noted </w:t>
      </w:r>
      <w:r w:rsidR="00B514AD">
        <w:t xml:space="preserve">it was </w:t>
      </w:r>
      <w:r>
        <w:t xml:space="preserve">unable to apply a demand tariff until the meter was upgraded to an interval meter. </w:t>
      </w:r>
      <w:r w:rsidR="00B514AD">
        <w:t xml:space="preserve">It </w:t>
      </w:r>
      <w:r>
        <w:t xml:space="preserve">stated that a demand tariff was generally applied to connection points greater than 160 MWh per annum, however </w:t>
      </w:r>
      <w:r w:rsidR="00B514AD">
        <w:t xml:space="preserve">the tariff </w:t>
      </w:r>
      <w:r>
        <w:t xml:space="preserve">could not be applied if an accumulation meter was in place since it did not provide the appropriate data streams. </w:t>
      </w:r>
    </w:p>
    <w:p w:rsidR="000B6CDB" w:rsidRDefault="000B6CDB" w:rsidP="000B6CDB">
      <w:pPr>
        <w:pStyle w:val="AERbodytext"/>
      </w:pPr>
      <w:r>
        <w:t>Retailers acknowledged they were responsible for upgrading the meters. In their responses, they identified the processes they would use to upgrade the meters. However, they also identified the problems they have encountered in seeking to upgrade meters. These issues have included acquiring customer consent to proceed with the upgrades.</w:t>
      </w:r>
    </w:p>
    <w:p w:rsidR="000B6CDB" w:rsidRDefault="000B6CDB" w:rsidP="000B6CDB">
      <w:pPr>
        <w:pStyle w:val="AERbodytext"/>
      </w:pPr>
      <w:r>
        <w:t>As at 31 January 2014, there were 195 meters which are required to be upgraded. In 2014, we will engage with retailers to ensure progress is continued to be made on this compliance matter.</w:t>
      </w:r>
    </w:p>
    <w:p w:rsidR="000B6CDB" w:rsidRPr="00304045" w:rsidRDefault="000B6CDB" w:rsidP="000B6CDB">
      <w:pPr>
        <w:pStyle w:val="AERbodytext"/>
      </w:pPr>
      <w:r>
        <w:t xml:space="preserve">We will continue to report on the progress of these projects. </w:t>
      </w:r>
    </w:p>
    <w:p w:rsidR="00640899" w:rsidRPr="00C25586" w:rsidRDefault="00640899" w:rsidP="00640899">
      <w:pPr>
        <w:pStyle w:val="AERheading2"/>
        <w:tabs>
          <w:tab w:val="clear" w:pos="2484"/>
          <w:tab w:val="num" w:pos="357"/>
        </w:tabs>
        <w:ind w:left="357"/>
      </w:pPr>
      <w:bookmarkStart w:id="42" w:name="_Toc385507266"/>
      <w:r w:rsidRPr="00C25586">
        <w:t>Performance of ancillary services for regulation</w:t>
      </w:r>
      <w:bookmarkEnd w:id="40"/>
      <w:bookmarkEnd w:id="41"/>
      <w:bookmarkEnd w:id="42"/>
    </w:p>
    <w:p w:rsidR="00640899" w:rsidRPr="00C90151" w:rsidRDefault="00640899" w:rsidP="00640899">
      <w:pPr>
        <w:pStyle w:val="AERbodytext"/>
      </w:pPr>
      <w:r w:rsidRPr="00C90151">
        <w:t>Frequency Control Ancillary Services (</w:t>
      </w:r>
      <w:r w:rsidRPr="00C90151">
        <w:rPr>
          <w:b/>
        </w:rPr>
        <w:t>FCAS</w:t>
      </w:r>
      <w:r w:rsidRPr="00C90151">
        <w:t xml:space="preserve">) are used to maintain the power system frequency within the frequency standards set by the Reliability Panel. These services alter the output of generation or demand side </w:t>
      </w:r>
      <w:r w:rsidR="00C25586">
        <w:t>participants</w:t>
      </w:r>
      <w:r w:rsidRPr="00C90151">
        <w:t xml:space="preserve"> to ensure supply and demand are always in balance. </w:t>
      </w:r>
    </w:p>
    <w:p w:rsidR="00AE5AAF" w:rsidRPr="00C90151" w:rsidRDefault="00640899" w:rsidP="00AE5AAF">
      <w:pPr>
        <w:pStyle w:val="AERbodytext"/>
      </w:pPr>
      <w:r w:rsidRPr="00C90151">
        <w:t>One frequency control service is called ‘regulation’. There are two types of regulation services—raise and lower. Regulation services manage the small imbalances between supply and demand.</w:t>
      </w:r>
      <w:r w:rsidR="00AE5AAF" w:rsidRPr="00AE5AAF">
        <w:t xml:space="preserve"> </w:t>
      </w:r>
      <w:r w:rsidR="00AE5AAF" w:rsidRPr="00C90151">
        <w:t>AEMO continually monitors the power system frequency and sends control signals to generators providing regulation services via a centrally managed generator control system in order to maintain the frequency within the normal operating b</w:t>
      </w:r>
      <w:r w:rsidR="00AE5AAF">
        <w:t>and of 49.85Hz to 50.15Hz. Providers</w:t>
      </w:r>
      <w:r w:rsidR="00AE5AAF" w:rsidRPr="00C90151">
        <w:t xml:space="preserve"> of regulation services often receive signals related to regulation services simultaneously with dispatch instructions for the energy market. Providers of regulation services are paid based on the clearing price for the service and the amount of service enabled.</w:t>
      </w:r>
    </w:p>
    <w:p w:rsidR="00640899" w:rsidRPr="00C90151" w:rsidRDefault="00640899" w:rsidP="00640899">
      <w:pPr>
        <w:pStyle w:val="AERbodytext"/>
      </w:pPr>
      <w:r w:rsidRPr="00C90151">
        <w:t xml:space="preserve">In March 2013, we announced a strategic compliance project to assess whether providers of regulation services actually deliver the services they are paid to provide. The project came about as a result of some earlier work investigating the extent to which generators follow dispatch instructions. </w:t>
      </w:r>
      <w:r w:rsidRPr="00C90151">
        <w:lastRenderedPageBreak/>
        <w:t xml:space="preserve">Some generators had claimed that deviations from dispatch instructions are warranted if the generator is enabled to provide regulation services. For example, some generators argued that if they are providing 20MW of raise and lower regulation in addition to energy, they have a range of 40MW around their energy target within which they are always complying. While variations from the energy target will sometimes occur as regulation services are utilised, without assessing the generators’ performance in delivering regulation services in more detail it is difficult to validate those claims. </w:t>
      </w:r>
    </w:p>
    <w:p w:rsidR="00640899" w:rsidRPr="00C90151" w:rsidRDefault="00640899" w:rsidP="00640899">
      <w:pPr>
        <w:pStyle w:val="AERgenericboldheading"/>
      </w:pPr>
      <w:r w:rsidRPr="00C90151">
        <w:t>The project</w:t>
      </w:r>
    </w:p>
    <w:p w:rsidR="00640899" w:rsidRPr="00C90151" w:rsidRDefault="00640899" w:rsidP="00640899">
      <w:pPr>
        <w:pStyle w:val="AERbodytext"/>
      </w:pPr>
      <w:r w:rsidRPr="00C90151">
        <w:t xml:space="preserve">As a first step, we asked AEMO to develop a methodology to examine the performance of providers of regulation services and to review whether participants were delivering these services in a way that was consistent with the FCAS specification, </w:t>
      </w:r>
      <w:r w:rsidR="00CF7E95">
        <w:t>while meeting</w:t>
      </w:r>
      <w:r w:rsidRPr="00C90151">
        <w:t xml:space="preserve"> AEMO’s expectations.</w:t>
      </w:r>
    </w:p>
    <w:p w:rsidR="00640899" w:rsidRDefault="00640899" w:rsidP="00640899">
      <w:pPr>
        <w:pStyle w:val="AERbodytext"/>
      </w:pPr>
      <w:r w:rsidRPr="00C90151">
        <w:t xml:space="preserve">If an initial performance review indicated that there were potential compliance concerns, we would follow up with the relevant participant, to ensure that it was capable of delivering (and actually delivered) the appropriate amount of regulation services at the appropriate time in accordance with the </w:t>
      </w:r>
      <w:r>
        <w:t>Electricity Rules.</w:t>
      </w:r>
      <w:r>
        <w:rPr>
          <w:rStyle w:val="FootnoteReference"/>
        </w:rPr>
        <w:footnoteReference w:id="5"/>
      </w:r>
      <w:r w:rsidRPr="002A371B">
        <w:t xml:space="preserve"> </w:t>
      </w:r>
    </w:p>
    <w:p w:rsidR="00640899" w:rsidRPr="0051210C" w:rsidRDefault="00640899" w:rsidP="00640899">
      <w:pPr>
        <w:pStyle w:val="AERgenericboldheading"/>
      </w:pPr>
      <w:r w:rsidRPr="00367686">
        <w:t>Method for performance assessment of Regulation FCAS</w:t>
      </w:r>
    </w:p>
    <w:p w:rsidR="00640899" w:rsidRPr="00367686" w:rsidRDefault="00640899" w:rsidP="00640899">
      <w:pPr>
        <w:pStyle w:val="AERbodytext"/>
      </w:pPr>
      <w:r>
        <w:t>During 2013, AEMO developed a methodology to assess the performance of regulation FCAS providers. The process involved the following steps:</w:t>
      </w:r>
    </w:p>
    <w:p w:rsidR="00640899" w:rsidRPr="00367686" w:rsidRDefault="00640899" w:rsidP="00640899">
      <w:pPr>
        <w:pStyle w:val="AERbulletlistsecondstyle"/>
      </w:pPr>
      <w:r>
        <w:t>AEMO collected d</w:t>
      </w:r>
      <w:r w:rsidRPr="00367686">
        <w:t xml:space="preserve">ata on actual power output and targets for each </w:t>
      </w:r>
      <w:r>
        <w:t>r</w:t>
      </w:r>
      <w:r w:rsidRPr="00367686">
        <w:t xml:space="preserve">egulation FCAS </w:t>
      </w:r>
      <w:r>
        <w:t xml:space="preserve">service provider </w:t>
      </w:r>
      <w:r w:rsidRPr="00367686">
        <w:t xml:space="preserve">over </w:t>
      </w:r>
      <w:r>
        <w:t>a period of time, typically one month. To manage the extent of data involved</w:t>
      </w:r>
      <w:r w:rsidRPr="00367686">
        <w:t>, a samp</w:t>
      </w:r>
      <w:r>
        <w:t>ling rate of 60 seconds was used.</w:t>
      </w:r>
    </w:p>
    <w:p w:rsidR="00640899" w:rsidRPr="0051210C" w:rsidRDefault="00640899" w:rsidP="00640899">
      <w:pPr>
        <w:pStyle w:val="AERbulletlistsecondstyle"/>
      </w:pPr>
      <w:r>
        <w:t>F</w:t>
      </w:r>
      <w:r w:rsidRPr="0051210C">
        <w:t>or each sample</w:t>
      </w:r>
      <w:r>
        <w:t>, AEMO would determine</w:t>
      </w:r>
      <w:r w:rsidRPr="0051210C">
        <w:t>:</w:t>
      </w:r>
    </w:p>
    <w:p w:rsidR="00640899" w:rsidRPr="00C90151" w:rsidRDefault="00640899" w:rsidP="00640899">
      <w:pPr>
        <w:pStyle w:val="AERbulletlistsecondstyle"/>
        <w:numPr>
          <w:ilvl w:val="1"/>
          <w:numId w:val="1"/>
        </w:numPr>
      </w:pPr>
      <w:r w:rsidRPr="00C90151">
        <w:t xml:space="preserve">whether regulation FCAS was enabled for </w:t>
      </w:r>
      <w:r>
        <w:t>r</w:t>
      </w:r>
      <w:r w:rsidRPr="00C90151">
        <w:t xml:space="preserve">aise or </w:t>
      </w:r>
      <w:r>
        <w:t>l</w:t>
      </w:r>
      <w:r w:rsidRPr="00C90151">
        <w:t xml:space="preserve">ower regulating duty; and </w:t>
      </w:r>
    </w:p>
    <w:p w:rsidR="00640899" w:rsidRPr="00C90151" w:rsidRDefault="00640899" w:rsidP="00640899">
      <w:pPr>
        <w:pStyle w:val="AERbulletlistsecondstyle"/>
        <w:numPr>
          <w:ilvl w:val="1"/>
          <w:numId w:val="1"/>
        </w:numPr>
      </w:pPr>
      <w:r w:rsidRPr="00C90151">
        <w:t>whether the system frequency was above or below 50 Hz;</w:t>
      </w:r>
    </w:p>
    <w:p w:rsidR="00640899" w:rsidRPr="00C90151" w:rsidRDefault="00640899" w:rsidP="00640899">
      <w:pPr>
        <w:pStyle w:val="AERbulletlistsecondstyle"/>
      </w:pPr>
      <w:r>
        <w:t>W</w:t>
      </w:r>
      <w:r w:rsidRPr="0051210C">
        <w:t xml:space="preserve">hen the system frequency is less than 50 Hz, </w:t>
      </w:r>
      <w:r>
        <w:t>r</w:t>
      </w:r>
      <w:r w:rsidRPr="0051210C">
        <w:t xml:space="preserve">aise </w:t>
      </w:r>
      <w:r>
        <w:t>r</w:t>
      </w:r>
      <w:r w:rsidRPr="0051210C">
        <w:t xml:space="preserve">egulation FCAS </w:t>
      </w:r>
      <w:r>
        <w:t xml:space="preserve">providers </w:t>
      </w:r>
      <w:r w:rsidRPr="0051210C">
        <w:t>are considered compliant if their actual power output is greater than or equal t</w:t>
      </w:r>
      <w:r>
        <w:t>o its automatic generation control (</w:t>
      </w:r>
      <w:r w:rsidRPr="00C90151">
        <w:rPr>
          <w:b/>
        </w:rPr>
        <w:t>AGC</w:t>
      </w:r>
      <w:r>
        <w:t>) target control signal</w:t>
      </w:r>
    </w:p>
    <w:p w:rsidR="00640899" w:rsidRPr="00C90151" w:rsidRDefault="00640899" w:rsidP="00640899">
      <w:pPr>
        <w:pStyle w:val="AERbulletlistsecondstyle"/>
      </w:pPr>
      <w:r w:rsidRPr="0051210C">
        <w:t>When the system fr</w:t>
      </w:r>
      <w:r>
        <w:t>equency is greater than 50 Hz, l</w:t>
      </w:r>
      <w:r w:rsidRPr="0051210C">
        <w:t xml:space="preserve">ower </w:t>
      </w:r>
      <w:r>
        <w:t>r</w:t>
      </w:r>
      <w:r w:rsidRPr="0051210C">
        <w:t>egulation FCAS are considered compliant if their actual power output is less than or equal to its AGC target control signal;</w:t>
      </w:r>
    </w:p>
    <w:p w:rsidR="00640899" w:rsidRPr="00C90151" w:rsidRDefault="00640899" w:rsidP="00640899">
      <w:pPr>
        <w:pStyle w:val="AERbulletlistsecondstyle"/>
      </w:pPr>
      <w:r w:rsidRPr="00025B95">
        <w:t xml:space="preserve">A compliance assessment </w:t>
      </w:r>
      <w:r>
        <w:t xml:space="preserve">of a generator </w:t>
      </w:r>
      <w:r w:rsidRPr="00025B95">
        <w:t>would only be made if:</w:t>
      </w:r>
    </w:p>
    <w:p w:rsidR="00640899" w:rsidRPr="00C90151" w:rsidRDefault="00640899" w:rsidP="00640899">
      <w:pPr>
        <w:pStyle w:val="AERbulletlistsecondstyle"/>
        <w:numPr>
          <w:ilvl w:val="1"/>
          <w:numId w:val="1"/>
        </w:numPr>
      </w:pPr>
      <w:r>
        <w:t>t</w:t>
      </w:r>
      <w:r w:rsidRPr="00C90151">
        <w:t>he amount of regulation FCAS enabled was greater than 1 MW</w:t>
      </w:r>
    </w:p>
    <w:p w:rsidR="00640899" w:rsidRPr="00C90151" w:rsidRDefault="00640899" w:rsidP="00640899">
      <w:pPr>
        <w:pStyle w:val="AERbulletlistsecondstyle"/>
        <w:numPr>
          <w:ilvl w:val="1"/>
          <w:numId w:val="1"/>
        </w:numPr>
      </w:pPr>
      <w:r>
        <w:t>t</w:t>
      </w:r>
      <w:r w:rsidRPr="00C90151">
        <w:t>he system frequency at the time was more than 0.01 Hz away from 50 Hz; and</w:t>
      </w:r>
    </w:p>
    <w:p w:rsidR="00640899" w:rsidRPr="00C90151" w:rsidRDefault="00640899" w:rsidP="00640899">
      <w:pPr>
        <w:pStyle w:val="AERbulletlistsecondstyle"/>
        <w:numPr>
          <w:ilvl w:val="1"/>
          <w:numId w:val="1"/>
        </w:numPr>
      </w:pPr>
      <w:r>
        <w:t>t</w:t>
      </w:r>
      <w:r w:rsidRPr="00C90151">
        <w:t>he actual power output was non-compliant by more the 10 per cent of the AGC target.</w:t>
      </w:r>
    </w:p>
    <w:p w:rsidR="00640899" w:rsidRDefault="00640899" w:rsidP="00640899">
      <w:pPr>
        <w:pStyle w:val="AERbodytext"/>
      </w:pPr>
      <w:r>
        <w:t xml:space="preserve">While a number of factors, such as </w:t>
      </w:r>
      <w:r w:rsidRPr="00367686">
        <w:t>inherent time delay</w:t>
      </w:r>
      <w:r>
        <w:t>s</w:t>
      </w:r>
      <w:r w:rsidRPr="00367686">
        <w:t xml:space="preserve"> between a </w:t>
      </w:r>
      <w:r>
        <w:t>r</w:t>
      </w:r>
      <w:r w:rsidRPr="00367686">
        <w:t xml:space="preserve">egulation FCAS </w:t>
      </w:r>
      <w:r>
        <w:t xml:space="preserve">provider </w:t>
      </w:r>
      <w:r w:rsidRPr="00367686">
        <w:t xml:space="preserve">receiving an AGC signal and responding to </w:t>
      </w:r>
      <w:r>
        <w:t xml:space="preserve">that </w:t>
      </w:r>
      <w:r w:rsidRPr="00367686">
        <w:t>signal</w:t>
      </w:r>
      <w:r>
        <w:t xml:space="preserve"> and AEMO’s relatively </w:t>
      </w:r>
      <w:r w:rsidRPr="00367686">
        <w:t>low sampling rate</w:t>
      </w:r>
      <w:r>
        <w:t xml:space="preserve">, may </w:t>
      </w:r>
      <w:r>
        <w:lastRenderedPageBreak/>
        <w:t>limit the precision of this methodology, we consider it is an appropriate</w:t>
      </w:r>
      <w:r w:rsidRPr="00367686">
        <w:t xml:space="preserve"> filtering tool to identify </w:t>
      </w:r>
      <w:r>
        <w:t>r</w:t>
      </w:r>
      <w:r w:rsidRPr="00367686">
        <w:t xml:space="preserve">egulation FCAS </w:t>
      </w:r>
      <w:r>
        <w:t xml:space="preserve">non-compliance </w:t>
      </w:r>
      <w:r w:rsidRPr="00367686">
        <w:t xml:space="preserve">that may need to be </w:t>
      </w:r>
      <w:r>
        <w:t xml:space="preserve">examined </w:t>
      </w:r>
      <w:r w:rsidRPr="00367686">
        <w:t>in greater detail.</w:t>
      </w:r>
    </w:p>
    <w:p w:rsidR="00640899" w:rsidRPr="0051210C" w:rsidRDefault="00640899" w:rsidP="00CF7E95">
      <w:pPr>
        <w:pStyle w:val="AERgenericboldheading"/>
      </w:pPr>
      <w:r>
        <w:t>Results of analysis September</w:t>
      </w:r>
      <w:r w:rsidR="00CF7E95">
        <w:t xml:space="preserve"> –</w:t>
      </w:r>
      <w:r>
        <w:t xml:space="preserve"> November 2013</w:t>
      </w:r>
    </w:p>
    <w:p w:rsidR="00640899" w:rsidRPr="00C90151" w:rsidRDefault="00640899" w:rsidP="00640899">
      <w:pPr>
        <w:pStyle w:val="AERbodytext"/>
      </w:pPr>
      <w:r>
        <w:t xml:space="preserve">In December 2013 </w:t>
      </w:r>
      <w:r w:rsidRPr="00C90151">
        <w:t xml:space="preserve">AEMO provided </w:t>
      </w:r>
      <w:r>
        <w:t xml:space="preserve">the AER with a </w:t>
      </w:r>
      <w:r w:rsidRPr="00C90151">
        <w:t>report which covered the three months to November</w:t>
      </w:r>
      <w:r>
        <w:t xml:space="preserve"> 2013</w:t>
      </w:r>
      <w:r w:rsidRPr="00C90151">
        <w:t xml:space="preserve">. </w:t>
      </w:r>
      <w:r>
        <w:t xml:space="preserve">The report </w:t>
      </w:r>
      <w:r w:rsidRPr="00C90151">
        <w:t>highlighted that on average, the number of minutes where regulation services were not appropriate</w:t>
      </w:r>
      <w:r>
        <w:t>ly</w:t>
      </w:r>
      <w:r w:rsidRPr="00C90151">
        <w:t xml:space="preserve"> delivered compared to the number of minutes where generators were enabled to provide those services ranged between </w:t>
      </w:r>
      <w:r w:rsidR="00C25586">
        <w:t>six per cent</w:t>
      </w:r>
      <w:r w:rsidR="00C25586" w:rsidRPr="00C90151">
        <w:t xml:space="preserve"> </w:t>
      </w:r>
      <w:r w:rsidRPr="00C90151">
        <w:t xml:space="preserve">and almost 30 </w:t>
      </w:r>
      <w:r>
        <w:t xml:space="preserve">per cent. </w:t>
      </w:r>
      <w:r w:rsidRPr="00C90151">
        <w:t>Generators in some regions appear to have consistently performed worse than others</w:t>
      </w:r>
      <w:r w:rsidR="00005DB1">
        <w:t xml:space="preserve"> with non-compliance as high as almost 40 per cent in some instances</w:t>
      </w:r>
      <w:r w:rsidRPr="00C90151">
        <w:t xml:space="preserve">. </w:t>
      </w:r>
      <w:r w:rsidRPr="00B8755F">
        <w:t xml:space="preserve">Figure </w:t>
      </w:r>
      <w:r w:rsidR="00B8755F" w:rsidRPr="00B8755F">
        <w:t>1.1</w:t>
      </w:r>
      <w:r w:rsidRPr="00B8755F">
        <w:t xml:space="preserve"> below</w:t>
      </w:r>
      <w:r w:rsidRPr="00C90151">
        <w:t xml:space="preserve"> shows the average </w:t>
      </w:r>
      <w:r>
        <w:t>proportion</w:t>
      </w:r>
      <w:r w:rsidRPr="00C90151">
        <w:t xml:space="preserve"> of time generators were not delivering regulat</w:t>
      </w:r>
      <w:r w:rsidR="00C10AC2">
        <w:t>ion</w:t>
      </w:r>
      <w:r w:rsidRPr="00C90151">
        <w:t xml:space="preserve"> services when required in each region of the NEM across the </w:t>
      </w:r>
      <w:r>
        <w:t xml:space="preserve">three </w:t>
      </w:r>
      <w:r w:rsidRPr="00C90151">
        <w:t>months to November 2013.</w:t>
      </w:r>
    </w:p>
    <w:p w:rsidR="00640899" w:rsidRPr="00B8755F" w:rsidRDefault="00640899" w:rsidP="00B8755F">
      <w:pPr>
        <w:pStyle w:val="AERfigureheading"/>
      </w:pPr>
      <w:r w:rsidRPr="00B8755F">
        <w:t>Average proportion of time regulation service provid</w:t>
      </w:r>
      <w:r w:rsidR="00CF7E95" w:rsidRPr="00B8755F">
        <w:t>ers are not delivering services</w:t>
      </w:r>
    </w:p>
    <w:p w:rsidR="00B8755F" w:rsidRDefault="00D46FEA" w:rsidP="00B8755F">
      <w:pPr>
        <w:rPr>
          <w:rFonts w:ascii="Gautami" w:eastAsia="Times New Roman" w:hAnsi="Gautami"/>
          <w:sz w:val="20"/>
          <w:szCs w:val="24"/>
        </w:rPr>
      </w:pPr>
      <w:r>
        <w:pict>
          <v:shape id="_x0000_i1026" type="#_x0000_t75" alt="Average proportion of time regulation service providers are not delivering services" style="width:450.8pt;height:296.75pt">
            <v:imagedata r:id="rId20" o:title=""/>
          </v:shape>
        </w:pict>
      </w:r>
    </w:p>
    <w:p w:rsidR="00640899" w:rsidRDefault="00640899" w:rsidP="00640899">
      <w:pPr>
        <w:jc w:val="center"/>
        <w:rPr>
          <w:rFonts w:ascii="Gautami" w:eastAsia="Times New Roman" w:hAnsi="Gautami"/>
          <w:sz w:val="20"/>
          <w:szCs w:val="24"/>
        </w:rPr>
      </w:pPr>
    </w:p>
    <w:p w:rsidR="00640899" w:rsidRDefault="00640899" w:rsidP="00640899">
      <w:pPr>
        <w:pStyle w:val="AERbodytext"/>
      </w:pPr>
      <w:r>
        <w:t>The report highlighted two examples where participants appear to have performed particularly poorly</w:t>
      </w:r>
      <w:r w:rsidRPr="00C90151">
        <w:t>—</w:t>
      </w:r>
      <w:r>
        <w:t xml:space="preserve">one incident where the participant failed to follow its </w:t>
      </w:r>
      <w:r w:rsidR="00005DB1">
        <w:t>dispatch instructions in the energy market</w:t>
      </w:r>
      <w:r>
        <w:t>, while the other highlighted a more systemic failure to follow AGC targets in a timely manner. We have written to both participants to understand the circumstances for the apparent poor performance and to ensure that these service providers comply with the Electricity Rules and FCAS specifications by effectively delivering the regulation services for which they are paid.</w:t>
      </w:r>
    </w:p>
    <w:p w:rsidR="00640899" w:rsidRPr="002A371B" w:rsidRDefault="00640899" w:rsidP="00640899">
      <w:pPr>
        <w:pStyle w:val="AERbodytext"/>
      </w:pPr>
      <w:r>
        <w:t xml:space="preserve">While this stage of the </w:t>
      </w:r>
      <w:r w:rsidRPr="00D87BB3">
        <w:t>strategic compliance project</w:t>
      </w:r>
      <w:r>
        <w:t xml:space="preserve"> is now complete, we will continue to refine the monitoring criteria and receive monthly performance reports from AEMO. We will monitor regulation FCAS performance and where appropriate take steps, in conjunction with AEMO, to ensure compliance with the requirements of ancillary service arrangements and the Electricity Rules are satisfied.</w:t>
      </w:r>
    </w:p>
    <w:p w:rsidR="001B3EBA" w:rsidRPr="00C25586" w:rsidRDefault="001B3EBA" w:rsidP="001B3EBA">
      <w:pPr>
        <w:pStyle w:val="AERheading2"/>
        <w:tabs>
          <w:tab w:val="clear" w:pos="2484"/>
          <w:tab w:val="num" w:pos="357"/>
        </w:tabs>
        <w:ind w:left="357"/>
      </w:pPr>
      <w:bookmarkStart w:id="43" w:name="_Toc385507267"/>
      <w:r w:rsidRPr="00C25586">
        <w:lastRenderedPageBreak/>
        <w:t>Trends in power system operating incident reports</w:t>
      </w:r>
      <w:bookmarkEnd w:id="43"/>
      <w:r w:rsidRPr="00C25586">
        <w:t xml:space="preserve"> </w:t>
      </w:r>
    </w:p>
    <w:p w:rsidR="001B3EBA" w:rsidRDefault="001B3EBA" w:rsidP="001B3EBA">
      <w:pPr>
        <w:pStyle w:val="AERbodytext"/>
      </w:pPr>
      <w:r>
        <w:t>The AER relies on various information sources to support our compliance monitoring activities. One source of information is AEMO’s power system operating incident reports, which are published in accordance with clause 4.8.15 of the Electricity Rules. These reports assess the response of network businesses and market participant facilities following a power system event, such as non-credible contingency, multiple contingency</w:t>
      </w:r>
      <w:r w:rsidR="00D47940">
        <w:t>, periods where the power system is not secure, the frequency is outside defined limits or customer load shedding is required</w:t>
      </w:r>
      <w:r w:rsidR="004D1804">
        <w:t>.</w:t>
      </w:r>
      <w:r w:rsidR="00D47940">
        <w:t xml:space="preserve"> </w:t>
      </w:r>
    </w:p>
    <w:p w:rsidR="001B3EBA" w:rsidRPr="00847B21" w:rsidRDefault="001B3EBA" w:rsidP="001B3EBA">
      <w:pPr>
        <w:pStyle w:val="AERbodytext"/>
        <w:rPr>
          <w:rFonts w:ascii="Calibri" w:hAnsi="Calibri" w:cs="Calibri"/>
        </w:rPr>
      </w:pPr>
      <w:r>
        <w:t xml:space="preserve">During 2013 we conducted a strategic compliance project to review the material included in power system incident reports. The purpose of this project </w:t>
      </w:r>
      <w:r w:rsidR="00D47940">
        <w:t xml:space="preserve">was </w:t>
      </w:r>
      <w:r>
        <w:t xml:space="preserve">to enable us to gain insights into power system incidents trends and identify issues that may warrant further focus by participants and to use this information to guide our compliance monitoring activities. </w:t>
      </w:r>
    </w:p>
    <w:p w:rsidR="001B3EBA" w:rsidRDefault="001B3EBA" w:rsidP="001B3EBA">
      <w:pPr>
        <w:pStyle w:val="AERbodytext"/>
        <w:rPr>
          <w:rFonts w:ascii="Arial" w:hAnsi="Arial" w:cs="Arial"/>
        </w:rPr>
      </w:pPr>
      <w:r>
        <w:t xml:space="preserve">As part of the review we collated information from each power system incident report and assessed whether significant or systemic compliance issues existed and if so whether any action was required. We also conducted a detailed analysis to detect and review participants’ performance and compliance trends. Specifically, we were able to gain insights into: </w:t>
      </w:r>
    </w:p>
    <w:p w:rsidR="001B3EBA" w:rsidRDefault="001B3EBA" w:rsidP="001B3EBA">
      <w:pPr>
        <w:pStyle w:val="AERbulletlistsecondstyle"/>
      </w:pPr>
      <w:r>
        <w:t xml:space="preserve">the correlation between participants’ performance and power system events </w:t>
      </w:r>
    </w:p>
    <w:p w:rsidR="001B3EBA" w:rsidRDefault="001B3EBA" w:rsidP="001B3EBA">
      <w:pPr>
        <w:pStyle w:val="AERbulletlistsecondstyle"/>
      </w:pPr>
      <w:r>
        <w:t>the common causes of power system incidents</w:t>
      </w:r>
    </w:p>
    <w:p w:rsidR="001B3EBA" w:rsidRDefault="001B3EBA" w:rsidP="001B3EBA">
      <w:pPr>
        <w:pStyle w:val="AERbulletlistsecondstyle"/>
      </w:pPr>
      <w:r>
        <w:t>trends (improvements or systemic issues) of an operational nature over time.</w:t>
      </w:r>
    </w:p>
    <w:p w:rsidR="001B3EBA" w:rsidRDefault="001B3EBA" w:rsidP="001B3EBA">
      <w:pPr>
        <w:pStyle w:val="AERbodytext"/>
      </w:pPr>
      <w:r>
        <w:t xml:space="preserve">AEMO reported a total of 330 power system incidents over the </w:t>
      </w:r>
      <w:r w:rsidR="00C25586">
        <w:t>between</w:t>
      </w:r>
      <w:r w:rsidR="00D47940">
        <w:t xml:space="preserve"> </w:t>
      </w:r>
      <w:r>
        <w:t>2006</w:t>
      </w:r>
      <w:r w:rsidR="00C25586">
        <w:t xml:space="preserve"> and </w:t>
      </w:r>
      <w:r>
        <w:t xml:space="preserve">2013. The region with the highest occurrence of power system incidents was Queensland with 93, followed by </w:t>
      </w:r>
      <w:r w:rsidR="00C25586">
        <w:t>Victoria </w:t>
      </w:r>
      <w:r>
        <w:t>(73), New South Wales (58), South Australia (54), and Tasmania (52). Victoria</w:t>
      </w:r>
      <w:r w:rsidR="00D47940">
        <w:t xml:space="preserve">, which has the third largest transmission system recorded </w:t>
      </w:r>
      <w:r>
        <w:t>the second highest number of power system incidents</w:t>
      </w:r>
      <w:r w:rsidR="00C25586">
        <w:t xml:space="preserve">, </w:t>
      </w:r>
      <w:r w:rsidR="00FD7CA1">
        <w:t xml:space="preserve">in part </w:t>
      </w:r>
      <w:r w:rsidR="00C25586">
        <w:t xml:space="preserve">due to an increased number of incidents </w:t>
      </w:r>
      <w:r>
        <w:t>in 2009</w:t>
      </w:r>
      <w:r w:rsidR="00D47940">
        <w:t xml:space="preserve"> </w:t>
      </w:r>
      <w:r w:rsidR="00C25586">
        <w:t xml:space="preserve">associated with </w:t>
      </w:r>
      <w:r>
        <w:t xml:space="preserve">the February bushfire which </w:t>
      </w:r>
      <w:r w:rsidR="00C25586">
        <w:t xml:space="preserve">affected </w:t>
      </w:r>
      <w:r>
        <w:t>a number of transmission assets. Of the total 330 power system incidents:</w:t>
      </w:r>
    </w:p>
    <w:p w:rsidR="001B3EBA" w:rsidRDefault="001B3EBA" w:rsidP="001B3EBA">
      <w:pPr>
        <w:pStyle w:val="AERbulletlistsecondstyle"/>
      </w:pPr>
      <w:r>
        <w:t>over 200 events were non-credible contingency events</w:t>
      </w:r>
    </w:p>
    <w:p w:rsidR="001B3EBA" w:rsidRDefault="001B3EBA" w:rsidP="001B3EBA">
      <w:pPr>
        <w:pStyle w:val="AERbulletlistsecondstyle"/>
      </w:pPr>
      <w:r>
        <w:t xml:space="preserve">around a third resulted in the loss of generation </w:t>
      </w:r>
    </w:p>
    <w:p w:rsidR="001B3EBA" w:rsidRDefault="001B3EBA" w:rsidP="001B3EBA">
      <w:pPr>
        <w:pStyle w:val="AERbulletlistsecondstyle"/>
      </w:pPr>
      <w:r>
        <w:t xml:space="preserve">a quarter resulted in the interruption to customer supplies. </w:t>
      </w:r>
    </w:p>
    <w:p w:rsidR="001B3EBA" w:rsidRDefault="001B3EBA" w:rsidP="001B3EBA">
      <w:pPr>
        <w:pStyle w:val="AERbodytext"/>
      </w:pPr>
      <w:r>
        <w:t xml:space="preserve">We conducted a more detailed analysis to review maloperations, for example where the power system equipment did not operate as designed, or where the event was the result of human error. This </w:t>
      </w:r>
      <w:r w:rsidR="00D47940">
        <w:t xml:space="preserve">aspect of the </w:t>
      </w:r>
      <w:r>
        <w:t xml:space="preserve">review aimed to provide </w:t>
      </w:r>
      <w:r w:rsidR="00D47940">
        <w:t xml:space="preserve">early warning </w:t>
      </w:r>
      <w:r>
        <w:t>indicators of procedural or process failures within the network or generator businesses. It considered incidents from 2010 until mid</w:t>
      </w:r>
      <w:r w:rsidR="003E3607">
        <w:t>-</w:t>
      </w:r>
      <w:r>
        <w:t>2013. Key findings were:</w:t>
      </w:r>
    </w:p>
    <w:p w:rsidR="001B3EBA" w:rsidRDefault="0035587C" w:rsidP="003E3607">
      <w:pPr>
        <w:pStyle w:val="AERbulletlistsecondstyle"/>
      </w:pPr>
      <w:r>
        <w:t xml:space="preserve">there were 37 maloperation events, </w:t>
      </w:r>
      <w:r w:rsidR="001B3EBA">
        <w:t xml:space="preserve">the majority of these events were related to incorrect protection settings and faulty logic of protection relays. </w:t>
      </w:r>
      <w:r w:rsidR="00564ED8">
        <w:t xml:space="preserve">In some regions there were repeated faults on the same transmission asset. </w:t>
      </w:r>
      <w:r w:rsidR="004D1804">
        <w:t>This may be a</w:t>
      </w:r>
      <w:r w:rsidR="00564ED8">
        <w:t>n</w:t>
      </w:r>
      <w:r w:rsidR="004D1804">
        <w:t xml:space="preserve"> indication of shortcomings in the way network businesses implement and </w:t>
      </w:r>
      <w:r w:rsidR="004D1804" w:rsidRPr="004D1804">
        <w:t xml:space="preserve">maintain a compliance program </w:t>
      </w:r>
      <w:r w:rsidR="00564ED8">
        <w:t xml:space="preserve">in accordance with clause 5.7.4 of the Electricity Rules. </w:t>
      </w:r>
      <w:r w:rsidR="003E3607" w:rsidRPr="004D1804">
        <w:t>T</w:t>
      </w:r>
      <w:r w:rsidR="003E3607">
        <w:t>his clause requires a network business t</w:t>
      </w:r>
      <w:r w:rsidR="003E3607" w:rsidRPr="004D1804">
        <w:t>o</w:t>
      </w:r>
      <w:r w:rsidR="004D1804" w:rsidRPr="004D1804">
        <w:t xml:space="preserve"> ensure that </w:t>
      </w:r>
      <w:r w:rsidR="00E812D3">
        <w:t>certain</w:t>
      </w:r>
      <w:r w:rsidR="00E812D3" w:rsidRPr="004D1804">
        <w:t xml:space="preserve"> </w:t>
      </w:r>
      <w:r w:rsidR="004D1804" w:rsidRPr="004D1804">
        <w:t xml:space="preserve">facilities </w:t>
      </w:r>
      <w:r w:rsidR="00E812D3">
        <w:t>(</w:t>
      </w:r>
      <w:r w:rsidR="004D1804" w:rsidRPr="004D1804">
        <w:t>to the extent that the proper operation of a facility may affect power system security</w:t>
      </w:r>
      <w:r w:rsidR="00E812D3">
        <w:t>)</w:t>
      </w:r>
      <w:r w:rsidR="004D1804" w:rsidRPr="004D1804">
        <w:t xml:space="preserve"> operate reliably and in accordance with their performance requirements under schedule 5.1</w:t>
      </w:r>
      <w:r w:rsidR="001B3EBA">
        <w:t xml:space="preserve">. </w:t>
      </w:r>
    </w:p>
    <w:p w:rsidR="001B3EBA" w:rsidRDefault="001B3EBA" w:rsidP="001B3EBA">
      <w:pPr>
        <w:pStyle w:val="AERbulletlistsecondstyle"/>
      </w:pPr>
      <w:r>
        <w:lastRenderedPageBreak/>
        <w:t>there were 22 operator error events. The majority of these errors occurred during equipment maintenance, with a significant number of these related to incorrect isolation of equipment.</w:t>
      </w:r>
      <w:r w:rsidR="00564ED8" w:rsidRPr="00564ED8">
        <w:t xml:space="preserve"> </w:t>
      </w:r>
      <w:r w:rsidR="00564ED8">
        <w:t>This raises the question of whether participants have appropriate maintenance procedures and processes consistent with good industry practice.</w:t>
      </w:r>
      <w:r>
        <w:t xml:space="preserve"> </w:t>
      </w:r>
    </w:p>
    <w:p w:rsidR="00450D34" w:rsidRDefault="0035587C" w:rsidP="001B3EBA">
      <w:pPr>
        <w:pStyle w:val="AERbodytext"/>
      </w:pPr>
      <w:r>
        <w:t>The number of maloperations and human error raises a number of concerns</w:t>
      </w:r>
      <w:r w:rsidR="00FA06B3">
        <w:t>.</w:t>
      </w:r>
      <w:r>
        <w:t xml:space="preserve"> </w:t>
      </w:r>
      <w:r w:rsidR="00564ED8">
        <w:t xml:space="preserve">A requirement to report the maloperation of protection equipment has recently been introduced into the </w:t>
      </w:r>
      <w:r w:rsidR="00564ED8" w:rsidRPr="00564ED8">
        <w:t>service target performance incentive scheme (</w:t>
      </w:r>
      <w:r w:rsidR="00564ED8" w:rsidRPr="003E3607">
        <w:rPr>
          <w:b/>
        </w:rPr>
        <w:t>STPIS</w:t>
      </w:r>
      <w:r w:rsidR="00564ED8" w:rsidRPr="00564ED8">
        <w:t xml:space="preserve">) </w:t>
      </w:r>
      <w:r w:rsidR="00564ED8">
        <w:t xml:space="preserve">that applies to </w:t>
      </w:r>
      <w:r w:rsidR="003E3607">
        <w:t>t</w:t>
      </w:r>
      <w:r w:rsidR="00564ED8">
        <w:t xml:space="preserve">ransmission network businesses. </w:t>
      </w:r>
    </w:p>
    <w:p w:rsidR="001B3EBA" w:rsidRDefault="001B3EBA" w:rsidP="001B3EBA">
      <w:pPr>
        <w:pStyle w:val="AERbodytext"/>
      </w:pPr>
      <w:r>
        <w:t xml:space="preserve">We will use the findings </w:t>
      </w:r>
      <w:r w:rsidR="00450D34">
        <w:t xml:space="preserve">of this review </w:t>
      </w:r>
      <w:r>
        <w:t>and future power system incident reports to further refine and tailor our technical compliance audit framework for the requirements of Electricity Rules clauses 4.15 (electricity generators) and 5.7.4 (network service providers).</w:t>
      </w:r>
      <w:r w:rsidRPr="0066050B">
        <w:t xml:space="preserve"> </w:t>
      </w:r>
    </w:p>
    <w:p w:rsidR="001B3EBA" w:rsidRDefault="001B3EBA" w:rsidP="001B3EBA">
      <w:pPr>
        <w:pStyle w:val="AERbodytext"/>
        <w:rPr>
          <w:szCs w:val="20"/>
        </w:rPr>
      </w:pPr>
      <w:r>
        <w:t xml:space="preserve">AEMO’s power system incident reports are an important source of information for the assessment of the performance of the market participants in accordance with good electricity industry practice. </w:t>
      </w:r>
      <w:r w:rsidR="00D47940">
        <w:t>While t</w:t>
      </w:r>
      <w:r>
        <w:t xml:space="preserve">his project has now concluded, we will continue to monitor power system incident reports as part of our routine compliance monitoring. </w:t>
      </w:r>
    </w:p>
    <w:p w:rsidR="00005B12" w:rsidRDefault="00005B12" w:rsidP="00640899">
      <w:pPr>
        <w:pStyle w:val="AERheading2"/>
        <w:tabs>
          <w:tab w:val="clear" w:pos="2484"/>
          <w:tab w:val="num" w:pos="357"/>
        </w:tabs>
        <w:ind w:left="357"/>
      </w:pPr>
      <w:bookmarkStart w:id="44" w:name="_Toc385507268"/>
      <w:r>
        <w:t>STTM demand forecasting</w:t>
      </w:r>
      <w:bookmarkEnd w:id="44"/>
    </w:p>
    <w:p w:rsidR="00005B12" w:rsidRDefault="00005B12" w:rsidP="00005B12">
      <w:pPr>
        <w:pStyle w:val="AERbodytext"/>
        <w:rPr>
          <w:szCs w:val="20"/>
        </w:rPr>
      </w:pPr>
      <w:r w:rsidRPr="00681C16">
        <w:t xml:space="preserve">Demand forecasts are a primary input for </w:t>
      </w:r>
      <w:r>
        <w:t xml:space="preserve">STTM </w:t>
      </w:r>
      <w:r w:rsidRPr="00681C16">
        <w:t>scheduling and are used to calculate the ex</w:t>
      </w:r>
      <w:r>
        <w:t> </w:t>
      </w:r>
      <w:r w:rsidRPr="00681C16">
        <w:t>ante price. Poor demand forecasting leads to inefficiencies in dispatch whereby the ex</w:t>
      </w:r>
      <w:r>
        <w:t> </w:t>
      </w:r>
      <w:r w:rsidRPr="00681C16">
        <w:t xml:space="preserve">ante price is set on the basis of a higher or lower quantity of gas than is required. It can also lead to </w:t>
      </w:r>
      <w:r>
        <w:t xml:space="preserve">higher Market Operator Service </w:t>
      </w:r>
      <w:r w:rsidRPr="00526A16">
        <w:t>(</w:t>
      </w:r>
      <w:r>
        <w:rPr>
          <w:b/>
        </w:rPr>
        <w:t>MOS</w:t>
      </w:r>
      <w:r w:rsidRPr="00526A16">
        <w:t>)</w:t>
      </w:r>
      <w:r>
        <w:t xml:space="preserve"> payments </w:t>
      </w:r>
      <w:r w:rsidRPr="00681C16">
        <w:t xml:space="preserve">in the STTM, for example where large amount of MOS (balancing gas which is parked on or loaned from pipelines) is required </w:t>
      </w:r>
      <w:r w:rsidRPr="000D2AEB">
        <w:rPr>
          <w:szCs w:val="20"/>
        </w:rPr>
        <w:t>as a result of poor forecasts</w:t>
      </w:r>
      <w:r>
        <w:rPr>
          <w:szCs w:val="20"/>
        </w:rPr>
        <w:t xml:space="preserve"> adding to market costs.</w:t>
      </w:r>
    </w:p>
    <w:p w:rsidR="00005B12" w:rsidRPr="000D2AEB" w:rsidRDefault="00005B12" w:rsidP="00005B12">
      <w:pPr>
        <w:pStyle w:val="AERbodytext"/>
      </w:pPr>
      <w:r>
        <w:t>Gas rule</w:t>
      </w:r>
      <w:r w:rsidRPr="000D2AEB">
        <w:t xml:space="preserve"> 410(1) requires each STTM </w:t>
      </w:r>
      <w:r>
        <w:t>t</w:t>
      </w:r>
      <w:r w:rsidRPr="000D2AEB">
        <w:t xml:space="preserve">rading </w:t>
      </w:r>
      <w:r>
        <w:t>p</w:t>
      </w:r>
      <w:r w:rsidRPr="000D2AEB">
        <w:t xml:space="preserve">articipant who expects to withdraw quantities of natural gas from a hub on a gas day to submit ex ante bids or price taker bids (and any revisions to those bids) in good faith to reflect the participant’s best estimate of the quantity it expects to withdraw </w:t>
      </w:r>
      <w:r>
        <w:t xml:space="preserve">on </w:t>
      </w:r>
      <w:r w:rsidRPr="000D2AEB">
        <w:t>that gas da</w:t>
      </w:r>
      <w:r>
        <w:t xml:space="preserve">y (these bids in effect reflect each participant’s demand forecast). </w:t>
      </w:r>
    </w:p>
    <w:p w:rsidR="00005B12" w:rsidRDefault="00005B12" w:rsidP="00005B12">
      <w:pPr>
        <w:pStyle w:val="AERbodytext"/>
        <w:rPr>
          <w:szCs w:val="20"/>
        </w:rPr>
      </w:pPr>
      <w:r>
        <w:t xml:space="preserve">In 2012, we commenced a project in response to ongoing occurrences of poor demand forecasting from a number of STTM participants. </w:t>
      </w:r>
      <w:r>
        <w:rPr>
          <w:szCs w:val="20"/>
        </w:rPr>
        <w:t>A particular concern was the uneven distribution of under and over forecasting of demand. We consider that a best estimate approach to demand forecasting as required under the Gas Rules should result in an approximately even distribution of under and over forecast demand days over time. We were also concerned by large avoidable demand forecast errors, for example, those caused by system errors.</w:t>
      </w:r>
    </w:p>
    <w:p w:rsidR="00005B12" w:rsidRDefault="00005B12" w:rsidP="00005B12">
      <w:pPr>
        <w:pStyle w:val="AERbodytext"/>
        <w:rPr>
          <w:rFonts w:cs="Gautami"/>
          <w:szCs w:val="20"/>
        </w:rPr>
      </w:pPr>
      <w:r w:rsidRPr="000D2AEB">
        <w:rPr>
          <w:szCs w:val="20"/>
        </w:rPr>
        <w:t>A</w:t>
      </w:r>
      <w:r>
        <w:rPr>
          <w:szCs w:val="20"/>
        </w:rPr>
        <w:t xml:space="preserve">ccordingly, throughout 2013 we applied </w:t>
      </w:r>
      <w:r w:rsidRPr="000D2AEB">
        <w:rPr>
          <w:szCs w:val="20"/>
        </w:rPr>
        <w:t xml:space="preserve">metrics to </w:t>
      </w:r>
      <w:r>
        <w:rPr>
          <w:szCs w:val="20"/>
        </w:rPr>
        <w:t xml:space="preserve">each STTM hub to </w:t>
      </w:r>
      <w:r w:rsidRPr="000D2AEB">
        <w:rPr>
          <w:szCs w:val="20"/>
        </w:rPr>
        <w:t>identify patterns in demand forecasting errors</w:t>
      </w:r>
      <w:r>
        <w:rPr>
          <w:szCs w:val="20"/>
        </w:rPr>
        <w:t xml:space="preserve">. Based on our </w:t>
      </w:r>
      <w:r w:rsidRPr="000D2AEB">
        <w:rPr>
          <w:szCs w:val="20"/>
        </w:rPr>
        <w:t>monitor</w:t>
      </w:r>
      <w:r>
        <w:rPr>
          <w:szCs w:val="20"/>
        </w:rPr>
        <w:t xml:space="preserve">ing we </w:t>
      </w:r>
      <w:r w:rsidRPr="000D2AEB">
        <w:rPr>
          <w:szCs w:val="20"/>
        </w:rPr>
        <w:t>contact</w:t>
      </w:r>
      <w:r>
        <w:rPr>
          <w:szCs w:val="20"/>
        </w:rPr>
        <w:t>ed</w:t>
      </w:r>
      <w:r w:rsidRPr="000D2AEB">
        <w:rPr>
          <w:szCs w:val="20"/>
        </w:rPr>
        <w:t xml:space="preserve"> participants in regard to large differences between forecast and actual demand</w:t>
      </w:r>
      <w:r>
        <w:rPr>
          <w:szCs w:val="20"/>
        </w:rPr>
        <w:t xml:space="preserve"> and observed trends in under and over forecasting</w:t>
      </w:r>
      <w:r w:rsidRPr="000D2AEB">
        <w:rPr>
          <w:szCs w:val="20"/>
        </w:rPr>
        <w:t xml:space="preserve">. Previous </w:t>
      </w:r>
      <w:r>
        <w:rPr>
          <w:szCs w:val="20"/>
        </w:rPr>
        <w:t>Q</w:t>
      </w:r>
      <w:r w:rsidRPr="000D2AEB">
        <w:rPr>
          <w:szCs w:val="20"/>
        </w:rPr>
        <w:t xml:space="preserve">uarterly </w:t>
      </w:r>
      <w:r>
        <w:rPr>
          <w:szCs w:val="20"/>
        </w:rPr>
        <w:t>C</w:t>
      </w:r>
      <w:r w:rsidRPr="000D2AEB">
        <w:rPr>
          <w:szCs w:val="20"/>
        </w:rPr>
        <w:t xml:space="preserve">ompliance </w:t>
      </w:r>
      <w:r>
        <w:rPr>
          <w:szCs w:val="20"/>
        </w:rPr>
        <w:t>R</w:t>
      </w:r>
      <w:r w:rsidRPr="000D2AEB">
        <w:rPr>
          <w:szCs w:val="20"/>
        </w:rPr>
        <w:t xml:space="preserve">eports </w:t>
      </w:r>
      <w:r>
        <w:rPr>
          <w:szCs w:val="20"/>
        </w:rPr>
        <w:t xml:space="preserve">have </w:t>
      </w:r>
      <w:r w:rsidRPr="000D2AEB">
        <w:rPr>
          <w:szCs w:val="20"/>
        </w:rPr>
        <w:t>presented information related to the demand forecasting performance of a number of participants (Incitec Pivot, Adelaide Brighton Cement Limited, Origin Energy and AGL Energy).</w:t>
      </w:r>
      <w:r w:rsidRPr="000D2AEB">
        <w:rPr>
          <w:rFonts w:cs="Gautami"/>
          <w:szCs w:val="20"/>
        </w:rPr>
        <w:t xml:space="preserve"> </w:t>
      </w:r>
    </w:p>
    <w:p w:rsidR="00005B12" w:rsidRDefault="00005B12" w:rsidP="00005B12">
      <w:pPr>
        <w:pStyle w:val="AERgenericboldheading"/>
      </w:pPr>
      <w:r>
        <w:lastRenderedPageBreak/>
        <w:t>Adelaide hub</w:t>
      </w:r>
    </w:p>
    <w:p w:rsidR="00005B12" w:rsidRDefault="00005B12" w:rsidP="00005B12">
      <w:pPr>
        <w:pStyle w:val="AERbodytext"/>
      </w:pPr>
      <w:r>
        <w:t xml:space="preserve">Since STTM market start there has been a reduction in the number of participant errors that collectively exceed 6 TJ </w:t>
      </w:r>
      <w:r>
        <w:rPr>
          <w:rFonts w:cs="Gautami"/>
          <w:szCs w:val="20"/>
        </w:rPr>
        <w:t>i</w:t>
      </w:r>
      <w:r>
        <w:t xml:space="preserve">n the Adelaide hub (see figure </w:t>
      </w:r>
      <w:r>
        <w:rPr>
          <w:rFonts w:cs="Gautami"/>
          <w:szCs w:val="20"/>
        </w:rPr>
        <w:t>1.3).</w:t>
      </w:r>
      <w:r w:rsidRPr="000D2AEB">
        <w:rPr>
          <w:rStyle w:val="FootnoteReference"/>
          <w:rFonts w:cs="Gautami"/>
          <w:szCs w:val="20"/>
        </w:rPr>
        <w:footnoteReference w:id="6"/>
      </w:r>
      <w:r>
        <w:t xml:space="preserve"> The pattern of over forecasting of hub demand which we saw in late 2012 (when 90 per cent of days were over forecast with high average errors) has not reoccurred, however there were some months in 2013 where around 80 per cent of days were over forecast. The rolling average for the previous 12 months indicates that demand in the Adelaide hub has been over forecast for around 60 per cent of days, (see figure 1.4).</w:t>
      </w:r>
    </w:p>
    <w:p w:rsidR="00005B12" w:rsidRPr="001D2C97" w:rsidRDefault="00005B12" w:rsidP="00005B12">
      <w:pPr>
        <w:pStyle w:val="AERfigureheading"/>
      </w:pPr>
      <w:r>
        <w:t>Error as a proportion of total load and actual error volumes in the Adelaide hub</w:t>
      </w:r>
      <w:r w:rsidRPr="00005B12">
        <w:rPr>
          <w:vertAlign w:val="superscript"/>
        </w:rPr>
        <w:footnoteReference w:id="7"/>
      </w:r>
    </w:p>
    <w:p w:rsidR="00005B12" w:rsidRDefault="00D46FEA" w:rsidP="00005B12">
      <w:pPr>
        <w:pStyle w:val="AERbodytext"/>
      </w:pPr>
      <w:r>
        <w:rPr>
          <w:noProof/>
          <w:lang w:eastAsia="en-AU"/>
        </w:rPr>
        <w:pict>
          <v:shape id="Picture 10" o:spid="_x0000_i1027" type="#_x0000_t75" alt="Error as a proportion of total load and actual error volumes in the Adelaide hub" style="width:459.55pt;height:186.55pt;visibility:visible;mso-wrap-style:square">
            <v:imagedata r:id="rId21" o:title=""/>
          </v:shape>
        </w:pict>
      </w:r>
    </w:p>
    <w:p w:rsidR="00005B12" w:rsidRPr="00A52DA9" w:rsidRDefault="00005B12" w:rsidP="00005B12">
      <w:pPr>
        <w:pStyle w:val="AERfigureheading"/>
      </w:pPr>
      <w:r w:rsidRPr="00A52DA9">
        <w:t>Days over forecast each month and actual error magnitudes in the Adelaide hub</w:t>
      </w:r>
    </w:p>
    <w:p w:rsidR="00005B12" w:rsidRPr="00D40FA4" w:rsidRDefault="00D46FEA" w:rsidP="00005B12">
      <w:pPr>
        <w:pStyle w:val="AERbodytext"/>
      </w:pPr>
      <w:r>
        <w:rPr>
          <w:noProof/>
          <w:lang w:eastAsia="en-AU"/>
        </w:rPr>
        <w:pict>
          <v:shape id="Picture 13" o:spid="_x0000_i1028" type="#_x0000_t75" alt="Days over forecast each month and actual error magnitudes in the Adelaide hub" style="width:463.95pt;height:161.55pt;visibility:visible;mso-wrap-style:square">
            <v:imagedata r:id="rId22" o:title=""/>
          </v:shape>
        </w:pict>
      </w:r>
    </w:p>
    <w:p w:rsidR="00005B12" w:rsidRDefault="00005B12" w:rsidP="00005B12">
      <w:pPr>
        <w:pStyle w:val="AERgenericboldheading"/>
      </w:pPr>
      <w:r>
        <w:t>Sydney hub</w:t>
      </w:r>
    </w:p>
    <w:p w:rsidR="00005B12" w:rsidRDefault="00005B12" w:rsidP="00005B12">
      <w:pPr>
        <w:pStyle w:val="AERbodytext"/>
        <w:rPr>
          <w:rFonts w:cs="Gautami"/>
          <w:szCs w:val="20"/>
        </w:rPr>
      </w:pPr>
      <w:r w:rsidRPr="000D2AEB">
        <w:rPr>
          <w:rFonts w:cs="Gautami"/>
          <w:szCs w:val="20"/>
        </w:rPr>
        <w:t>Forecast</w:t>
      </w:r>
      <w:r>
        <w:rPr>
          <w:rFonts w:cs="Gautami"/>
          <w:szCs w:val="20"/>
        </w:rPr>
        <w:t xml:space="preserve"> errors</w:t>
      </w:r>
      <w:r w:rsidRPr="000D2AEB">
        <w:rPr>
          <w:rFonts w:cs="Gautami"/>
          <w:szCs w:val="20"/>
        </w:rPr>
        <w:t xml:space="preserve"> in the hub have generally remained </w:t>
      </w:r>
      <w:r>
        <w:rPr>
          <w:rFonts w:cs="Gautami"/>
          <w:szCs w:val="20"/>
        </w:rPr>
        <w:t>around 4 </w:t>
      </w:r>
      <w:r w:rsidRPr="000D2AEB">
        <w:rPr>
          <w:rFonts w:cs="Gautami"/>
          <w:szCs w:val="20"/>
        </w:rPr>
        <w:t>per cent of the collective demand of</w:t>
      </w:r>
      <w:r>
        <w:rPr>
          <w:rFonts w:cs="Gautami"/>
          <w:szCs w:val="20"/>
        </w:rPr>
        <w:t xml:space="preserve"> participants in the Sydney hub throughout 2013. There has been a tendency towards </w:t>
      </w:r>
      <w:r w:rsidRPr="000D2AEB">
        <w:rPr>
          <w:rFonts w:cs="Gautami"/>
          <w:szCs w:val="20"/>
        </w:rPr>
        <w:t>over</w:t>
      </w:r>
      <w:r>
        <w:rPr>
          <w:rFonts w:cs="Gautami"/>
          <w:szCs w:val="20"/>
        </w:rPr>
        <w:t> </w:t>
      </w:r>
      <w:r w:rsidRPr="000D2AEB">
        <w:rPr>
          <w:rFonts w:cs="Gautami"/>
          <w:szCs w:val="20"/>
        </w:rPr>
        <w:t xml:space="preserve">forecasting, </w:t>
      </w:r>
      <w:r>
        <w:rPr>
          <w:rFonts w:cs="Gautami"/>
          <w:szCs w:val="20"/>
        </w:rPr>
        <w:t>following the longer term trend towards even levels of under and over forecasting across 2012</w:t>
      </w:r>
      <w:r w:rsidRPr="006568F8">
        <w:rPr>
          <w:rFonts w:cs="Gautami"/>
          <w:szCs w:val="20"/>
        </w:rPr>
        <w:t xml:space="preserve"> (see figure</w:t>
      </w:r>
      <w:r>
        <w:rPr>
          <w:rFonts w:cs="Gautami"/>
          <w:szCs w:val="20"/>
        </w:rPr>
        <w:t xml:space="preserve"> 1.6</w:t>
      </w:r>
      <w:r w:rsidRPr="006568F8">
        <w:rPr>
          <w:rFonts w:cs="Gautami"/>
          <w:szCs w:val="20"/>
        </w:rPr>
        <w:t>)</w:t>
      </w:r>
      <w:r w:rsidRPr="000D2AEB">
        <w:rPr>
          <w:rFonts w:cs="Gautami"/>
          <w:szCs w:val="20"/>
        </w:rPr>
        <w:t>.</w:t>
      </w:r>
      <w:r w:rsidRPr="004D4BCB">
        <w:t xml:space="preserve"> </w:t>
      </w:r>
      <w:r>
        <w:t xml:space="preserve">Similar to Adelaide, the 12 month rolling average indicated mid-year that </w:t>
      </w:r>
      <w:r>
        <w:lastRenderedPageBreak/>
        <w:t>demand in the Sydney hub has been over forecast for around 60 per cent of days.</w:t>
      </w:r>
      <w:r w:rsidRPr="000D2AEB">
        <w:rPr>
          <w:rFonts w:cs="Gautami"/>
          <w:szCs w:val="20"/>
        </w:rPr>
        <w:t xml:space="preserve"> </w:t>
      </w:r>
      <w:r>
        <w:rPr>
          <w:rFonts w:cs="Gautami"/>
          <w:szCs w:val="20"/>
        </w:rPr>
        <w:t>This trend has risen in recent months and is now around 70 per cent for the 2013 calendar year.</w:t>
      </w:r>
    </w:p>
    <w:p w:rsidR="00005B12" w:rsidRPr="00AD32CE" w:rsidRDefault="00005B12" w:rsidP="00005B12">
      <w:pPr>
        <w:pStyle w:val="AERfigureheading"/>
      </w:pPr>
      <w:r>
        <w:t xml:space="preserve">Error as a proportion of total load and actual error volumes in the </w:t>
      </w:r>
      <w:r w:rsidRPr="00AD32CE">
        <w:t>Sydney hub</w:t>
      </w:r>
    </w:p>
    <w:p w:rsidR="00005B12" w:rsidRPr="00005B12" w:rsidRDefault="00005B12" w:rsidP="00005B12">
      <w:pPr>
        <w:pStyle w:val="AERbodytext"/>
      </w:pPr>
      <w:r w:rsidRPr="00797BD5">
        <w:t xml:space="preserve"> </w:t>
      </w:r>
      <w:r w:rsidR="00D46FEA">
        <w:rPr>
          <w:noProof/>
          <w:lang w:eastAsia="en-AU"/>
        </w:rPr>
        <w:pict>
          <v:shape id="Picture 17" o:spid="_x0000_i1029" type="#_x0000_t75" alt="Error as a proportion of total load and actual error volumes in the Sydney hub" style="width:459.55pt;height:199.7pt;visibility:visible;mso-wrap-style:square">
            <v:imagedata r:id="rId23" o:title=""/>
          </v:shape>
        </w:pict>
      </w:r>
    </w:p>
    <w:p w:rsidR="00005B12" w:rsidRPr="00AD32CE" w:rsidRDefault="00005B12" w:rsidP="00005B12">
      <w:pPr>
        <w:pStyle w:val="AERfigureheading"/>
      </w:pPr>
      <w:r w:rsidRPr="00AD32CE">
        <w:t>Days over forecast each month</w:t>
      </w:r>
      <w:r>
        <w:t xml:space="preserve"> </w:t>
      </w:r>
      <w:r w:rsidRPr="00AD32CE">
        <w:t>and actual error magnitudes in the Sydney hub</w:t>
      </w:r>
    </w:p>
    <w:p w:rsidR="00005B12" w:rsidRDefault="00D46FEA" w:rsidP="00005B12">
      <w:pPr>
        <w:pStyle w:val="AERfigureheading"/>
        <w:numPr>
          <w:ilvl w:val="0"/>
          <w:numId w:val="0"/>
        </w:numPr>
        <w:spacing w:before="0" w:after="240"/>
        <w:ind w:left="357" w:hanging="357"/>
      </w:pPr>
      <w:r>
        <w:rPr>
          <w:b w:val="0"/>
          <w:noProof/>
          <w:lang w:eastAsia="en-AU"/>
        </w:rPr>
        <w:pict>
          <v:shape id="Picture 14" o:spid="_x0000_i1030" type="#_x0000_t75" alt="Days over forecast each month and actual error magnitudes in the Sydney hub" style="width:443.25pt;height:164.65pt;visibility:visible;mso-wrap-style:square">
            <v:imagedata r:id="rId24" o:title=""/>
          </v:shape>
        </w:pict>
      </w:r>
      <w:r w:rsidR="00005B12" w:rsidRPr="00FA11B1">
        <w:t xml:space="preserve"> </w:t>
      </w:r>
    </w:p>
    <w:p w:rsidR="00005B12" w:rsidRDefault="00005B12" w:rsidP="00005B12">
      <w:pPr>
        <w:pStyle w:val="AERgenericboldheading"/>
      </w:pPr>
      <w:r>
        <w:t xml:space="preserve">Brisbane hub </w:t>
      </w:r>
    </w:p>
    <w:p w:rsidR="00005B12" w:rsidRDefault="00005B12" w:rsidP="00005B12">
      <w:pPr>
        <w:pStyle w:val="AERbodytext"/>
        <w:rPr>
          <w:rFonts w:cs="Gautami"/>
          <w:szCs w:val="20"/>
        </w:rPr>
      </w:pPr>
      <w:r>
        <w:rPr>
          <w:rFonts w:cs="Gautami"/>
          <w:szCs w:val="20"/>
        </w:rPr>
        <w:t xml:space="preserve">For the Brisbane hub there has been </w:t>
      </w:r>
      <w:r w:rsidRPr="000D2AEB">
        <w:rPr>
          <w:rFonts w:cs="Gautami"/>
          <w:szCs w:val="20"/>
        </w:rPr>
        <w:t>a significant long term reduction in the magnitude of absolute error</w:t>
      </w:r>
      <w:r>
        <w:rPr>
          <w:rFonts w:cs="Gautami"/>
          <w:szCs w:val="20"/>
        </w:rPr>
        <w:t>s</w:t>
      </w:r>
      <w:r w:rsidRPr="000D2AEB">
        <w:rPr>
          <w:rFonts w:cs="Gautami"/>
          <w:szCs w:val="20"/>
        </w:rPr>
        <w:t xml:space="preserve"> </w:t>
      </w:r>
      <w:r>
        <w:rPr>
          <w:rFonts w:cs="Gautami"/>
          <w:szCs w:val="20"/>
        </w:rPr>
        <w:t xml:space="preserve">and the number of days with large over forecasting errors (see </w:t>
      </w:r>
      <w:r w:rsidR="000E298C">
        <w:rPr>
          <w:rFonts w:cs="Gautami"/>
          <w:szCs w:val="20"/>
        </w:rPr>
        <w:t>f</w:t>
      </w:r>
      <w:r>
        <w:rPr>
          <w:rFonts w:cs="Gautami"/>
          <w:szCs w:val="20"/>
        </w:rPr>
        <w:t>igure</w:t>
      </w:r>
      <w:r w:rsidR="000E298C">
        <w:rPr>
          <w:rFonts w:cs="Gautami"/>
          <w:szCs w:val="20"/>
        </w:rPr>
        <w:t>s</w:t>
      </w:r>
      <w:r>
        <w:rPr>
          <w:rFonts w:cs="Gautami"/>
          <w:szCs w:val="20"/>
        </w:rPr>
        <w:t xml:space="preserve"> 1.7</w:t>
      </w:r>
      <w:r w:rsidR="000E298C">
        <w:rPr>
          <w:rFonts w:cs="Gautami"/>
          <w:szCs w:val="20"/>
        </w:rPr>
        <w:t xml:space="preserve"> and 1.8</w:t>
      </w:r>
      <w:r>
        <w:rPr>
          <w:rFonts w:cs="Gautami"/>
          <w:szCs w:val="20"/>
        </w:rPr>
        <w:t>). There has been a reduction in the</w:t>
      </w:r>
      <w:r w:rsidRPr="000D2AEB">
        <w:rPr>
          <w:rFonts w:cs="Gautami"/>
          <w:szCs w:val="20"/>
        </w:rPr>
        <w:t xml:space="preserve"> trend </w:t>
      </w:r>
      <w:r>
        <w:rPr>
          <w:rFonts w:cs="Gautami"/>
          <w:szCs w:val="20"/>
        </w:rPr>
        <w:t>of</w:t>
      </w:r>
      <w:r w:rsidRPr="000D2AEB">
        <w:rPr>
          <w:rFonts w:cs="Gautami"/>
          <w:szCs w:val="20"/>
        </w:rPr>
        <w:t xml:space="preserve"> over</w:t>
      </w:r>
      <w:r>
        <w:rPr>
          <w:rFonts w:cs="Gautami"/>
          <w:szCs w:val="20"/>
        </w:rPr>
        <w:t> </w:t>
      </w:r>
      <w:r w:rsidRPr="000D2AEB">
        <w:rPr>
          <w:rFonts w:cs="Gautami"/>
          <w:szCs w:val="20"/>
        </w:rPr>
        <w:t>forecasting</w:t>
      </w:r>
      <w:r>
        <w:rPr>
          <w:rFonts w:cs="Gautami"/>
          <w:szCs w:val="20"/>
        </w:rPr>
        <w:t xml:space="preserve">, with </w:t>
      </w:r>
      <w:r>
        <w:t>the rolling average for the last 12 months indicating that demand has been over forecast for around 45 per cent of days in the Brisbane hub</w:t>
      </w:r>
      <w:r>
        <w:rPr>
          <w:rFonts w:cs="Gautami"/>
          <w:szCs w:val="20"/>
        </w:rPr>
        <w:t xml:space="preserve">. </w:t>
      </w:r>
    </w:p>
    <w:p w:rsidR="00005B12" w:rsidRPr="001D2C97" w:rsidRDefault="00005B12" w:rsidP="00005B12">
      <w:pPr>
        <w:pStyle w:val="AERfigureheading"/>
      </w:pPr>
      <w:r>
        <w:lastRenderedPageBreak/>
        <w:t>Error as a proportion of total load and actual error volumes in the Brisbane hub</w:t>
      </w:r>
    </w:p>
    <w:p w:rsidR="00005B12" w:rsidRPr="00D40FA4" w:rsidRDefault="00D46FEA" w:rsidP="00005B12">
      <w:pPr>
        <w:pStyle w:val="AERbodytext"/>
      </w:pPr>
      <w:r>
        <w:rPr>
          <w:noProof/>
          <w:lang w:eastAsia="en-AU"/>
        </w:rPr>
        <w:pict>
          <v:shape id="Picture 16" o:spid="_x0000_i1031" type="#_x0000_t75" alt="Error as a proportion of total load and actual error volumes in the Brisbane hub" style="width:459.55pt;height:186.55pt;visibility:visible;mso-wrap-style:square">
            <v:imagedata r:id="rId25" o:title=""/>
          </v:shape>
        </w:pict>
      </w:r>
    </w:p>
    <w:p w:rsidR="00005B12" w:rsidRPr="001D2C97" w:rsidRDefault="00005B12" w:rsidP="00005B12">
      <w:pPr>
        <w:pStyle w:val="AERfigureheading"/>
      </w:pPr>
      <w:r>
        <w:t>Days over forecast each month and actual error magnitudes in the Brisbane hub</w:t>
      </w:r>
    </w:p>
    <w:p w:rsidR="00005B12" w:rsidRDefault="00D46FEA" w:rsidP="00005B12">
      <w:pPr>
        <w:spacing w:after="240"/>
      </w:pPr>
      <w:r>
        <w:rPr>
          <w:noProof/>
          <w:lang w:eastAsia="en-AU"/>
        </w:rPr>
        <w:pict>
          <v:shape id="Picture 15" o:spid="_x0000_i1032" type="#_x0000_t75" alt="Days over forecast each month and actual error magnitudes in the Brisbane hub" style="width:459.55pt;height:158.4pt;visibility:visible;mso-wrap-style:square">
            <v:imagedata r:id="rId26" o:title=""/>
          </v:shape>
        </w:pict>
      </w:r>
    </w:p>
    <w:p w:rsidR="00005B12" w:rsidRDefault="00005B12" w:rsidP="00005B12">
      <w:pPr>
        <w:pStyle w:val="AERgenericboldheading"/>
      </w:pPr>
      <w:r>
        <w:t xml:space="preserve">Conclusions </w:t>
      </w:r>
    </w:p>
    <w:p w:rsidR="00005B12" w:rsidRDefault="00005B12" w:rsidP="00005B12">
      <w:pPr>
        <w:pStyle w:val="AERbodytext"/>
        <w:rPr>
          <w:rFonts w:cs="Gautami"/>
          <w:szCs w:val="20"/>
        </w:rPr>
      </w:pPr>
      <w:r w:rsidRPr="000D2AEB">
        <w:rPr>
          <w:rFonts w:cs="Gautami"/>
          <w:szCs w:val="20"/>
        </w:rPr>
        <w:t>While some participants in each of the STTM hubs have continued to demonstrate trends in over</w:t>
      </w:r>
      <w:r>
        <w:rPr>
          <w:rFonts w:cs="Gautami"/>
          <w:szCs w:val="20"/>
        </w:rPr>
        <w:t> </w:t>
      </w:r>
      <w:r w:rsidRPr="000D2AEB">
        <w:rPr>
          <w:rFonts w:cs="Gautami"/>
          <w:szCs w:val="20"/>
        </w:rPr>
        <w:t>forecasting</w:t>
      </w:r>
      <w:r>
        <w:rPr>
          <w:rFonts w:cs="Gautami"/>
          <w:szCs w:val="20"/>
        </w:rPr>
        <w:t xml:space="preserve"> at certain times</w:t>
      </w:r>
      <w:r w:rsidRPr="000D2AEB">
        <w:rPr>
          <w:rFonts w:cs="Gautami"/>
          <w:szCs w:val="20"/>
        </w:rPr>
        <w:t>,</w:t>
      </w:r>
      <w:r w:rsidRPr="000D2AEB">
        <w:rPr>
          <w:rStyle w:val="FootnoteReference"/>
          <w:rFonts w:cs="Gautami"/>
          <w:szCs w:val="20"/>
        </w:rPr>
        <w:footnoteReference w:id="8"/>
      </w:r>
      <w:r w:rsidRPr="000D2AEB">
        <w:rPr>
          <w:rFonts w:cs="Gautami"/>
          <w:szCs w:val="20"/>
        </w:rPr>
        <w:t xml:space="preserve"> </w:t>
      </w:r>
      <w:r>
        <w:rPr>
          <w:rFonts w:cs="Gautami"/>
          <w:szCs w:val="20"/>
        </w:rPr>
        <w:t>and some months still appear to be skewed to over forecasting, there has been a general trend in 2013 to a more even distribution of under and over forecasting. Furthermore, t</w:t>
      </w:r>
      <w:r w:rsidRPr="000D2AEB">
        <w:rPr>
          <w:rFonts w:cs="Gautami"/>
          <w:szCs w:val="20"/>
        </w:rPr>
        <w:t xml:space="preserve">he magnitude of </w:t>
      </w:r>
      <w:r>
        <w:rPr>
          <w:rFonts w:cs="Gautami"/>
          <w:szCs w:val="20"/>
        </w:rPr>
        <w:t xml:space="preserve">forecast </w:t>
      </w:r>
      <w:r w:rsidRPr="000D2AEB">
        <w:rPr>
          <w:rFonts w:cs="Gautami"/>
          <w:szCs w:val="20"/>
        </w:rPr>
        <w:t xml:space="preserve">errors has decreased overall. </w:t>
      </w:r>
    </w:p>
    <w:p w:rsidR="00005B12" w:rsidRDefault="00005B12" w:rsidP="00005B12">
      <w:pPr>
        <w:pStyle w:val="AERbodytext"/>
        <w:rPr>
          <w:rFonts w:cs="Gautami"/>
          <w:szCs w:val="20"/>
        </w:rPr>
      </w:pPr>
      <w:r>
        <w:rPr>
          <w:rFonts w:cs="Gautami"/>
          <w:szCs w:val="20"/>
        </w:rPr>
        <w:t>For the Adelaide and Brisbane hubs there has been a decline in any bias towards under or over forecasting in demand forecasts in 2013.</w:t>
      </w:r>
      <w:r w:rsidRPr="00EC3A2A">
        <w:rPr>
          <w:rFonts w:cs="Gautami"/>
          <w:szCs w:val="20"/>
        </w:rPr>
        <w:t xml:space="preserve"> </w:t>
      </w:r>
      <w:r>
        <w:rPr>
          <w:rFonts w:cs="Gautami"/>
          <w:szCs w:val="20"/>
        </w:rPr>
        <w:t xml:space="preserve">There has also been a reduction in large over forecasts and also a smaller percentage of under and over forecast errors on a daily basis. Each of these outcomes is conducive to more efficient pricing outcomes in the STTM. </w:t>
      </w:r>
    </w:p>
    <w:p w:rsidR="00005B12" w:rsidRDefault="00005B12" w:rsidP="00005B12">
      <w:pPr>
        <w:pStyle w:val="AERbodytext"/>
        <w:rPr>
          <w:rFonts w:cs="Gautami"/>
          <w:szCs w:val="20"/>
        </w:rPr>
      </w:pPr>
      <w:r>
        <w:rPr>
          <w:rFonts w:cs="Gautami"/>
          <w:szCs w:val="20"/>
        </w:rPr>
        <w:t xml:space="preserve">In 2012, </w:t>
      </w:r>
      <w:r w:rsidR="000E298C">
        <w:rPr>
          <w:rFonts w:cs="Gautami"/>
          <w:szCs w:val="20"/>
        </w:rPr>
        <w:t>we were</w:t>
      </w:r>
      <w:r>
        <w:rPr>
          <w:rFonts w:cs="Gautami"/>
          <w:szCs w:val="20"/>
        </w:rPr>
        <w:t xml:space="preserve"> particularly concerned by Adelaide hub data as it showed consistent over forecasting by some participants. This has since improved with a number of participants, including Origin Energy and AGL, demonstrating improved forecasting performance for this hub in 2013. </w:t>
      </w:r>
    </w:p>
    <w:p w:rsidR="00005B12" w:rsidRDefault="00005B12" w:rsidP="00005B12">
      <w:pPr>
        <w:pStyle w:val="AERbodytext"/>
        <w:rPr>
          <w:rFonts w:cs="Gautami"/>
          <w:szCs w:val="20"/>
        </w:rPr>
      </w:pPr>
      <w:r>
        <w:rPr>
          <w:rFonts w:cs="Gautami"/>
          <w:szCs w:val="20"/>
        </w:rPr>
        <w:t xml:space="preserve">However, some concerning trends towards over forecasting have persisted in the Sydney hub over a number of months in 2013. We are currently reviewing this trend, as well as the relatively large </w:t>
      </w:r>
      <w:r>
        <w:rPr>
          <w:rFonts w:cs="Gautami"/>
          <w:szCs w:val="20"/>
        </w:rPr>
        <w:lastRenderedPageBreak/>
        <w:t>average over forecast error volumes of between 6.3 TJ and 12.7 TJ. As part of this review, we will examine the performance of individual participants with regard to provisional and ex ante forecasts.</w:t>
      </w:r>
    </w:p>
    <w:p w:rsidR="00005B12" w:rsidRPr="00005B12" w:rsidRDefault="00005B12" w:rsidP="00005B12">
      <w:pPr>
        <w:pStyle w:val="AERbodytext"/>
      </w:pPr>
      <w:r>
        <w:rPr>
          <w:rFonts w:cs="Gautami"/>
          <w:szCs w:val="20"/>
        </w:rPr>
        <w:t>We encourage participants to continue to refine their demand forecasting methodologies. We will continue to monitor participant demand forecasts and will publish charts of forecasting errors (similar charts to those set out above) in Quarterly Compliance Reports from time to time. Where we are concerned with demand forecasts we will contact individual participants for further explanation and not hesitate to take enforcement action where demand forecasts do not reflect best estimates or should gaming of demand forecasts be apparent. In the future, we hope to extend our analysis of demand forecasts to include those relating to the Victorian gas market.</w:t>
      </w:r>
    </w:p>
    <w:p w:rsidR="00640899" w:rsidRPr="00F62E0C" w:rsidRDefault="00640899" w:rsidP="00640899">
      <w:pPr>
        <w:pStyle w:val="AERheading2"/>
        <w:tabs>
          <w:tab w:val="clear" w:pos="2484"/>
          <w:tab w:val="num" w:pos="357"/>
        </w:tabs>
        <w:ind w:left="357"/>
      </w:pPr>
      <w:bookmarkStart w:id="45" w:name="_Toc385507269"/>
      <w:r w:rsidRPr="00F62E0C">
        <w:t>Electricity transmission connections</w:t>
      </w:r>
      <w:bookmarkEnd w:id="45"/>
    </w:p>
    <w:p w:rsidR="00591DE9" w:rsidRDefault="00591DE9" w:rsidP="00591DE9">
      <w:pPr>
        <w:pStyle w:val="AERbodytext"/>
      </w:pPr>
      <w:r>
        <w:t>Our electricity transmission connections strategic compliance project commenced in December 2011</w:t>
      </w:r>
      <w:r w:rsidR="00AE5AAF">
        <w:t>. The project arose</w:t>
      </w:r>
      <w:r>
        <w:t xml:space="preserve"> in response to concerns raised by connection applicants about the transmission network connection process. It involves a survey of parties that have sought to connect to the NEM transmission network. </w:t>
      </w:r>
    </w:p>
    <w:p w:rsidR="00591DE9" w:rsidRDefault="00591DE9" w:rsidP="00591DE9">
      <w:pPr>
        <w:pStyle w:val="AERbodytext"/>
      </w:pPr>
      <w:r>
        <w:t>The survey sought to assess compliance by Transmission Network Service Providers (</w:t>
      </w:r>
      <w:r w:rsidRPr="00BE5DCC">
        <w:rPr>
          <w:b/>
        </w:rPr>
        <w:t>TNSP</w:t>
      </w:r>
      <w:r>
        <w:t xml:space="preserve">) with the Electricity Rules and to determine how satisfied connecting customers were with the connection process. It focused on the performance of network businesses in terms of timeliness, provision of information, cost, design, availability of competitive procurement and responsiveness to the connecting customer’s commercial needs. </w:t>
      </w:r>
    </w:p>
    <w:p w:rsidR="00DF3730" w:rsidRDefault="00591DE9" w:rsidP="00DF3730">
      <w:pPr>
        <w:pStyle w:val="AERbodytext"/>
      </w:pPr>
      <w:r>
        <w:t xml:space="preserve">We developed the survey in consultation with the TNSPs </w:t>
      </w:r>
      <w:r w:rsidR="00EA2D02">
        <w:t xml:space="preserve">and sent </w:t>
      </w:r>
      <w:r>
        <w:t>it to connecting customers in June 2013. Responses to the survey were due by August 2013</w:t>
      </w:r>
      <w:r w:rsidR="00EA2D02">
        <w:t xml:space="preserve"> and we have now completed a review of the responses</w:t>
      </w:r>
      <w:r>
        <w:t xml:space="preserve">. </w:t>
      </w:r>
      <w:r w:rsidR="00EA2D02">
        <w:t xml:space="preserve">Due to the scope of the project and the </w:t>
      </w:r>
      <w:r w:rsidR="005A086F">
        <w:t xml:space="preserve">complexity of its results, we </w:t>
      </w:r>
      <w:r w:rsidR="00DF3730">
        <w:t xml:space="preserve">are considering the findings and will report on this matter further next quarter. </w:t>
      </w:r>
    </w:p>
    <w:p w:rsidR="00DF3730" w:rsidRDefault="00DF3730" w:rsidP="001D06D2">
      <w:pPr>
        <w:pStyle w:val="AERbodytext"/>
      </w:pPr>
    </w:p>
    <w:p w:rsidR="00DC724B" w:rsidRPr="00860DB5" w:rsidRDefault="001E70D1" w:rsidP="00EB4DE8">
      <w:pPr>
        <w:pStyle w:val="QCRHeading1"/>
      </w:pPr>
      <w:bookmarkStart w:id="46" w:name="_Toc385507270"/>
      <w:r w:rsidRPr="00860DB5">
        <w:lastRenderedPageBreak/>
        <w:t>G</w:t>
      </w:r>
      <w:r w:rsidR="00CA4066" w:rsidRPr="00860DB5">
        <w:t>as</w:t>
      </w:r>
      <w:bookmarkEnd w:id="33"/>
      <w:bookmarkEnd w:id="34"/>
      <w:bookmarkEnd w:id="46"/>
    </w:p>
    <w:p w:rsidR="00CA4066" w:rsidRPr="00405B4F" w:rsidRDefault="00DC3257" w:rsidP="00B61F5E">
      <w:pPr>
        <w:pStyle w:val="AERbodytext"/>
      </w:pPr>
      <w:r>
        <w:t>We are</w:t>
      </w:r>
      <w:r w:rsidR="00CA4066" w:rsidRPr="00405B4F">
        <w:t xml:space="preserve"> responsible for monitoring, investigating and enforcing compliance with the Gas Law and Rules, including but not limited to, </w:t>
      </w:r>
      <w:r w:rsidR="00B25981" w:rsidRPr="00405B4F">
        <w:t>the</w:t>
      </w:r>
      <w:r w:rsidR="005F3AA2" w:rsidRPr="00405B4F">
        <w:t xml:space="preserve"> Short Term Trading Market (</w:t>
      </w:r>
      <w:r w:rsidR="005F3AA2" w:rsidRPr="00405B4F">
        <w:rPr>
          <w:b/>
        </w:rPr>
        <w:t>STTM</w:t>
      </w:r>
      <w:r w:rsidR="005F3AA2" w:rsidRPr="00405B4F">
        <w:t>)</w:t>
      </w:r>
      <w:r w:rsidR="00B25981" w:rsidRPr="00405B4F">
        <w:t>, the Victorian gas market and the Bulletin Board</w:t>
      </w:r>
      <w:r w:rsidR="00CA4066" w:rsidRPr="00405B4F">
        <w:t>.</w:t>
      </w:r>
    </w:p>
    <w:p w:rsidR="00CA4066" w:rsidRDefault="00CA4066" w:rsidP="00B61F5E">
      <w:pPr>
        <w:pStyle w:val="AERbodytext"/>
      </w:pPr>
      <w:r w:rsidRPr="00405B4F">
        <w:t>This part of the report provides an update on investigations</w:t>
      </w:r>
      <w:r w:rsidR="00783406">
        <w:t>,</w:t>
      </w:r>
      <w:r w:rsidRPr="00405B4F">
        <w:t xml:space="preserve"> compliance matters </w:t>
      </w:r>
      <w:r w:rsidR="00783406">
        <w:t xml:space="preserve">and projects </w:t>
      </w:r>
      <w:r w:rsidRPr="00405B4F">
        <w:t>in the gas markets.</w:t>
      </w:r>
      <w:r>
        <w:t xml:space="preserve"> </w:t>
      </w:r>
    </w:p>
    <w:p w:rsidR="008259AF" w:rsidRPr="002C7158" w:rsidRDefault="00CA4066" w:rsidP="002C7158">
      <w:pPr>
        <w:pStyle w:val="QCRunnumberedunboldheading"/>
      </w:pPr>
      <w:bookmarkStart w:id="47" w:name="_Toc307317343"/>
      <w:bookmarkStart w:id="48" w:name="_Toc330814064"/>
      <w:bookmarkStart w:id="49" w:name="_Toc385507271"/>
      <w:r w:rsidRPr="002C7158">
        <w:t>Short Term Trading Market</w:t>
      </w:r>
      <w:bookmarkEnd w:id="47"/>
      <w:bookmarkEnd w:id="48"/>
      <w:bookmarkEnd w:id="49"/>
    </w:p>
    <w:p w:rsidR="00ED7BB4" w:rsidRDefault="00BF4F53">
      <w:pPr>
        <w:pStyle w:val="AERbodytext"/>
      </w:pPr>
      <w:r w:rsidRPr="009D0732">
        <w:t>Part 20 of the Gas Rules sets out participants’ responsibilities within the STTM</w:t>
      </w:r>
      <w:r w:rsidR="00FD516E">
        <w:t>,</w:t>
      </w:r>
      <w:r w:rsidRPr="009D0732">
        <w:t xml:space="preserve"> which encompasses three gas trading hubs: Adelaide, Sydney and Brisbane. The rules outline how wholesale gas is traded and include requirements for pipeline operators to submit pipeline capacity </w:t>
      </w:r>
      <w:r w:rsidR="00D476F6">
        <w:t>and allocation (gas</w:t>
      </w:r>
      <w:r w:rsidR="006809E7">
        <w:t> </w:t>
      </w:r>
      <w:r w:rsidR="00D476F6">
        <w:t>flow) data.</w:t>
      </w:r>
    </w:p>
    <w:p w:rsidR="00EE2EF7" w:rsidRPr="00450D34" w:rsidRDefault="00EE2EF7" w:rsidP="00EE2EF7">
      <w:pPr>
        <w:pStyle w:val="AERheading2"/>
        <w:tabs>
          <w:tab w:val="clear" w:pos="2484"/>
          <w:tab w:val="num" w:pos="357"/>
        </w:tabs>
        <w:ind w:left="357"/>
      </w:pPr>
      <w:bookmarkStart w:id="50" w:name="_Toc385507272"/>
      <w:r w:rsidRPr="00450D34">
        <w:t>Capacity and allocation data quality</w:t>
      </w:r>
      <w:bookmarkEnd w:id="50"/>
    </w:p>
    <w:p w:rsidR="00846CD6" w:rsidRDefault="00846CD6" w:rsidP="00846CD6">
      <w:pPr>
        <w:pStyle w:val="AERbodytext"/>
      </w:pPr>
      <w:r>
        <w:t>This quarter we continued to monitor the quality of STTM data. Figure </w:t>
      </w:r>
      <w:r w:rsidR="008D4A86">
        <w:t>2</w:t>
      </w:r>
      <w:r>
        <w:t xml:space="preserve">.1 below illustrates the performance of STTM participants in submitting capacity and allocation data from the start of the STTM to December 2013. Data failures are categorised as relating to either ‘missing/late’ or ‘erroneous’ data. </w:t>
      </w:r>
      <w:r w:rsidR="00E87CD0">
        <w:t xml:space="preserve">We are concerned about the number of data failures since mid-2013, after </w:t>
      </w:r>
      <w:r w:rsidR="00E812D3">
        <w:t xml:space="preserve">the </w:t>
      </w:r>
      <w:r w:rsidR="00E87CD0">
        <w:t xml:space="preserve">period of no errors from mid-2012 to early 2013. </w:t>
      </w:r>
    </w:p>
    <w:p w:rsidR="00846CD6" w:rsidRDefault="00846CD6" w:rsidP="00846CD6">
      <w:pPr>
        <w:pStyle w:val="AERfigureheading"/>
        <w:numPr>
          <w:ilvl w:val="3"/>
          <w:numId w:val="20"/>
        </w:numPr>
      </w:pPr>
      <w:r>
        <w:t>Data failures since STTM commencement</w:t>
      </w:r>
    </w:p>
    <w:p w:rsidR="006D11C3" w:rsidRDefault="00D46FEA" w:rsidP="00846CD6">
      <w:pPr>
        <w:pStyle w:val="AERbodytext"/>
        <w:rPr>
          <w:rFonts w:ascii="Times New Roman" w:hAnsi="Times New Roman"/>
          <w:sz w:val="24"/>
        </w:rPr>
      </w:pPr>
      <w:r>
        <w:pict>
          <v:shape id="_x0000_i1033" type="#_x0000_t75" style="width:450.8pt;height:234.15pt">
            <v:imagedata r:id="rId27" o:title=""/>
          </v:shape>
        </w:pict>
      </w:r>
    </w:p>
    <w:p w:rsidR="00846CD6" w:rsidRPr="00450D34" w:rsidRDefault="00846CD6" w:rsidP="00846CD6">
      <w:pPr>
        <w:pStyle w:val="AERheading2"/>
        <w:tabs>
          <w:tab w:val="clear" w:pos="2484"/>
          <w:tab w:val="num" w:pos="357"/>
        </w:tabs>
        <w:ind w:left="357"/>
      </w:pPr>
      <w:bookmarkStart w:id="51" w:name="_Toc385507273"/>
      <w:r w:rsidRPr="00450D34">
        <w:t>Epic Energy—incorrect, missing and late STTM data</w:t>
      </w:r>
      <w:bookmarkEnd w:id="51"/>
      <w:r w:rsidRPr="00450D34">
        <w:t xml:space="preserve"> </w:t>
      </w:r>
    </w:p>
    <w:p w:rsidR="00846CD6" w:rsidRDefault="00846CD6" w:rsidP="00846CD6">
      <w:pPr>
        <w:pStyle w:val="AERbodytext"/>
      </w:pPr>
      <w:r>
        <w:t xml:space="preserve">In the </w:t>
      </w:r>
      <w:hyperlink r:id="rId28" w:history="1">
        <w:r>
          <w:rPr>
            <w:rStyle w:val="Hyperlink"/>
          </w:rPr>
          <w:t>previous QCR</w:t>
        </w:r>
      </w:hyperlink>
      <w:r>
        <w:t xml:space="preserve"> we noted four incidents in which Epic Energy, as the facility operator for the Moomba to Adelaide Pipeline (</w:t>
      </w:r>
      <w:r>
        <w:rPr>
          <w:b/>
        </w:rPr>
        <w:t>MAP</w:t>
      </w:r>
      <w:r>
        <w:t xml:space="preserve">), failed to submit accurate and timely data to AEMO. Below we provide an update in relation to those four incidents and introduce a further incident involving Epic which occurred during the quarter. </w:t>
      </w:r>
    </w:p>
    <w:p w:rsidR="00846CD6" w:rsidRDefault="00846CD6" w:rsidP="00846CD6">
      <w:pPr>
        <w:pStyle w:val="AERgenericboldheading"/>
      </w:pPr>
      <w:r>
        <w:lastRenderedPageBreak/>
        <w:t>Incorrect MAP allocation data</w:t>
      </w:r>
    </w:p>
    <w:p w:rsidR="00846CD6" w:rsidRDefault="00846CD6" w:rsidP="00846CD6">
      <w:pPr>
        <w:pStyle w:val="AERbodytext"/>
      </w:pPr>
      <w:r>
        <w:t xml:space="preserve">Epic provided incorrect pipeline data for the MAP to AEMO on 13 days over June and July 2013 due to a loose connection with an input resistor that connects into a terminal at one of the meter runs at the Gepps Cross Meter Station. This caused a meter to display flow readings, even though there was no actual gas movement. </w:t>
      </w:r>
    </w:p>
    <w:p w:rsidR="00846CD6" w:rsidRDefault="00846CD6" w:rsidP="00846CD6">
      <w:pPr>
        <w:pStyle w:val="AERbodytext"/>
      </w:pPr>
      <w:r>
        <w:t>Epic experienced an identical issue in 201</w:t>
      </w:r>
      <w:r w:rsidR="00AB7932">
        <w:t xml:space="preserve">2. In </w:t>
      </w:r>
      <w:r>
        <w:t xml:space="preserve">response </w:t>
      </w:r>
      <w:r w:rsidR="00AB7932">
        <w:t xml:space="preserve">it </w:t>
      </w:r>
      <w:r>
        <w:t>advised the AER that it had initiated a change control process to put in place alarms to identify when erroneous data might be generated. Later in 2012, Epic told the AER the alarms had been implemented.</w:t>
      </w:r>
    </w:p>
    <w:p w:rsidR="00846CD6" w:rsidRDefault="00846CD6" w:rsidP="00846CD6">
      <w:pPr>
        <w:pStyle w:val="AERbodytext"/>
      </w:pPr>
      <w:r>
        <w:t>Epic’s ownership changed in 2013 as part of an acquisition of pipeline assets by the APA Group and a subsequent divestment of the Epic business which operates the MAP.</w:t>
      </w:r>
    </w:p>
    <w:p w:rsidR="00846CD6" w:rsidRDefault="00846CD6" w:rsidP="00846CD6">
      <w:pPr>
        <w:pStyle w:val="AERbodytext"/>
      </w:pPr>
      <w:r>
        <w:t xml:space="preserve">Following the errors in June and July 2013, Epic’s new management informed the AER that the alarms had not in fact been implemented. Epic has since told the AER it will now implement such alarms for its systems. </w:t>
      </w:r>
    </w:p>
    <w:p w:rsidR="00846CD6" w:rsidRDefault="00846CD6" w:rsidP="00846CD6">
      <w:pPr>
        <w:pStyle w:val="AERbodytext"/>
      </w:pPr>
      <w:r>
        <w:t>The AER believes the recent errors would likely not have occurred if Epic had implemented the alarms in 2012. We consider that the lack of appropriate systems to alert Epic when incorrect flows were being recorded along with Epic’s failure to address this issue after it has been identified constitute a breach of Good Gas Industry Practice (</w:t>
      </w:r>
      <w:r>
        <w:rPr>
          <w:b/>
        </w:rPr>
        <w:t>GGIP</w:t>
      </w:r>
      <w:r>
        <w:t xml:space="preserve">), as defined in the Gas Rules. </w:t>
      </w:r>
    </w:p>
    <w:p w:rsidR="00846CD6" w:rsidRDefault="00846CD6" w:rsidP="00846CD6">
      <w:pPr>
        <w:pStyle w:val="AERbodytext"/>
      </w:pPr>
      <w:r>
        <w:t xml:space="preserve">On this basis, the AER issued Epic an infringement notice in December 2013, which Epic paid on 9 January 2014. </w:t>
      </w:r>
      <w:r w:rsidR="00AB7932">
        <w:t xml:space="preserve">We published a detailed </w:t>
      </w:r>
      <w:hyperlink r:id="rId29" w:history="1">
        <w:r w:rsidR="00E812D3">
          <w:rPr>
            <w:rStyle w:val="Hyperlink"/>
          </w:rPr>
          <w:t>investigation report</w:t>
        </w:r>
      </w:hyperlink>
      <w:r w:rsidR="00E812D3">
        <w:t xml:space="preserve"> </w:t>
      </w:r>
      <w:r w:rsidR="00AB7932">
        <w:t xml:space="preserve">into the matter. </w:t>
      </w:r>
    </w:p>
    <w:p w:rsidR="00846CD6" w:rsidRPr="00846CD6" w:rsidRDefault="00846CD6" w:rsidP="00846CD6">
      <w:pPr>
        <w:pStyle w:val="AERbodytext"/>
      </w:pPr>
      <w:r w:rsidRPr="00846CD6">
        <w:t>Following the latest incident, Epic has introduced two main measures to improve compliance</w:t>
      </w:r>
      <w:r w:rsidR="00AB7932">
        <w:t>:</w:t>
      </w:r>
      <w:r w:rsidRPr="00846CD6">
        <w:t xml:space="preserve"> implementation of alarm management software</w:t>
      </w:r>
      <w:r w:rsidR="00AB7932">
        <w:t>;</w:t>
      </w:r>
      <w:r w:rsidRPr="00846CD6">
        <w:t xml:space="preserve"> and introducing a different model of Flow Computer, in which the Resistors are internal to improve connection integrity. Alarm Management Forum is scheduled to be completed by the end of January 2014. </w:t>
      </w:r>
    </w:p>
    <w:p w:rsidR="00846CD6" w:rsidRDefault="00846CD6" w:rsidP="00846CD6">
      <w:pPr>
        <w:pStyle w:val="AERgenericboldheading"/>
      </w:pPr>
      <w:r>
        <w:t>Missing MAP allocation data</w:t>
      </w:r>
    </w:p>
    <w:p w:rsidR="00846CD6" w:rsidRDefault="00846CD6" w:rsidP="00846CD6">
      <w:pPr>
        <w:pStyle w:val="AERbodytext"/>
      </w:pPr>
      <w:r>
        <w:t>On 5 August 2013, Epic failed to submit pipeline allocation data for the MAP to AEMO. Epic explained that this incident was as a result of a failure of the automatic submission of data due to the expiry of a password within Epic’s Customer Reporting System (</w:t>
      </w:r>
      <w:r>
        <w:rPr>
          <w:b/>
        </w:rPr>
        <w:t>CRS</w:t>
      </w:r>
      <w:r>
        <w:t xml:space="preserve">). Manual submission was also incorrect due to files </w:t>
      </w:r>
      <w:r w:rsidR="00AB7932">
        <w:t xml:space="preserve">being </w:t>
      </w:r>
      <w:r>
        <w:t xml:space="preserve">submitted in </w:t>
      </w:r>
      <w:r w:rsidR="00AB7932">
        <w:t xml:space="preserve">the </w:t>
      </w:r>
      <w:r>
        <w:t>incorrect order and fault with the file naming convention. Following this incident, Epic advised</w:t>
      </w:r>
      <w:r w:rsidR="00E812D3">
        <w:t xml:space="preserve"> that</w:t>
      </w:r>
      <w:r>
        <w:t xml:space="preserve"> it </w:t>
      </w:r>
      <w:r w:rsidR="00AB7932">
        <w:t xml:space="preserve">has </w:t>
      </w:r>
      <w:r>
        <w:t>implemented a new system to track the expiry of CRS passwords. It also updated its procedures to recognise file ordering conventions and it provided training to ensure operators are familiar with the relevant procedures.</w:t>
      </w:r>
    </w:p>
    <w:p w:rsidR="00846CD6" w:rsidRDefault="00846CD6" w:rsidP="00846CD6">
      <w:pPr>
        <w:pStyle w:val="AERgenericboldheading"/>
      </w:pPr>
      <w:r>
        <w:t>Late capacity data</w:t>
      </w:r>
    </w:p>
    <w:p w:rsidR="00846CD6" w:rsidRDefault="00846CD6" w:rsidP="00846CD6">
      <w:pPr>
        <w:pStyle w:val="AERbodytext"/>
      </w:pPr>
      <w:r>
        <w:t xml:space="preserve">On 8 August 2013, Epic failed to submit facility hub capacity data for the MAP to AEMO by the 9:30am cut-off. Epic advised that the </w:t>
      </w:r>
      <w:r w:rsidR="00450D34">
        <w:t>f</w:t>
      </w:r>
      <w:r w:rsidR="00722B6A">
        <w:t xml:space="preserve">ile transfer </w:t>
      </w:r>
      <w:r>
        <w:t xml:space="preserve">application that delivers the files to AEMO site failed to operate correctly. In addition, Epic Pipeline Controller incorrectly interpreted a ‘Generate’ status on a report as reflecting a successful submission. Following this incident, Epic advised that the issue with the </w:t>
      </w:r>
      <w:r w:rsidR="00450D34">
        <w:t>f</w:t>
      </w:r>
      <w:r w:rsidR="00722B6A">
        <w:t xml:space="preserve">ile </w:t>
      </w:r>
      <w:r w:rsidR="00450D34">
        <w:t>t</w:t>
      </w:r>
      <w:r w:rsidR="00722B6A">
        <w:t xml:space="preserve">ransfer </w:t>
      </w:r>
      <w:r>
        <w:t xml:space="preserve">scheduler </w:t>
      </w:r>
      <w:r w:rsidR="00722B6A">
        <w:t xml:space="preserve">was </w:t>
      </w:r>
      <w:r>
        <w:t>resolved immediately once it has identified the issue. Epic also noted that it has provided training regarding the interpretation of the file status.</w:t>
      </w:r>
    </w:p>
    <w:p w:rsidR="00846CD6" w:rsidRDefault="00846CD6" w:rsidP="00846CD6">
      <w:pPr>
        <w:pStyle w:val="AERgenericboldheading"/>
      </w:pPr>
      <w:r>
        <w:t>Late submission of MAP allocation data</w:t>
      </w:r>
    </w:p>
    <w:p w:rsidR="00846CD6" w:rsidRDefault="00846CD6" w:rsidP="00846CD6">
      <w:pPr>
        <w:pStyle w:val="AERbodytext"/>
      </w:pPr>
      <w:r>
        <w:t xml:space="preserve">In the </w:t>
      </w:r>
      <w:hyperlink r:id="rId30" w:history="1">
        <w:r>
          <w:rPr>
            <w:rStyle w:val="Hyperlink"/>
          </w:rPr>
          <w:t>previous QCR</w:t>
        </w:r>
      </w:hyperlink>
      <w:r>
        <w:t xml:space="preserve"> we reported that Epic failed to submit accurate allocation files by the cut-off time on 4 September 2013 because its</w:t>
      </w:r>
      <w:r>
        <w:rPr>
          <w:lang w:eastAsia="en-AU"/>
        </w:rPr>
        <w:t xml:space="preserve"> CRS was programmed to reject values greater than 10TJ</w:t>
      </w:r>
      <w:r>
        <w:t xml:space="preserve">. </w:t>
      </w:r>
      <w:r>
        <w:lastRenderedPageBreak/>
        <w:t>Following this incident, Epic reviewed the issue together with the CRS vendor to identify a permanent solution, which is expected to be implemented in February 2014.</w:t>
      </w:r>
    </w:p>
    <w:p w:rsidR="00846CD6" w:rsidRDefault="00846CD6" w:rsidP="00846CD6">
      <w:pPr>
        <w:pStyle w:val="AERgenericboldheading"/>
      </w:pPr>
      <w:r>
        <w:t>Late submission of capacity data</w:t>
      </w:r>
    </w:p>
    <w:p w:rsidR="00846CD6" w:rsidRDefault="00846CD6" w:rsidP="00846CD6">
      <w:pPr>
        <w:pStyle w:val="AERbodytext"/>
      </w:pPr>
      <w:r>
        <w:t>This quarter, on 8 October 2013, Epic failed to submit facility hub capacity data for the MAP to AEMO by the 9:30am cut-off. Epic explained that following the transfer of its CRS from Melbourne to its new operations base in Adelaide, the CRS server failed to operate due to a problem with the File Transfer Protocol (</w:t>
      </w:r>
      <w:r>
        <w:rPr>
          <w:b/>
        </w:rPr>
        <w:t>FTP</w:t>
      </w:r>
      <w:r>
        <w:t xml:space="preserve">) transfer system. Following the CRS failure, there was also a problem with the manual backup submission </w:t>
      </w:r>
      <w:r w:rsidR="00450D34">
        <w:t>due to an expired hyperlink</w:t>
      </w:r>
      <w:r>
        <w:t xml:space="preserve">. In response, Epic took remedial measures to address this issue including </w:t>
      </w:r>
      <w:r w:rsidR="00722B6A">
        <w:t>updating the backup system</w:t>
      </w:r>
      <w:r w:rsidR="004C24C4">
        <w:t>,</w:t>
      </w:r>
      <w:r w:rsidR="00722B6A">
        <w:t xml:space="preserve"> </w:t>
      </w:r>
      <w:r>
        <w:t>addressing the hyperlink issue immediately following the incident and providing refresher and ongoing training to staff on manual processes.</w:t>
      </w:r>
    </w:p>
    <w:p w:rsidR="00846CD6" w:rsidRPr="00FD7CA1" w:rsidRDefault="00846CD6" w:rsidP="00846CD6">
      <w:pPr>
        <w:pStyle w:val="AERheading2"/>
        <w:tabs>
          <w:tab w:val="clear" w:pos="2484"/>
          <w:tab w:val="num" w:pos="357"/>
        </w:tabs>
        <w:ind w:left="357"/>
      </w:pPr>
      <w:bookmarkStart w:id="52" w:name="_Toc385507274"/>
      <w:r w:rsidRPr="00FD7CA1">
        <w:t>Jemena EGP—late capacity data</w:t>
      </w:r>
      <w:bookmarkEnd w:id="52"/>
    </w:p>
    <w:p w:rsidR="00846CD6" w:rsidRDefault="00846CD6" w:rsidP="00846CD6">
      <w:pPr>
        <w:pStyle w:val="AERbodytext"/>
      </w:pPr>
      <w:r>
        <w:t xml:space="preserve">On 6 October 2013, Jemena EGP automatically submitted the facility hub capacity file for gas days 7, 8, and 9 October 2013 as per its normal data submission process. The previous day Jemena EGP requested its external IT service provider to amend the automatic submission time of the capacity file to allow for daylight savings. The IT changes were not actioned and Jemena incorrectly submitted its capacity file at 6am AEST. This meant Jemena failed to meet the timing requirement under the Gas Rules to </w:t>
      </w:r>
      <w:r w:rsidR="008D1BBD">
        <w:t>submit capacity files between 6:30</w:t>
      </w:r>
      <w:r>
        <w:t>am AEST (the start of</w:t>
      </w:r>
      <w:r w:rsidR="008D1BBD">
        <w:t xml:space="preserve"> the Sydney STTM gas day) and 9:</w:t>
      </w:r>
      <w:r>
        <w:t xml:space="preserve">30am AEST. Jemena has advised of a number of remedial measures including reconfiguring the daily </w:t>
      </w:r>
      <w:r w:rsidR="004C24C4">
        <w:t xml:space="preserve">facility hub capacity </w:t>
      </w:r>
      <w:r>
        <w:t>submission timing so that the event should not re</w:t>
      </w:r>
      <w:r w:rsidR="007B290B">
        <w:t>oc</w:t>
      </w:r>
      <w:r>
        <w:t>cur.</w:t>
      </w:r>
    </w:p>
    <w:p w:rsidR="00846CD6" w:rsidRPr="00FD7CA1" w:rsidRDefault="00846CD6" w:rsidP="00846CD6">
      <w:pPr>
        <w:pStyle w:val="AERheading2"/>
        <w:tabs>
          <w:tab w:val="clear" w:pos="2484"/>
          <w:tab w:val="num" w:pos="357"/>
        </w:tabs>
        <w:ind w:left="357"/>
      </w:pPr>
      <w:bookmarkStart w:id="53" w:name="_Toc385507275"/>
      <w:r w:rsidRPr="00FD7CA1">
        <w:t>AGL</w:t>
      </w:r>
      <w:r w:rsidR="00DE7FD5" w:rsidRPr="00FD7CA1">
        <w:t>—</w:t>
      </w:r>
      <w:r w:rsidR="00DE7FD5">
        <w:t>incorrect</w:t>
      </w:r>
      <w:r w:rsidR="00DE7FD5" w:rsidRPr="00FD7CA1">
        <w:t xml:space="preserve"> capacity data</w:t>
      </w:r>
      <w:bookmarkEnd w:id="53"/>
      <w:r w:rsidR="00DE7FD5" w:rsidRPr="00FD7CA1">
        <w:t xml:space="preserve"> </w:t>
      </w:r>
    </w:p>
    <w:p w:rsidR="00846CD6" w:rsidRDefault="00846CD6" w:rsidP="00846CD6">
      <w:pPr>
        <w:pStyle w:val="AERbodytext"/>
      </w:pPr>
      <w:r>
        <w:t xml:space="preserve">As reported in the previous QCR, AGL submitted incorrect capacity information to AEMO for its Camden facility for the 1 April 2013 gas day. </w:t>
      </w:r>
    </w:p>
    <w:p w:rsidR="00846CD6" w:rsidRDefault="00846CD6" w:rsidP="00846CD6">
      <w:pPr>
        <w:pStyle w:val="AERbodytext"/>
      </w:pPr>
      <w:r>
        <w:t xml:space="preserve">Following this incident and </w:t>
      </w:r>
      <w:r>
        <w:rPr>
          <w:lang w:eastAsia="en-AU"/>
        </w:rPr>
        <w:t>pursuant to an undertaking provided to the AER, AGL</w:t>
      </w:r>
      <w:r>
        <w:t xml:space="preserve"> undertook an operational review </w:t>
      </w:r>
      <w:r w:rsidR="00FD7CA1">
        <w:t xml:space="preserve">(a lean six sigma review which focused on the consistency of process and understanding across the trading team as well as opportunities for cultural and system improvements) </w:t>
      </w:r>
      <w:r>
        <w:t>and as a result has implemented a number of measures which aim to prevent further STTM data issues. AGL reported on recommendations to the AER in November</w:t>
      </w:r>
      <w:r w:rsidR="00FD7CA1">
        <w:t xml:space="preserve"> 2013</w:t>
      </w:r>
      <w:r w:rsidR="002F46CC">
        <w:t xml:space="preserve"> and has </w:t>
      </w:r>
      <w:r>
        <w:t xml:space="preserve">implemented </w:t>
      </w:r>
      <w:r w:rsidR="002F46CC">
        <w:t xml:space="preserve">some of the </w:t>
      </w:r>
      <w:r>
        <w:t xml:space="preserve">recommended </w:t>
      </w:r>
      <w:r w:rsidR="002F46CC">
        <w:t>changes</w:t>
      </w:r>
      <w:r>
        <w:t xml:space="preserve">, </w:t>
      </w:r>
      <w:r w:rsidR="002F46CC">
        <w:t xml:space="preserve">such as improving communication between operations staff at the Camden facility and the Melbourne trading team. In addition, a number of </w:t>
      </w:r>
      <w:r>
        <w:t xml:space="preserve">system changes </w:t>
      </w:r>
      <w:r w:rsidR="002F46CC">
        <w:t xml:space="preserve">will </w:t>
      </w:r>
      <w:r>
        <w:t>be implemented.</w:t>
      </w:r>
      <w:r w:rsidR="007B290B">
        <w:t xml:space="preserve"> </w:t>
      </w:r>
    </w:p>
    <w:p w:rsidR="00846CD6" w:rsidRPr="00FD7CA1" w:rsidRDefault="00846CD6" w:rsidP="00846CD6">
      <w:pPr>
        <w:pStyle w:val="AERheading2"/>
        <w:tabs>
          <w:tab w:val="clear" w:pos="2484"/>
          <w:tab w:val="num" w:pos="357"/>
        </w:tabs>
        <w:ind w:left="357"/>
      </w:pPr>
      <w:bookmarkStart w:id="54" w:name="_Toc385507276"/>
      <w:r w:rsidRPr="00FD7CA1">
        <w:t>APA Group—late capacity data</w:t>
      </w:r>
      <w:bookmarkEnd w:id="54"/>
      <w:r w:rsidRPr="00FD7CA1">
        <w:t xml:space="preserve"> </w:t>
      </w:r>
    </w:p>
    <w:p w:rsidR="00846CD6" w:rsidRDefault="00846CD6" w:rsidP="00846CD6">
      <w:pPr>
        <w:pStyle w:val="AERbodytext"/>
      </w:pPr>
      <w:r>
        <w:t>On 14 October 2013, APT Petroleum Pipelines (</w:t>
      </w:r>
      <w:r>
        <w:rPr>
          <w:b/>
        </w:rPr>
        <w:t>APA Group</w:t>
      </w:r>
      <w:r>
        <w:t>) failed to submit D-1 facility hub capacity data before the 11am cut-off for the Roma to Brisbane Pipeline for the 15 October 2013 gas day due to a fault in its automated processes. APA explained that it was not able to complete the manual generation and upload of the file before the cut-off time (they were 25 seconds late) due to an unexpected staff absence.</w:t>
      </w:r>
    </w:p>
    <w:p w:rsidR="00846CD6" w:rsidRDefault="00846CD6" w:rsidP="00846CD6">
      <w:pPr>
        <w:pStyle w:val="AERbodytext"/>
      </w:pPr>
      <w:r>
        <w:t>APA advised that it has implemented a number of measures to reduce the likelihood of reoccurrence in</w:t>
      </w:r>
      <w:r w:rsidR="00460552">
        <w:t xml:space="preserve"> the</w:t>
      </w:r>
      <w:r>
        <w:t xml:space="preserve"> future, including changes to improve the speed of creating and submitting data and to allow more time for potential manual submission requirements, system alerts</w:t>
      </w:r>
      <w:r w:rsidR="00460552">
        <w:t xml:space="preserve"> when files are not successfully received by AEMO, and refreshing relevant staff o</w:t>
      </w:r>
      <w:r w:rsidR="00B514AD">
        <w:t>n</w:t>
      </w:r>
      <w:r w:rsidR="00460552">
        <w:t xml:space="preserve"> STTM reporting obligations</w:t>
      </w:r>
      <w:r>
        <w:t>.</w:t>
      </w:r>
    </w:p>
    <w:p w:rsidR="00846CD6" w:rsidRPr="00FD7CA1" w:rsidRDefault="00846CD6" w:rsidP="00846CD6">
      <w:pPr>
        <w:pStyle w:val="AERheading2"/>
        <w:tabs>
          <w:tab w:val="clear" w:pos="2484"/>
          <w:tab w:val="num" w:pos="357"/>
        </w:tabs>
        <w:ind w:left="357"/>
      </w:pPr>
      <w:bookmarkStart w:id="55" w:name="_Toc385507277"/>
      <w:r w:rsidRPr="00FD7CA1">
        <w:lastRenderedPageBreak/>
        <w:t>Incitec Pivot—late capacity data</w:t>
      </w:r>
      <w:bookmarkEnd w:id="55"/>
      <w:r w:rsidRPr="00FD7CA1">
        <w:t xml:space="preserve"> </w:t>
      </w:r>
    </w:p>
    <w:p w:rsidR="00846CD6" w:rsidRDefault="00846CD6" w:rsidP="00846CD6">
      <w:pPr>
        <w:pStyle w:val="AERbodytext"/>
      </w:pPr>
      <w:r>
        <w:t>Incitec Pivot (</w:t>
      </w:r>
      <w:r>
        <w:rPr>
          <w:b/>
        </w:rPr>
        <w:t>Incitec</w:t>
      </w:r>
      <w:r>
        <w:t>) did not submit an offer for the D-3 schedule for the 4 December 2013 gas day in the Brisbane hub. This contributed to the D-3 provisional price reaching $13.50/GJ. Incitec subsequently submitted offers at the D-2 and D-1 schedules.</w:t>
      </w:r>
    </w:p>
    <w:p w:rsidR="00846CD6" w:rsidRDefault="00846CD6" w:rsidP="00846CD6">
      <w:pPr>
        <w:pStyle w:val="AERbodytext"/>
      </w:pPr>
      <w:r>
        <w:t>Rule 410(1) of the National Gas Rules requires STTM participants to submit in good faith ex ante offers that reflect best estimates of the quantities of natural gas they expect to supply.</w:t>
      </w:r>
    </w:p>
    <w:p w:rsidR="00846CD6" w:rsidRDefault="00846CD6" w:rsidP="00846CD6">
      <w:pPr>
        <w:pStyle w:val="AERbodytext"/>
      </w:pPr>
      <w:r>
        <w:t xml:space="preserve">In response to our </w:t>
      </w:r>
      <w:r w:rsidR="007B290B">
        <w:t>inquiries</w:t>
      </w:r>
      <w:r>
        <w:t xml:space="preserve">, Incitec explained that the failure was due to staffing issues. It has taken the following steps </w:t>
      </w:r>
      <w:r w:rsidR="007B290B">
        <w:t xml:space="preserve">to </w:t>
      </w:r>
      <w:r>
        <w:t>prevent similar issues from occurring:</w:t>
      </w:r>
    </w:p>
    <w:p w:rsidR="00846CD6" w:rsidRDefault="00846CD6" w:rsidP="00846CD6">
      <w:pPr>
        <w:pStyle w:val="AERbulletlistsecondstyle"/>
        <w:numPr>
          <w:ilvl w:val="0"/>
          <w:numId w:val="21"/>
        </w:numPr>
        <w:tabs>
          <w:tab w:val="left" w:pos="720"/>
        </w:tabs>
      </w:pPr>
      <w:r>
        <w:t>adjusting the nominations and bid/offer recording spreadsheet to contain valid bids and offers (recorded with relevant id numbers) for at least five days out from D-1</w:t>
      </w:r>
    </w:p>
    <w:p w:rsidR="00846CD6" w:rsidRDefault="00846CD6" w:rsidP="00846CD6">
      <w:pPr>
        <w:pStyle w:val="AERbulletlistsecondstyle"/>
        <w:numPr>
          <w:ilvl w:val="0"/>
          <w:numId w:val="21"/>
        </w:numPr>
        <w:tabs>
          <w:tab w:val="left" w:pos="720"/>
        </w:tabs>
      </w:pPr>
      <w:r>
        <w:t>amending internal procedures to formally document that the relevant trader must submit bids and offers at the usual load level for the entire month ahead.</w:t>
      </w:r>
    </w:p>
    <w:p w:rsidR="00846CD6" w:rsidRDefault="00846CD6" w:rsidP="00846CD6">
      <w:pPr>
        <w:pStyle w:val="AERbodytext"/>
        <w:rPr>
          <w:rFonts w:ascii="Times New Roman" w:hAnsi="Times New Roman"/>
          <w:sz w:val="24"/>
          <w:lang w:eastAsia="en-AU"/>
        </w:rPr>
      </w:pPr>
      <w:r>
        <w:t>We will continue to monitor Incitec’s submission of bids and offers to ensure future compliance.</w:t>
      </w:r>
      <w:r>
        <w:rPr>
          <w:rFonts w:ascii="Times New Roman" w:hAnsi="Times New Roman"/>
          <w:sz w:val="24"/>
          <w:lang w:eastAsia="en-AU"/>
        </w:rPr>
        <w:t xml:space="preserve"> </w:t>
      </w:r>
    </w:p>
    <w:p w:rsidR="00D476F6" w:rsidRPr="00FD7CA1" w:rsidRDefault="00D476F6" w:rsidP="00D476F6">
      <w:pPr>
        <w:pStyle w:val="AERheading2"/>
        <w:tabs>
          <w:tab w:val="clear" w:pos="2484"/>
          <w:tab w:val="num" w:pos="357"/>
        </w:tabs>
        <w:ind w:left="357"/>
      </w:pPr>
      <w:bookmarkStart w:id="56" w:name="_Toc385507278"/>
      <w:r w:rsidRPr="00FD7CA1">
        <w:t>Facility operator audits</w:t>
      </w:r>
      <w:bookmarkEnd w:id="56"/>
    </w:p>
    <w:p w:rsidR="00A70B0B" w:rsidRDefault="00A70B0B" w:rsidP="00A70B0B">
      <w:pPr>
        <w:pStyle w:val="AERbodytext"/>
        <w:rPr>
          <w:rFonts w:cs="Gautami"/>
          <w:szCs w:val="20"/>
        </w:rPr>
      </w:pPr>
      <w:r w:rsidRPr="004B06E6">
        <w:rPr>
          <w:lang w:eastAsia="en-AU"/>
        </w:rPr>
        <w:t xml:space="preserve">Since 2011, </w:t>
      </w:r>
      <w:r>
        <w:rPr>
          <w:lang w:eastAsia="en-AU"/>
        </w:rPr>
        <w:t>we have</w:t>
      </w:r>
      <w:r w:rsidRPr="004B06E6">
        <w:rPr>
          <w:lang w:eastAsia="en-AU"/>
        </w:rPr>
        <w:t xml:space="preserve"> been progressively undertaking compliance audits of STTM </w:t>
      </w:r>
      <w:r>
        <w:rPr>
          <w:lang w:eastAsia="en-AU"/>
        </w:rPr>
        <w:t>participants</w:t>
      </w:r>
      <w:r w:rsidRPr="004B06E6">
        <w:rPr>
          <w:lang w:eastAsia="en-AU"/>
        </w:rPr>
        <w:t xml:space="preserve">. </w:t>
      </w:r>
      <w:r>
        <w:t>This</w:t>
      </w:r>
      <w:r w:rsidRPr="004B06E6">
        <w:t xml:space="preserve"> series of audits</w:t>
      </w:r>
      <w:r>
        <w:t>, which looks at compliance with information and data obligations under Part 20 of the Gas Rules,</w:t>
      </w:r>
      <w:r w:rsidRPr="004B06E6">
        <w:t xml:space="preserve"> </w:t>
      </w:r>
      <w:r>
        <w:t xml:space="preserve">is </w:t>
      </w:r>
      <w:r w:rsidRPr="004B06E6">
        <w:t xml:space="preserve">an ongoing effort to </w:t>
      </w:r>
      <w:r>
        <w:t>improve the</w:t>
      </w:r>
      <w:r w:rsidRPr="004B06E6">
        <w:t xml:space="preserve"> culture of compliance </w:t>
      </w:r>
      <w:r>
        <w:t xml:space="preserve">with STTM obligations </w:t>
      </w:r>
      <w:r w:rsidRPr="004B06E6">
        <w:t xml:space="preserve">across the industry. </w:t>
      </w:r>
      <w:r>
        <w:rPr>
          <w:rFonts w:cs="Gautami"/>
          <w:szCs w:val="20"/>
        </w:rPr>
        <w:t>This</w:t>
      </w:r>
      <w:r w:rsidRPr="00457C13">
        <w:rPr>
          <w:rFonts w:cs="Gautami"/>
          <w:szCs w:val="20"/>
        </w:rPr>
        <w:t xml:space="preserve"> quarter</w:t>
      </w:r>
      <w:r w:rsidRPr="00B8683C">
        <w:rPr>
          <w:lang w:eastAsia="en-AU"/>
        </w:rPr>
        <w:t xml:space="preserve"> </w:t>
      </w:r>
      <w:r>
        <w:rPr>
          <w:lang w:eastAsia="en-AU"/>
        </w:rPr>
        <w:t>we completed the fifth and final audit under this process, examining SEA Gas with respect to the SEA Gas pipeline</w:t>
      </w:r>
      <w:r w:rsidRPr="00457C13">
        <w:rPr>
          <w:rFonts w:cs="Gautami"/>
          <w:szCs w:val="20"/>
        </w:rPr>
        <w:t xml:space="preserve">. </w:t>
      </w:r>
    </w:p>
    <w:p w:rsidR="00A70B0B" w:rsidRPr="00006E63" w:rsidRDefault="00A70B0B" w:rsidP="00A70B0B">
      <w:pPr>
        <w:pStyle w:val="AERbodytext"/>
        <w:keepNext/>
        <w:rPr>
          <w:bCs/>
          <w:color w:val="000000"/>
        </w:rPr>
      </w:pPr>
      <w:r w:rsidRPr="00FE4E1B">
        <w:rPr>
          <w:bCs/>
          <w:color w:val="000000"/>
        </w:rPr>
        <w:t>The audit involved four steps:</w:t>
      </w:r>
    </w:p>
    <w:p w:rsidR="00A70B0B" w:rsidRPr="00FE4E1B" w:rsidRDefault="00A70B0B" w:rsidP="00BC2517">
      <w:pPr>
        <w:pStyle w:val="AERbulletlistsecondstyle"/>
        <w:numPr>
          <w:ilvl w:val="0"/>
          <w:numId w:val="21"/>
        </w:numPr>
        <w:tabs>
          <w:tab w:val="left" w:pos="720"/>
        </w:tabs>
      </w:pPr>
      <w:r>
        <w:t>issuing SEA Gas</w:t>
      </w:r>
      <w:r w:rsidRPr="00FE4E1B">
        <w:t xml:space="preserve"> an audit questionnaire </w:t>
      </w:r>
    </w:p>
    <w:p w:rsidR="00A70B0B" w:rsidRPr="00FE4E1B" w:rsidRDefault="00A70B0B" w:rsidP="00BC2517">
      <w:pPr>
        <w:pStyle w:val="AERbulletlistsecondstyle"/>
        <w:numPr>
          <w:ilvl w:val="0"/>
          <w:numId w:val="21"/>
        </w:numPr>
        <w:tabs>
          <w:tab w:val="left" w:pos="720"/>
        </w:tabs>
      </w:pPr>
      <w:r w:rsidRPr="00FE4E1B">
        <w:t xml:space="preserve">reviewing </w:t>
      </w:r>
      <w:r>
        <w:t>SEA Gas</w:t>
      </w:r>
      <w:r w:rsidRPr="00FE4E1B">
        <w:t xml:space="preserve">’s response to ascertain whether it adequately met the </w:t>
      </w:r>
      <w:r>
        <w:t xml:space="preserve">aim of the </w:t>
      </w:r>
      <w:r w:rsidRPr="00FE4E1B">
        <w:t>audit</w:t>
      </w:r>
    </w:p>
    <w:p w:rsidR="00A70B0B" w:rsidRPr="00FE4E1B" w:rsidRDefault="00A70B0B" w:rsidP="00BC2517">
      <w:pPr>
        <w:pStyle w:val="AERbulletlistsecondstyle"/>
        <w:numPr>
          <w:ilvl w:val="0"/>
          <w:numId w:val="21"/>
        </w:numPr>
        <w:tabs>
          <w:tab w:val="left" w:pos="720"/>
        </w:tabs>
      </w:pPr>
      <w:r>
        <w:t>a site visit to the SEA Gas</w:t>
      </w:r>
      <w:r w:rsidRPr="00FE4E1B">
        <w:t xml:space="preserve"> head office to discuss questions and issues that arose from </w:t>
      </w:r>
      <w:r>
        <w:t>SEA Gas’s</w:t>
      </w:r>
      <w:r w:rsidRPr="00FE4E1B">
        <w:t xml:space="preserve"> response</w:t>
      </w:r>
    </w:p>
    <w:p w:rsidR="00A70B0B" w:rsidRPr="00FE4E1B" w:rsidRDefault="00A70B0B" w:rsidP="00BC2517">
      <w:pPr>
        <w:pStyle w:val="AERbulletlistsecondstyle"/>
        <w:numPr>
          <w:ilvl w:val="0"/>
          <w:numId w:val="21"/>
        </w:numPr>
        <w:tabs>
          <w:tab w:val="left" w:pos="720"/>
        </w:tabs>
      </w:pPr>
      <w:r w:rsidRPr="00FE4E1B">
        <w:t xml:space="preserve">issuing </w:t>
      </w:r>
      <w:r>
        <w:t>SEA Gas with</w:t>
      </w:r>
      <w:r w:rsidRPr="00FE4E1B">
        <w:t xml:space="preserve"> an audit report outlining conclusions and recommendations</w:t>
      </w:r>
      <w:r>
        <w:t xml:space="preserve">. </w:t>
      </w:r>
    </w:p>
    <w:p w:rsidR="00A70B0B" w:rsidRDefault="00A70B0B" w:rsidP="00A70B0B">
      <w:pPr>
        <w:pStyle w:val="AERbodytext"/>
        <w:rPr>
          <w:bCs/>
          <w:color w:val="000000"/>
        </w:rPr>
      </w:pPr>
      <w:r>
        <w:rPr>
          <w:bCs/>
          <w:color w:val="000000"/>
        </w:rPr>
        <w:t>Following the audit meeting on 11 December 2013</w:t>
      </w:r>
      <w:r w:rsidRPr="00AA7A92">
        <w:rPr>
          <w:bCs/>
          <w:color w:val="000000"/>
        </w:rPr>
        <w:t xml:space="preserve">, we were satisfied that the processes and systems which </w:t>
      </w:r>
      <w:r>
        <w:rPr>
          <w:bCs/>
          <w:color w:val="000000"/>
        </w:rPr>
        <w:t>SEA Gas</w:t>
      </w:r>
      <w:r w:rsidRPr="00AA7A92">
        <w:rPr>
          <w:bCs/>
          <w:color w:val="000000"/>
        </w:rPr>
        <w:t xml:space="preserve"> </w:t>
      </w:r>
      <w:r w:rsidR="00A47673">
        <w:rPr>
          <w:bCs/>
          <w:color w:val="000000"/>
        </w:rPr>
        <w:t>has</w:t>
      </w:r>
      <w:r w:rsidRPr="00AA7A92">
        <w:rPr>
          <w:bCs/>
          <w:color w:val="000000"/>
        </w:rPr>
        <w:t xml:space="preserve"> in place, if implemented and maintained appropriately, </w:t>
      </w:r>
      <w:r>
        <w:rPr>
          <w:bCs/>
          <w:color w:val="000000"/>
        </w:rPr>
        <w:t xml:space="preserve">are </w:t>
      </w:r>
      <w:r w:rsidRPr="00AA7A92">
        <w:rPr>
          <w:bCs/>
          <w:color w:val="000000"/>
        </w:rPr>
        <w:t>sufficient to satisfy the applicable information and data obligations under Part</w:t>
      </w:r>
      <w:r w:rsidRPr="00AA7A92">
        <w:rPr>
          <w:rFonts w:hint="eastAsia"/>
          <w:bCs/>
          <w:color w:val="000000"/>
        </w:rPr>
        <w:t> </w:t>
      </w:r>
      <w:r w:rsidRPr="00AA7A92">
        <w:rPr>
          <w:bCs/>
          <w:color w:val="000000"/>
        </w:rPr>
        <w:t xml:space="preserve">20 of the Gas Rules. </w:t>
      </w:r>
      <w:r>
        <w:rPr>
          <w:bCs/>
          <w:color w:val="000000"/>
        </w:rPr>
        <w:t xml:space="preserve">We were particularly impressed with the electronic alert systems that SEA Gas has gradually built up since STTM market start and consider the processes for maintaining and updating these systems to be industry best practice. </w:t>
      </w:r>
    </w:p>
    <w:p w:rsidR="00A70B0B" w:rsidRPr="00AA7A92" w:rsidRDefault="00A70B0B" w:rsidP="00551314">
      <w:pPr>
        <w:pStyle w:val="AERbodytext"/>
        <w:keepNext/>
        <w:rPr>
          <w:bCs/>
          <w:color w:val="000000"/>
        </w:rPr>
      </w:pPr>
      <w:r w:rsidRPr="00AA7A92">
        <w:rPr>
          <w:bCs/>
          <w:color w:val="000000"/>
        </w:rPr>
        <w:t>Our key findings were:</w:t>
      </w:r>
    </w:p>
    <w:p w:rsidR="00A70B0B" w:rsidRPr="00AA7A92" w:rsidRDefault="00A70B0B" w:rsidP="00BC2517">
      <w:pPr>
        <w:pStyle w:val="AERbulletlistsecondstyle"/>
        <w:numPr>
          <w:ilvl w:val="0"/>
          <w:numId w:val="21"/>
        </w:numPr>
        <w:tabs>
          <w:tab w:val="left" w:pos="720"/>
        </w:tabs>
      </w:pPr>
      <w:r>
        <w:t xml:space="preserve">Due to the limited size of the operations of SEA Gas and </w:t>
      </w:r>
      <w:r w:rsidR="00AB7932">
        <w:t>its</w:t>
      </w:r>
      <w:r>
        <w:t xml:space="preserve"> technologically advanced pipeline infrastructure</w:t>
      </w:r>
      <w:r w:rsidR="00AB7932">
        <w:t xml:space="preserve"> (relative to many other pipelines in Australia)</w:t>
      </w:r>
      <w:r>
        <w:t xml:space="preserve">, SEA Gas has been able to automate systems to both meet STTM obligations and to </w:t>
      </w:r>
      <w:r w:rsidRPr="00AA7A92">
        <w:t>monitor compliance obligations and is</w:t>
      </w:r>
      <w:r>
        <w:t>sues as they arise.</w:t>
      </w:r>
    </w:p>
    <w:p w:rsidR="00A70B0B" w:rsidRPr="00AA7A92" w:rsidRDefault="00A70B0B" w:rsidP="00BC2517">
      <w:pPr>
        <w:pStyle w:val="AERbulletlistsecondstyle"/>
        <w:numPr>
          <w:ilvl w:val="0"/>
          <w:numId w:val="21"/>
        </w:numPr>
        <w:tabs>
          <w:tab w:val="left" w:pos="720"/>
        </w:tabs>
      </w:pPr>
      <w:r>
        <w:lastRenderedPageBreak/>
        <w:t>SEA Gas</w:t>
      </w:r>
      <w:r w:rsidRPr="00AA7A92">
        <w:t xml:space="preserve"> </w:t>
      </w:r>
      <w:r w:rsidR="008F1BE0">
        <w:t>could</w:t>
      </w:r>
      <w:r w:rsidRPr="00AA7A92">
        <w:t xml:space="preserve"> improve its </w:t>
      </w:r>
      <w:r w:rsidR="008F1BE0">
        <w:t xml:space="preserve">processes around </w:t>
      </w:r>
      <w:r w:rsidRPr="00AA7A92">
        <w:t>communication wi</w:t>
      </w:r>
      <w:r w:rsidR="008F1BE0">
        <w:t xml:space="preserve">th the AER on compliance issues. For example, by requiring staff to proactively report any compliance issues as soon as they are discovered. </w:t>
      </w:r>
    </w:p>
    <w:p w:rsidR="00A70B0B" w:rsidRDefault="00A70B0B" w:rsidP="00A70B0B">
      <w:pPr>
        <w:pStyle w:val="AERbodytext"/>
      </w:pPr>
      <w:r>
        <w:t xml:space="preserve">This audit concludes our series of STTM information and data audits. </w:t>
      </w:r>
    </w:p>
    <w:p w:rsidR="00B25981" w:rsidRPr="00860DB5" w:rsidRDefault="00B25981" w:rsidP="002C7158">
      <w:pPr>
        <w:pStyle w:val="QCRunnumberedunboldheading"/>
      </w:pPr>
      <w:bookmarkStart w:id="57" w:name="_Toc385507279"/>
      <w:r w:rsidRPr="00FD7CA1">
        <w:t>Bulletin Board</w:t>
      </w:r>
      <w:bookmarkEnd w:id="57"/>
    </w:p>
    <w:p w:rsidR="00846CD6" w:rsidRDefault="00846CD6" w:rsidP="00846CD6">
      <w:pPr>
        <w:pStyle w:val="AERbodytext"/>
        <w:rPr>
          <w:rFonts w:cs="Gautami"/>
        </w:rPr>
      </w:pPr>
      <w:r>
        <w:t xml:space="preserve">Part 18 of the Gas Rules sets out participants’ responsibilities regarding the Bulletin Board. These obligations aim to facilitate greater transparency in gas production and gas pipeline flows to assist gas trading. The obligations also require participants to identify and report any potential conditions where </w:t>
      </w:r>
      <w:r>
        <w:rPr>
          <w:rFonts w:cs="Gautami"/>
        </w:rPr>
        <w:t>curtailment of gas use might be necessary.</w:t>
      </w:r>
    </w:p>
    <w:p w:rsidR="00846CD6" w:rsidRPr="00551314" w:rsidRDefault="00846CD6" w:rsidP="00551314">
      <w:pPr>
        <w:pStyle w:val="AERbodytext"/>
      </w:pPr>
      <w:r w:rsidRPr="00551314">
        <w:t xml:space="preserve">Participants submit daily pipeline nominated and forecast delivery data as required by gas rule 173. During the quarter, one facility operator failed on a total of nine occasions to submit firm nomination Bulletin Board data to AEMO on the relevant gas day. </w:t>
      </w:r>
      <w:r w:rsidR="00551314" w:rsidRPr="00551314">
        <w:t>The missing nominations were due to a server error during the implementation of customer reporting system changes. This issue was notified to the AER shortly after occurring.</w:t>
      </w:r>
    </w:p>
    <w:p w:rsidR="00846CD6" w:rsidRDefault="00846CD6" w:rsidP="00846CD6">
      <w:pPr>
        <w:pStyle w:val="AERbodytext"/>
      </w:pPr>
      <w:r>
        <w:t xml:space="preserve">Participants submit daily production and pipeline flow data as required by gas rules 166 and 174. During the quarter, three facility operators failed on a total of eight occasions to submit daily flow Bulletin Board data to AEMO. </w:t>
      </w:r>
    </w:p>
    <w:p w:rsidR="00846CD6" w:rsidRDefault="00846CD6" w:rsidP="00846CD6">
      <w:pPr>
        <w:pStyle w:val="AERbodytext"/>
        <w:rPr>
          <w:lang w:eastAsia="en-AU"/>
        </w:rPr>
      </w:pPr>
      <w:r>
        <w:t>We will continue to track non-compliance with Bulletin Board requirements and pursue any systemic breaches.</w:t>
      </w:r>
    </w:p>
    <w:p w:rsidR="00D476F6" w:rsidRPr="00D476F6" w:rsidRDefault="00D476F6" w:rsidP="00D476F6">
      <w:pPr>
        <w:pStyle w:val="AERbodytext"/>
      </w:pPr>
    </w:p>
    <w:p w:rsidR="007725E6" w:rsidRPr="00860DB5" w:rsidRDefault="004A472C" w:rsidP="002C7158">
      <w:pPr>
        <w:pStyle w:val="QCRHeading1"/>
      </w:pPr>
      <w:bookmarkStart w:id="58" w:name="_Toc337553428"/>
      <w:bookmarkStart w:id="59" w:name="_Ref353362815"/>
      <w:bookmarkStart w:id="60" w:name="_Toc385507280"/>
      <w:bookmarkEnd w:id="28"/>
      <w:bookmarkEnd w:id="29"/>
      <w:bookmarkEnd w:id="35"/>
      <w:bookmarkEnd w:id="36"/>
      <w:r w:rsidRPr="00860DB5">
        <w:lastRenderedPageBreak/>
        <w:t>Electricity</w:t>
      </w:r>
      <w:bookmarkEnd w:id="58"/>
      <w:bookmarkEnd w:id="59"/>
      <w:bookmarkEnd w:id="60"/>
    </w:p>
    <w:p w:rsidR="004A472C" w:rsidRDefault="00DC3257" w:rsidP="004A472C">
      <w:pPr>
        <w:pStyle w:val="AERbodytext"/>
      </w:pPr>
      <w:r>
        <w:t>We are</w:t>
      </w:r>
      <w:r w:rsidR="004A472C" w:rsidRPr="00405B4F">
        <w:t xml:space="preserve"> responsible for monitoring, investigating and </w:t>
      </w:r>
      <w:r w:rsidR="00106D97" w:rsidRPr="00405B4F">
        <w:t>enforcing c</w:t>
      </w:r>
      <w:r w:rsidR="004A472C" w:rsidRPr="00405B4F">
        <w:t>ompliance under the Electricity Law and Rules.</w:t>
      </w:r>
    </w:p>
    <w:p w:rsidR="00783406" w:rsidRPr="00405B4F" w:rsidRDefault="00783406" w:rsidP="004A472C">
      <w:pPr>
        <w:pStyle w:val="AERbodytext"/>
      </w:pPr>
      <w:r w:rsidRPr="00405B4F">
        <w:t>This part of the report provides an update on investigations</w:t>
      </w:r>
      <w:r>
        <w:t>,</w:t>
      </w:r>
      <w:r w:rsidRPr="00405B4F">
        <w:t xml:space="preserve"> compliance matters </w:t>
      </w:r>
      <w:r>
        <w:t xml:space="preserve">and projects </w:t>
      </w:r>
      <w:r w:rsidRPr="00405B4F">
        <w:t xml:space="preserve">in the </w:t>
      </w:r>
      <w:r>
        <w:t xml:space="preserve">electricity </w:t>
      </w:r>
      <w:r w:rsidRPr="00405B4F">
        <w:t>market.</w:t>
      </w:r>
      <w:r>
        <w:t xml:space="preserve"> </w:t>
      </w:r>
    </w:p>
    <w:p w:rsidR="004A472C" w:rsidRPr="00FD7CA1" w:rsidRDefault="004A472C" w:rsidP="005D2DC9">
      <w:pPr>
        <w:pStyle w:val="AERheading2"/>
        <w:tabs>
          <w:tab w:val="clear" w:pos="2484"/>
          <w:tab w:val="num" w:pos="357"/>
        </w:tabs>
        <w:ind w:left="357"/>
      </w:pPr>
      <w:bookmarkStart w:id="61" w:name="_Toc212011732"/>
      <w:bookmarkStart w:id="62" w:name="_Toc212011733"/>
      <w:bookmarkStart w:id="63" w:name="_Toc212011734"/>
      <w:bookmarkStart w:id="64" w:name="_Toc212011740"/>
      <w:bookmarkStart w:id="65" w:name="_Toc385507281"/>
      <w:bookmarkStart w:id="66" w:name="_Toc307317355"/>
      <w:bookmarkStart w:id="67" w:name="_Toc330814067"/>
      <w:bookmarkStart w:id="68" w:name="OLE_LINK22"/>
      <w:bookmarkStart w:id="69" w:name="OLE_LINK25"/>
      <w:bookmarkStart w:id="70" w:name="OLE_LINK70"/>
      <w:bookmarkStart w:id="71" w:name="OLE_LINK71"/>
      <w:bookmarkStart w:id="72" w:name="OLE_LINK81"/>
      <w:bookmarkStart w:id="73" w:name="OLE_LINK82"/>
      <w:bookmarkStart w:id="74" w:name="OLE_LINK11"/>
      <w:bookmarkStart w:id="75" w:name="OLE_LINK13"/>
      <w:bookmarkStart w:id="76" w:name="_Ref222739334"/>
      <w:bookmarkStart w:id="77" w:name="_Toc229556409"/>
      <w:bookmarkStart w:id="78" w:name="OLE_LINK9"/>
      <w:bookmarkStart w:id="79" w:name="OLE_LINK10"/>
      <w:bookmarkStart w:id="80" w:name="_Ref221697778"/>
      <w:bookmarkStart w:id="81" w:name="_Toc229556410"/>
      <w:bookmarkStart w:id="82" w:name="OLE_LINK31"/>
      <w:bookmarkStart w:id="83" w:name="OLE_LINK69"/>
      <w:bookmarkStart w:id="84" w:name="OLE_LINK77"/>
      <w:bookmarkStart w:id="85" w:name="OLE_LINK78"/>
      <w:bookmarkStart w:id="86" w:name="OLE_LINK79"/>
      <w:bookmarkStart w:id="87" w:name="OLE_LINK80"/>
      <w:bookmarkEnd w:id="61"/>
      <w:bookmarkEnd w:id="62"/>
      <w:bookmarkEnd w:id="63"/>
      <w:bookmarkEnd w:id="64"/>
      <w:r w:rsidRPr="00FD7CA1">
        <w:t>Rebidding</w:t>
      </w:r>
      <w:bookmarkEnd w:id="65"/>
      <w:r w:rsidRPr="00FD7CA1">
        <w:t xml:space="preserve"> </w:t>
      </w:r>
    </w:p>
    <w:p w:rsidR="004A472C" w:rsidRPr="00405B4F" w:rsidRDefault="004A472C" w:rsidP="004A472C">
      <w:pPr>
        <w:pStyle w:val="AERbodytext"/>
      </w:pPr>
      <w:bookmarkStart w:id="88" w:name="OLE_LINK17"/>
      <w:bookmarkStart w:id="89" w:name="OLE_LINK19"/>
      <w:bookmarkStart w:id="90" w:name="OLE_LINK6"/>
      <w:bookmarkEnd w:id="66"/>
      <w:bookmarkEnd w:id="67"/>
      <w:bookmarkEnd w:id="68"/>
      <w:bookmarkEnd w:id="69"/>
      <w:bookmarkEnd w:id="70"/>
      <w:bookmarkEnd w:id="71"/>
      <w:bookmarkEnd w:id="72"/>
      <w:bookmarkEnd w:id="73"/>
      <w:r w:rsidRPr="00405B4F">
        <w:t>Scheduled generators and market participants operating in the National Electricity Market (</w:t>
      </w:r>
      <w:r w:rsidRPr="00405B4F">
        <w:rPr>
          <w:b/>
        </w:rPr>
        <w:t>NEM</w:t>
      </w:r>
      <w:r w:rsidRPr="00405B4F">
        <w:t>) submit electricity offers and bids for each half hour</w:t>
      </w:r>
      <w:r w:rsidR="008B0082" w:rsidRPr="00405B4F">
        <w:t xml:space="preserve"> trading interval</w:t>
      </w:r>
      <w:r w:rsidRPr="00405B4F">
        <w:t>. The offers and bids include available capacity for up to 10 price bands, and can be varied through rebidding.</w:t>
      </w:r>
      <w:r w:rsidRPr="00405B4F">
        <w:rPr>
          <w:vertAlign w:val="superscript"/>
        </w:rPr>
        <w:footnoteReference w:id="9"/>
      </w:r>
    </w:p>
    <w:p w:rsidR="004A472C" w:rsidRPr="000D2D9C" w:rsidRDefault="00DC3257" w:rsidP="004A472C">
      <w:pPr>
        <w:pStyle w:val="AERbodytext"/>
        <w:rPr>
          <w:highlight w:val="yellow"/>
        </w:rPr>
      </w:pPr>
      <w:r>
        <w:t>We</w:t>
      </w:r>
      <w:r w:rsidRPr="00405B4F">
        <w:t xml:space="preserve"> </w:t>
      </w:r>
      <w:r w:rsidR="004A472C" w:rsidRPr="00405B4F">
        <w:t xml:space="preserve">adopted </w:t>
      </w:r>
      <w:r w:rsidR="001201E1" w:rsidRPr="00405B4F">
        <w:t xml:space="preserve">a new strategy in relation to enforcing </w:t>
      </w:r>
      <w:r w:rsidR="004A472C" w:rsidRPr="00405B4F">
        <w:t>generator rebidding reason</w:t>
      </w:r>
      <w:r w:rsidR="001201E1" w:rsidRPr="00405B4F">
        <w:t xml:space="preserve"> r</w:t>
      </w:r>
      <w:r w:rsidR="00405B4F">
        <w:t>equirements in 2010</w:t>
      </w:r>
      <w:r w:rsidR="004A472C" w:rsidRPr="00405B4F">
        <w:t>.</w:t>
      </w:r>
      <w:r w:rsidR="004A472C" w:rsidRPr="00405B4F">
        <w:rPr>
          <w:vertAlign w:val="superscript"/>
        </w:rPr>
        <w:footnoteReference w:id="10"/>
      </w:r>
      <w:r w:rsidR="004A472C" w:rsidRPr="00405B4F">
        <w:t xml:space="preserve"> Generators that submit offer, bid and/or rebid information that does not meet the requirements of the Electricity Rules will receive two warnings. On </w:t>
      </w:r>
      <w:r w:rsidR="00D04F9F" w:rsidRPr="00405B4F">
        <w:t xml:space="preserve">the </w:t>
      </w:r>
      <w:r w:rsidR="004A472C" w:rsidRPr="00405B4F">
        <w:t xml:space="preserve">third </w:t>
      </w:r>
      <w:r w:rsidR="00D04F9F" w:rsidRPr="00405B4F">
        <w:t xml:space="preserve">warning </w:t>
      </w:r>
      <w:r w:rsidR="004A472C" w:rsidRPr="00405B4F">
        <w:t xml:space="preserve">within six months, </w:t>
      </w:r>
      <w:r>
        <w:t>we</w:t>
      </w:r>
      <w:r w:rsidR="004A472C" w:rsidRPr="00405B4F">
        <w:t xml:space="preserve"> will consider issuing an infringement notice. </w:t>
      </w:r>
      <w:r w:rsidR="00E02F21">
        <w:t xml:space="preserve">A </w:t>
      </w:r>
      <w:r w:rsidR="00147563" w:rsidRPr="00405B4F">
        <w:t xml:space="preserve">participant’s warning count </w:t>
      </w:r>
      <w:r w:rsidR="00E02F21">
        <w:t xml:space="preserve">is set </w:t>
      </w:r>
      <w:r w:rsidR="00D50182" w:rsidRPr="00405B4F">
        <w:t>to zero</w:t>
      </w:r>
      <w:r w:rsidR="00E02F21">
        <w:t xml:space="preserve"> after six months</w:t>
      </w:r>
      <w:r w:rsidR="00147563" w:rsidRPr="00405B4F">
        <w:t xml:space="preserve">. </w:t>
      </w:r>
    </w:p>
    <w:p w:rsidR="00620D71" w:rsidRPr="0059623E" w:rsidRDefault="00E02F21" w:rsidP="004A472C">
      <w:pPr>
        <w:pStyle w:val="AERbodytext"/>
      </w:pPr>
      <w:r>
        <w:t>Figure </w:t>
      </w:r>
      <w:r w:rsidR="008D4A86">
        <w:t>3</w:t>
      </w:r>
      <w:r>
        <w:t xml:space="preserve">.1 </w:t>
      </w:r>
      <w:r w:rsidR="004A472C" w:rsidRPr="00405B4F">
        <w:t xml:space="preserve">shows that since 2010 the number of rebids </w:t>
      </w:r>
      <w:r w:rsidR="00E56F27" w:rsidRPr="00405B4F">
        <w:t xml:space="preserve">detected </w:t>
      </w:r>
      <w:r w:rsidR="004A472C" w:rsidRPr="00405B4F">
        <w:t xml:space="preserve">by </w:t>
      </w:r>
      <w:r w:rsidR="00DC3257">
        <w:t>our</w:t>
      </w:r>
      <w:r w:rsidR="004A472C" w:rsidRPr="00405B4F">
        <w:t xml:space="preserve"> internal compliance system has fallen markedly. The number of rebids which required further review has also fallen significantly.</w:t>
      </w:r>
      <w:r w:rsidR="004A472C" w:rsidRPr="0059623E">
        <w:t xml:space="preserve"> </w:t>
      </w:r>
    </w:p>
    <w:p w:rsidR="004A472C" w:rsidRPr="00950C37" w:rsidRDefault="004A472C" w:rsidP="00372CBB">
      <w:pPr>
        <w:pStyle w:val="AERfigureheading"/>
      </w:pPr>
      <w:bookmarkStart w:id="91" w:name="_Ref353365935"/>
      <w:r w:rsidRPr="00950C37">
        <w:t>Rebids auto-triggered and reviewed per week</w:t>
      </w:r>
      <w:bookmarkEnd w:id="91"/>
    </w:p>
    <w:p w:rsidR="0004398F" w:rsidRDefault="00D46FEA" w:rsidP="004A472C">
      <w:pPr>
        <w:rPr>
          <w:b/>
        </w:rPr>
      </w:pPr>
      <w:r>
        <w:rPr>
          <w:noProof/>
          <w:lang w:eastAsia="en-AU"/>
        </w:rPr>
        <w:pict>
          <v:shape id="_x0000_i1034" type="#_x0000_t75" alt="Rebids auto-triggered and reviewed per week" style="width:415.1pt;height:246.7pt;visibility:visible;mso-wrap-style:square">
            <v:imagedata r:id="rId31" o:title=""/>
          </v:shape>
        </w:pict>
      </w:r>
    </w:p>
    <w:p w:rsidR="0004398F" w:rsidRDefault="00F66D97" w:rsidP="00950C37">
      <w:pPr>
        <w:pStyle w:val="AERbodytext"/>
        <w:rPr>
          <w:color w:val="000000"/>
        </w:rPr>
      </w:pPr>
      <w:r w:rsidRPr="00950C37">
        <w:lastRenderedPageBreak/>
        <w:t xml:space="preserve">During the </w:t>
      </w:r>
      <w:r w:rsidR="0004398F">
        <w:t>December</w:t>
      </w:r>
      <w:r w:rsidRPr="00950C37">
        <w:t xml:space="preserve"> quarter, </w:t>
      </w:r>
      <w:r w:rsidR="00C506DD" w:rsidRPr="00950C37">
        <w:t>we</w:t>
      </w:r>
      <w:r w:rsidRPr="00950C37">
        <w:t xml:space="preserve"> issued </w:t>
      </w:r>
      <w:r w:rsidR="0004398F">
        <w:t>three</w:t>
      </w:r>
      <w:r w:rsidRPr="00950C37">
        <w:t xml:space="preserve"> warning</w:t>
      </w:r>
      <w:r w:rsidR="0004398F">
        <w:t>s</w:t>
      </w:r>
      <w:r w:rsidRPr="00950C37">
        <w:t xml:space="preserve">. </w:t>
      </w:r>
      <w:r w:rsidR="0004398F">
        <w:rPr>
          <w:color w:val="000000"/>
        </w:rPr>
        <w:t>One</w:t>
      </w:r>
      <w:r w:rsidR="0004398F" w:rsidRPr="003B56CB">
        <w:rPr>
          <w:color w:val="000000"/>
        </w:rPr>
        <w:t xml:space="preserve"> was an initial warning with respect to a rebid which did not contain a time adduced in the reason </w:t>
      </w:r>
      <w:r w:rsidR="007B290B">
        <w:rPr>
          <w:color w:val="000000"/>
        </w:rPr>
        <w:t xml:space="preserve">nor was </w:t>
      </w:r>
      <w:r w:rsidR="0004398F" w:rsidRPr="003B56CB">
        <w:rPr>
          <w:color w:val="000000"/>
        </w:rPr>
        <w:t xml:space="preserve">the reason verifiable or specific. </w:t>
      </w:r>
      <w:r w:rsidR="0004398F">
        <w:rPr>
          <w:color w:val="000000"/>
        </w:rPr>
        <w:t xml:space="preserve">The second warning was </w:t>
      </w:r>
      <w:r w:rsidR="0004398F" w:rsidRPr="00F66D97">
        <w:rPr>
          <w:color w:val="000000"/>
        </w:rPr>
        <w:t xml:space="preserve">with respect to a rebid which </w:t>
      </w:r>
      <w:r w:rsidR="0004398F">
        <w:rPr>
          <w:color w:val="000000"/>
        </w:rPr>
        <w:t xml:space="preserve">saw </w:t>
      </w:r>
      <w:r w:rsidR="0004398F" w:rsidRPr="00F66D97">
        <w:rPr>
          <w:color w:val="000000"/>
        </w:rPr>
        <w:t xml:space="preserve">a </w:t>
      </w:r>
      <w:r w:rsidR="0004398F">
        <w:rPr>
          <w:color w:val="000000"/>
        </w:rPr>
        <w:t>generator’s</w:t>
      </w:r>
      <w:r w:rsidR="0004398F" w:rsidRPr="00F66D97">
        <w:rPr>
          <w:color w:val="000000"/>
        </w:rPr>
        <w:t xml:space="preserve"> ramp rate </w:t>
      </w:r>
      <w:r w:rsidR="0004398F">
        <w:rPr>
          <w:color w:val="000000"/>
        </w:rPr>
        <w:t xml:space="preserve">reduced </w:t>
      </w:r>
      <w:r w:rsidR="0004398F" w:rsidRPr="00F66D97">
        <w:rPr>
          <w:color w:val="000000"/>
        </w:rPr>
        <w:t>to below the allowed minimum of 3MW/minute without a technical reason.</w:t>
      </w:r>
      <w:r w:rsidR="0004398F">
        <w:rPr>
          <w:color w:val="000000"/>
        </w:rPr>
        <w:t xml:space="preserve"> The third was with respect to a rebid which made plant inflexible and the reason did not contain a technical reason. </w:t>
      </w:r>
    </w:p>
    <w:p w:rsidR="00F66D97" w:rsidRPr="00950C37" w:rsidRDefault="00950C37" w:rsidP="00950C37">
      <w:pPr>
        <w:pStyle w:val="AERbodytext"/>
      </w:pPr>
      <w:r w:rsidRPr="00950C37">
        <w:t>Participants notified us that there was an error in their rebids on 1</w:t>
      </w:r>
      <w:r w:rsidR="0004398F">
        <w:t>1</w:t>
      </w:r>
      <w:r w:rsidRPr="00950C37">
        <w:t> occasions</w:t>
      </w:r>
      <w:r w:rsidR="0004398F">
        <w:t xml:space="preserve"> during the quarter and one participant had its warning count reset to zero. </w:t>
      </w:r>
    </w:p>
    <w:p w:rsidR="002B1E66" w:rsidRPr="002F46CC" w:rsidRDefault="004E21F8" w:rsidP="00BE518D">
      <w:pPr>
        <w:pStyle w:val="AERheading2"/>
        <w:tabs>
          <w:tab w:val="clear" w:pos="2484"/>
          <w:tab w:val="num" w:pos="357"/>
        </w:tabs>
        <w:ind w:left="357"/>
      </w:pPr>
      <w:bookmarkStart w:id="92" w:name="_Toc361240109"/>
      <w:bookmarkStart w:id="93" w:name="_Toc385507282"/>
      <w:bookmarkStart w:id="94" w:name="_Ref353363026"/>
      <w:bookmarkStart w:id="95" w:name="_Toc330814074"/>
      <w:bookmarkEnd w:id="74"/>
      <w:bookmarkEnd w:id="75"/>
      <w:bookmarkEnd w:id="76"/>
      <w:bookmarkEnd w:id="77"/>
      <w:bookmarkEnd w:id="78"/>
      <w:bookmarkEnd w:id="79"/>
      <w:bookmarkEnd w:id="88"/>
      <w:bookmarkEnd w:id="89"/>
      <w:bookmarkEnd w:id="90"/>
      <w:bookmarkEnd w:id="92"/>
      <w:r w:rsidRPr="002F46CC">
        <w:t>Hydro Tasmania</w:t>
      </w:r>
      <w:r w:rsidR="00971437" w:rsidRPr="00FD7CA1">
        <w:t>—</w:t>
      </w:r>
      <w:r w:rsidRPr="002F46CC">
        <w:t>MT PASA data</w:t>
      </w:r>
      <w:bookmarkEnd w:id="93"/>
      <w:r w:rsidR="002B1E66" w:rsidRPr="002F46CC">
        <w:t xml:space="preserve"> </w:t>
      </w:r>
    </w:p>
    <w:p w:rsidR="002B1E66" w:rsidRPr="002B1E66" w:rsidRDefault="002B1E66" w:rsidP="002B1E66">
      <w:pPr>
        <w:pStyle w:val="AERbodytext"/>
      </w:pPr>
      <w:r w:rsidRPr="002B1E66">
        <w:t>The E</w:t>
      </w:r>
      <w:r>
        <w:t>lectricity Rules requires each s</w:t>
      </w:r>
      <w:r w:rsidRPr="002B1E66">
        <w:t xml:space="preserve">cheduled </w:t>
      </w:r>
      <w:r>
        <w:t>g</w:t>
      </w:r>
      <w:r w:rsidRPr="002B1E66">
        <w:t xml:space="preserve">enerator or market participant to provide </w:t>
      </w:r>
      <w:r>
        <w:t>projected assessment of system adequacy (</w:t>
      </w:r>
      <w:r w:rsidRPr="002B1E66">
        <w:rPr>
          <w:b/>
        </w:rPr>
        <w:t>PASA</w:t>
      </w:r>
      <w:r>
        <w:t xml:space="preserve">) </w:t>
      </w:r>
      <w:r w:rsidRPr="002B1E66">
        <w:t xml:space="preserve">availability </w:t>
      </w:r>
      <w:r>
        <w:t>for</w:t>
      </w:r>
      <w:r w:rsidRPr="002B1E66">
        <w:t xml:space="preserve"> each scheduled generating unit, scheduled load or scheduled network service in accordance with a timetable determined by AEMO.</w:t>
      </w:r>
    </w:p>
    <w:p w:rsidR="002B1E66" w:rsidRPr="002B1E66" w:rsidRDefault="002B1E66" w:rsidP="002B1E66">
      <w:pPr>
        <w:pStyle w:val="AERbodytext"/>
      </w:pPr>
      <w:r w:rsidRPr="002B1E66">
        <w:t xml:space="preserve">On 15 January 2014, Hydro Tasmania reported to the AER that </w:t>
      </w:r>
      <w:r>
        <w:t>it</w:t>
      </w:r>
      <w:r w:rsidRPr="002B1E66">
        <w:t xml:space="preserve"> had failed to update </w:t>
      </w:r>
      <w:r>
        <w:t xml:space="preserve">its </w:t>
      </w:r>
      <w:r w:rsidRPr="002B1E66">
        <w:t xml:space="preserve">PASA availability in accordance with AEMO’s timetable from 4 November 2013 to 26 November 2013. </w:t>
      </w:r>
      <w:r>
        <w:t xml:space="preserve">It </w:t>
      </w:r>
      <w:r w:rsidRPr="002B1E66">
        <w:t xml:space="preserve">stated that a system change created two faults, including stopping the automatic submission of </w:t>
      </w:r>
      <w:r>
        <w:t xml:space="preserve">medium term </w:t>
      </w:r>
      <w:r w:rsidRPr="002B1E66">
        <w:t xml:space="preserve">PASA </w:t>
      </w:r>
      <w:r>
        <w:t>(</w:t>
      </w:r>
      <w:r w:rsidRPr="002B1E66">
        <w:rPr>
          <w:b/>
        </w:rPr>
        <w:t>MT</w:t>
      </w:r>
      <w:r>
        <w:rPr>
          <w:b/>
        </w:rPr>
        <w:t xml:space="preserve"> PASA</w:t>
      </w:r>
      <w:r>
        <w:t>)</w:t>
      </w:r>
      <w:r w:rsidRPr="002B1E66">
        <w:t xml:space="preserve"> data and causing a failure in the ‘health check’ of the system. Hydro Tasmania has reported to the AER that remedial actions have been implemented to ens</w:t>
      </w:r>
      <w:r w:rsidR="005E5530">
        <w:t xml:space="preserve">ure the error doesn’t reoccur. </w:t>
      </w:r>
    </w:p>
    <w:p w:rsidR="002B1E66" w:rsidRPr="002B1E66" w:rsidRDefault="00D9041E" w:rsidP="002B1E66">
      <w:pPr>
        <w:pStyle w:val="AERbodytext"/>
      </w:pPr>
      <w:r>
        <w:t>We</w:t>
      </w:r>
      <w:r w:rsidR="002B1E66">
        <w:t xml:space="preserve"> </w:t>
      </w:r>
      <w:r w:rsidR="002B1E66" w:rsidRPr="002B1E66">
        <w:t>will continue to monitor the performance of Hydro Tasmania regarding its MT PASA inputs in 2014.</w:t>
      </w:r>
      <w:r w:rsidR="002B1E66">
        <w:t xml:space="preserve"> We take this opportunity to remind other participants of the importance of providing accurate MT PASA </w:t>
      </w:r>
      <w:r w:rsidR="00984701">
        <w:t xml:space="preserve">information </w:t>
      </w:r>
      <w:r w:rsidR="002B1E66">
        <w:t xml:space="preserve">to AEMO. </w:t>
      </w:r>
    </w:p>
    <w:p w:rsidR="0053410D" w:rsidRPr="002F46CC" w:rsidRDefault="0012437D" w:rsidP="00BE518D">
      <w:pPr>
        <w:pStyle w:val="AERheading2"/>
        <w:tabs>
          <w:tab w:val="clear" w:pos="2484"/>
          <w:tab w:val="num" w:pos="357"/>
        </w:tabs>
        <w:ind w:left="357"/>
      </w:pPr>
      <w:bookmarkStart w:id="96" w:name="_Toc385507283"/>
      <w:r w:rsidRPr="002F46CC">
        <w:t>Metering compliance issues</w:t>
      </w:r>
      <w:bookmarkEnd w:id="96"/>
    </w:p>
    <w:p w:rsidR="0053410D" w:rsidRPr="0053410D" w:rsidRDefault="006F6D9C" w:rsidP="0053410D">
      <w:pPr>
        <w:pStyle w:val="AERbodytext"/>
      </w:pPr>
      <w:r>
        <w:t>W</w:t>
      </w:r>
      <w:r w:rsidR="0053410D">
        <w:t xml:space="preserve">e have become aware </w:t>
      </w:r>
      <w:r w:rsidR="0053410D" w:rsidRPr="0053410D">
        <w:t xml:space="preserve">of three separate occasions where a network service provider has either failed to install a meter before energising a site or failed to register the connection with AEMO. </w:t>
      </w:r>
    </w:p>
    <w:p w:rsidR="0053410D" w:rsidRPr="0053410D" w:rsidRDefault="0053410D" w:rsidP="0053410D">
      <w:pPr>
        <w:pStyle w:val="AERbodytext"/>
      </w:pPr>
      <w:r w:rsidRPr="0053410D">
        <w:t>In July 2013</w:t>
      </w:r>
      <w:r>
        <w:t>,</w:t>
      </w:r>
      <w:r w:rsidRPr="0053410D">
        <w:t xml:space="preserve"> AEMO notified the AER that Powerlink and Ergon Energy had </w:t>
      </w:r>
      <w:r w:rsidR="0012437D">
        <w:t xml:space="preserve">each </w:t>
      </w:r>
      <w:r w:rsidRPr="0053410D">
        <w:t xml:space="preserve">commissioned </w:t>
      </w:r>
      <w:r w:rsidR="0012437D">
        <w:t>metering installations</w:t>
      </w:r>
      <w:r w:rsidR="0012437D" w:rsidRPr="0053410D">
        <w:t xml:space="preserve"> </w:t>
      </w:r>
      <w:r w:rsidRPr="0053410D">
        <w:t xml:space="preserve">but not registered </w:t>
      </w:r>
      <w:r w:rsidR="0012437D">
        <w:t>them</w:t>
      </w:r>
      <w:r w:rsidR="00590ABC">
        <w:t xml:space="preserve"> with AEMO</w:t>
      </w:r>
      <w:r w:rsidR="0012437D">
        <w:t xml:space="preserve"> </w:t>
      </w:r>
      <w:r w:rsidRPr="0053410D">
        <w:t>in accordance with the connection requirements under clause</w:t>
      </w:r>
      <w:r>
        <w:t> </w:t>
      </w:r>
      <w:r w:rsidRPr="0053410D">
        <w:t>5.3</w:t>
      </w:r>
      <w:r w:rsidR="00590ABC">
        <w:t>.7(g)</w:t>
      </w:r>
      <w:r w:rsidRPr="0053410D">
        <w:t xml:space="preserve"> of the Electricity Rules. </w:t>
      </w:r>
      <w:r w:rsidR="00984701">
        <w:t>In response to AER requests</w:t>
      </w:r>
      <w:r w:rsidR="0012437D">
        <w:t xml:space="preserve">, </w:t>
      </w:r>
      <w:r w:rsidRPr="0053410D">
        <w:t xml:space="preserve">Powerlink and Ergon Energy </w:t>
      </w:r>
      <w:r w:rsidR="00984701">
        <w:t xml:space="preserve">agreed to </w:t>
      </w:r>
      <w:r w:rsidRPr="0053410D">
        <w:t>take remedial actions</w:t>
      </w:r>
      <w:r w:rsidR="0012437D">
        <w:t xml:space="preserve"> in relation to this matter</w:t>
      </w:r>
      <w:r w:rsidRPr="0053410D">
        <w:t>, including a review of their policies and proced</w:t>
      </w:r>
      <w:r w:rsidR="0012437D">
        <w:t>ures for registering metering installations.</w:t>
      </w:r>
    </w:p>
    <w:p w:rsidR="0053410D" w:rsidRPr="0053410D" w:rsidRDefault="0053410D" w:rsidP="0053410D">
      <w:pPr>
        <w:pStyle w:val="AERbodytext"/>
      </w:pPr>
      <w:r w:rsidRPr="0053410D">
        <w:t>In October 2013, Energex energised a new connection point without a meter, there</w:t>
      </w:r>
      <w:r w:rsidR="006F6D9C">
        <w:t>by</w:t>
      </w:r>
      <w:r w:rsidRPr="0053410D">
        <w:t xml:space="preserve"> failing to meet the requirements under clause</w:t>
      </w:r>
      <w:r w:rsidR="0012437D">
        <w:t xml:space="preserve"> 7.3 of the Electricity Rules. Energex </w:t>
      </w:r>
      <w:r w:rsidR="00984701">
        <w:t xml:space="preserve">also </w:t>
      </w:r>
      <w:r w:rsidRPr="0053410D">
        <w:t>undertook to investigate the matter and review its policies and procedures for meter</w:t>
      </w:r>
      <w:r w:rsidR="006F6D9C">
        <w:t>ing</w:t>
      </w:r>
      <w:r w:rsidRPr="0053410D">
        <w:t xml:space="preserve"> installation</w:t>
      </w:r>
      <w:r w:rsidR="0012437D">
        <w:t>s</w:t>
      </w:r>
      <w:r w:rsidRPr="0053410D">
        <w:t xml:space="preserve"> and connection</w:t>
      </w:r>
      <w:r w:rsidR="006F6D9C">
        <w:t>s</w:t>
      </w:r>
      <w:r w:rsidRPr="0053410D">
        <w:t xml:space="preserve"> of site</w:t>
      </w:r>
      <w:r w:rsidR="006F6D9C">
        <w:t>s</w:t>
      </w:r>
      <w:r w:rsidRPr="0053410D">
        <w:t xml:space="preserve">. </w:t>
      </w:r>
    </w:p>
    <w:p w:rsidR="0053410D" w:rsidRPr="0053410D" w:rsidRDefault="0012437D" w:rsidP="0053410D">
      <w:pPr>
        <w:pStyle w:val="AERbodytext"/>
      </w:pPr>
      <w:r>
        <w:t>More</w:t>
      </w:r>
      <w:r w:rsidR="0053410D" w:rsidRPr="0053410D">
        <w:t xml:space="preserve"> recently, </w:t>
      </w:r>
      <w:r>
        <w:t>we have</w:t>
      </w:r>
      <w:r w:rsidR="006F6D9C">
        <w:t xml:space="preserve"> been made aware of a</w:t>
      </w:r>
      <w:r w:rsidR="0053410D" w:rsidRPr="0053410D">
        <w:t xml:space="preserve"> </w:t>
      </w:r>
      <w:r w:rsidR="006F6D9C">
        <w:t xml:space="preserve">further </w:t>
      </w:r>
      <w:r w:rsidR="0053410D" w:rsidRPr="0053410D">
        <w:t>meter</w:t>
      </w:r>
      <w:r w:rsidR="006F6D9C">
        <w:t>ing</w:t>
      </w:r>
      <w:r w:rsidR="0053410D" w:rsidRPr="0053410D">
        <w:t xml:space="preserve"> installation issue </w:t>
      </w:r>
      <w:r w:rsidR="006F6D9C">
        <w:t xml:space="preserve">which is </w:t>
      </w:r>
      <w:r w:rsidR="0053410D" w:rsidRPr="0053410D">
        <w:t xml:space="preserve">still under investigation. </w:t>
      </w:r>
      <w:r w:rsidR="006F6D9C">
        <w:t xml:space="preserve">We will report on this matter in due course. </w:t>
      </w:r>
    </w:p>
    <w:p w:rsidR="0053410D" w:rsidRPr="0053410D" w:rsidRDefault="0053410D" w:rsidP="0053410D">
      <w:pPr>
        <w:pStyle w:val="AERbodytext"/>
      </w:pPr>
      <w:r w:rsidRPr="0053410D">
        <w:t xml:space="preserve">These </w:t>
      </w:r>
      <w:r w:rsidR="00984701">
        <w:t xml:space="preserve">recent </w:t>
      </w:r>
      <w:r w:rsidRPr="0053410D">
        <w:t xml:space="preserve">instances </w:t>
      </w:r>
      <w:r w:rsidR="006F6D9C">
        <w:t xml:space="preserve">of non-compliance </w:t>
      </w:r>
      <w:r w:rsidRPr="0053410D">
        <w:t xml:space="preserve">highlight </w:t>
      </w:r>
      <w:r w:rsidR="00984701">
        <w:t xml:space="preserve">potential issues </w:t>
      </w:r>
      <w:r w:rsidRPr="0053410D">
        <w:t>with the current adequacy of internal meter</w:t>
      </w:r>
      <w:r w:rsidR="006F6D9C">
        <w:t>ing</w:t>
      </w:r>
      <w:r w:rsidRPr="0053410D">
        <w:t xml:space="preserve"> installation procedures. The AER considers it essential that appropriate procedures and checks are in place so that the </w:t>
      </w:r>
      <w:r w:rsidR="006F6D9C">
        <w:t xml:space="preserve">requirements applying to </w:t>
      </w:r>
      <w:r w:rsidRPr="0053410D">
        <w:t>meter</w:t>
      </w:r>
      <w:r w:rsidR="006F6D9C">
        <w:t>ing</w:t>
      </w:r>
      <w:r w:rsidRPr="0053410D">
        <w:t xml:space="preserve"> installations are appropriately met.</w:t>
      </w:r>
      <w:r w:rsidR="00590ABC">
        <w:t xml:space="preserve"> </w:t>
      </w:r>
      <w:r w:rsidRPr="0053410D">
        <w:t>We will continue to monitor this issue closely</w:t>
      </w:r>
      <w:r w:rsidR="00243176">
        <w:t xml:space="preserve"> in conjunction with AEMO </w:t>
      </w:r>
      <w:r w:rsidR="004D0ABA">
        <w:t>to</w:t>
      </w:r>
      <w:r w:rsidRPr="0053410D">
        <w:t xml:space="preserve"> </w:t>
      </w:r>
      <w:r w:rsidR="00243176">
        <w:t xml:space="preserve">determine whether </w:t>
      </w:r>
      <w:r w:rsidR="004D0ABA">
        <w:t xml:space="preserve">there is a systemic failure by industry in this area and </w:t>
      </w:r>
      <w:r w:rsidR="00243176">
        <w:t>what, if any, action we might take</w:t>
      </w:r>
      <w:r w:rsidRPr="0053410D">
        <w:t>.</w:t>
      </w:r>
    </w:p>
    <w:p w:rsidR="004A472C" w:rsidRPr="00590ABC" w:rsidRDefault="00524CCB" w:rsidP="005D2DC9">
      <w:pPr>
        <w:pStyle w:val="AERheading2"/>
        <w:tabs>
          <w:tab w:val="clear" w:pos="2484"/>
          <w:tab w:val="num" w:pos="357"/>
        </w:tabs>
        <w:ind w:left="357"/>
      </w:pPr>
      <w:bookmarkStart w:id="97" w:name="_Toc385507284"/>
      <w:bookmarkEnd w:id="94"/>
      <w:r w:rsidRPr="00590ABC">
        <w:lastRenderedPageBreak/>
        <w:t>Technical a</w:t>
      </w:r>
      <w:r w:rsidR="004A472C" w:rsidRPr="00590ABC">
        <w:t>udits</w:t>
      </w:r>
      <w:bookmarkEnd w:id="80"/>
      <w:bookmarkEnd w:id="81"/>
      <w:bookmarkEnd w:id="95"/>
      <w:bookmarkEnd w:id="97"/>
    </w:p>
    <w:p w:rsidR="008A2DC6" w:rsidRPr="008A2DC6" w:rsidRDefault="008A2DC6" w:rsidP="008A2DC6">
      <w:pPr>
        <w:pStyle w:val="AERbodytext"/>
      </w:pPr>
      <w:bookmarkStart w:id="98" w:name="OLE_LINK7"/>
      <w:bookmarkStart w:id="99" w:name="OLE_LINK8"/>
      <w:bookmarkStart w:id="100" w:name="OLE_LINK53"/>
      <w:r w:rsidRPr="008A2DC6">
        <w:t>Auditing is one mechanism we use to verify and assess compliance by registered participants with their obligations. The audits aim to ensure participants have robust and effective compliance programs in place that are consistent with Good Energy Industry Practice.</w:t>
      </w:r>
    </w:p>
    <w:p w:rsidR="008A2DC6" w:rsidRPr="008A2DC6" w:rsidRDefault="008A2DC6" w:rsidP="008A2DC6">
      <w:pPr>
        <w:pStyle w:val="AERbodytext"/>
      </w:pPr>
      <w:r w:rsidRPr="008A2DC6">
        <w:t xml:space="preserve">We conduct regular technical compliance audits in the electricity sector of generators and network service providers. These audits generally focus on the Electricity Rules clauses 4.15 and 5.7.4, particularly the requirement on electricity generators and network service providers to institute and maintain a compliance program in accordance with prescribed requirements. </w:t>
      </w:r>
    </w:p>
    <w:p w:rsidR="008A2DC6" w:rsidRPr="008A2DC6" w:rsidRDefault="008A2DC6" w:rsidP="008A2DC6">
      <w:pPr>
        <w:pStyle w:val="AERbodytext"/>
        <w:keepNext/>
      </w:pPr>
      <w:r>
        <w:t>In particular, the mandated c</w:t>
      </w:r>
      <w:r w:rsidRPr="008A2DC6">
        <w:t xml:space="preserve">ompliance </w:t>
      </w:r>
      <w:r>
        <w:t>p</w:t>
      </w:r>
      <w:r w:rsidRPr="008A2DC6">
        <w:t>rogram must:</w:t>
      </w:r>
    </w:p>
    <w:p w:rsidR="008A2DC6" w:rsidRPr="008A2DC6" w:rsidRDefault="008A2DC6" w:rsidP="008A2DC6">
      <w:pPr>
        <w:pStyle w:val="AERbulletlistsecondstyle"/>
      </w:pPr>
      <w:r w:rsidRPr="008A2DC6">
        <w:t>include procedures to monitor the performance of the plant in a manner that is consistent with good electricity industry practice</w:t>
      </w:r>
    </w:p>
    <w:p w:rsidR="008A2DC6" w:rsidRPr="008A2DC6" w:rsidRDefault="008A2DC6" w:rsidP="008A2DC6">
      <w:pPr>
        <w:pStyle w:val="AERbulletlistsecondstyle"/>
      </w:pPr>
      <w:r w:rsidRPr="008A2DC6">
        <w:t>provide reasonable assurance of ongoing compliance with applicable performance standards registered with AEMO.</w:t>
      </w:r>
    </w:p>
    <w:p w:rsidR="008A2DC6" w:rsidRDefault="008E55C2" w:rsidP="008A2DC6">
      <w:pPr>
        <w:pStyle w:val="AERbodytext"/>
      </w:pPr>
      <w:r w:rsidRPr="008A2DC6">
        <w:t>AGL Hydro Partnership</w:t>
      </w:r>
      <w:r>
        <w:t xml:space="preserve">’s </w:t>
      </w:r>
      <w:r w:rsidR="008A2DC6">
        <w:t xml:space="preserve">Macarthur wind farm </w:t>
      </w:r>
      <w:r>
        <w:t>was</w:t>
      </w:r>
      <w:r w:rsidR="008A2DC6">
        <w:t xml:space="preserve"> the first wind generator to be examined under this process. </w:t>
      </w:r>
      <w:r>
        <w:t xml:space="preserve">This </w:t>
      </w:r>
      <w:r w:rsidR="008A2DC6">
        <w:t xml:space="preserve">technical compliance audit </w:t>
      </w:r>
      <w:r>
        <w:t>was concluded this quarter, with the following key findings</w:t>
      </w:r>
      <w:r w:rsidR="008A2DC6">
        <w:t>:</w:t>
      </w:r>
    </w:p>
    <w:p w:rsidR="008A2DC6" w:rsidRDefault="008A2DC6" w:rsidP="008A2DC6">
      <w:pPr>
        <w:pStyle w:val="AERbulletlistsecondstyle"/>
        <w:rPr>
          <w:sz w:val="24"/>
        </w:rPr>
      </w:pPr>
      <w:r>
        <w:t>AGL has well established governance arrangements and a compliance culture that is supported at all levels of the organisation</w:t>
      </w:r>
    </w:p>
    <w:p w:rsidR="008A2DC6" w:rsidRDefault="008A2DC6" w:rsidP="008A2DC6">
      <w:pPr>
        <w:pStyle w:val="AERbulletlistsecondstyle"/>
        <w:rPr>
          <w:szCs w:val="20"/>
        </w:rPr>
      </w:pPr>
      <w:r>
        <w:t>the creation of a group-wide Office of the Chief Engineer who is responsible to assist on technical matters, is a positive measure to boost technical expertise within the company group</w:t>
      </w:r>
      <w:r>
        <w:rPr>
          <w:rStyle w:val="FootnoteReference"/>
        </w:rPr>
        <w:footnoteReference w:id="11"/>
      </w:r>
    </w:p>
    <w:p w:rsidR="008A2DC6" w:rsidRDefault="008A2DC6" w:rsidP="008A2DC6">
      <w:pPr>
        <w:pStyle w:val="AERbulletlistsecondstyle"/>
      </w:pPr>
      <w:r>
        <w:t xml:space="preserve">relative to thermal plants, and not uncommon for wind </w:t>
      </w:r>
      <w:r w:rsidRPr="008E55C2">
        <w:t>farms, there is a significant reliance on third parties (</w:t>
      </w:r>
      <w:r w:rsidR="008E55C2" w:rsidRPr="008E55C2">
        <w:t>for example, the</w:t>
      </w:r>
      <w:r w:rsidRPr="008E55C2">
        <w:t xml:space="preserve"> turbine manufacturer) for operational matters </w:t>
      </w:r>
      <w:r w:rsidR="008E55C2" w:rsidRPr="008E55C2">
        <w:t xml:space="preserve">according to </w:t>
      </w:r>
      <w:r w:rsidRPr="008E55C2">
        <w:t>the type of turbine technology used, and associated maintenance</w:t>
      </w:r>
      <w:r>
        <w:t xml:space="preserve"> and warranty programs.</w:t>
      </w:r>
    </w:p>
    <w:p w:rsidR="008A2DC6" w:rsidRPr="008A2DC6" w:rsidRDefault="008A2DC6" w:rsidP="008A2DC6">
      <w:pPr>
        <w:pStyle w:val="AERbodytext"/>
      </w:pPr>
      <w:r w:rsidRPr="008A2DC6">
        <w:t xml:space="preserve">In relation to the </w:t>
      </w:r>
      <w:r>
        <w:t>third finding</w:t>
      </w:r>
      <w:r w:rsidRPr="008A2DC6">
        <w:t xml:space="preserve">, </w:t>
      </w:r>
      <w:r>
        <w:t>we remind</w:t>
      </w:r>
      <w:r w:rsidRPr="008A2DC6">
        <w:t xml:space="preserve"> registered participa</w:t>
      </w:r>
      <w:r>
        <w:t xml:space="preserve">nts that they are responsible for meeting </w:t>
      </w:r>
      <w:r w:rsidRPr="008A2DC6">
        <w:t>compliance obligations</w:t>
      </w:r>
      <w:r w:rsidR="008E55C2">
        <w:t>,</w:t>
      </w:r>
      <w:r w:rsidRPr="008A2DC6">
        <w:t xml:space="preserve"> </w:t>
      </w:r>
      <w:r w:rsidR="008E55C2">
        <w:t xml:space="preserve">regardless of the use of third party providers. It is the registered participant </w:t>
      </w:r>
      <w:r>
        <w:t xml:space="preserve">who </w:t>
      </w:r>
      <w:r w:rsidRPr="008A2DC6">
        <w:t xml:space="preserve">would be </w:t>
      </w:r>
      <w:r>
        <w:t xml:space="preserve">subject to any </w:t>
      </w:r>
      <w:r w:rsidRPr="008A2DC6">
        <w:t xml:space="preserve">regulatory action in the event of </w:t>
      </w:r>
      <w:r w:rsidR="008E55C2">
        <w:t>a breach</w:t>
      </w:r>
      <w:r w:rsidRPr="008A2DC6">
        <w:t xml:space="preserve"> of the Electricity Rules.</w:t>
      </w:r>
    </w:p>
    <w:p w:rsidR="008A2DC6" w:rsidRPr="008A2DC6" w:rsidRDefault="008A2DC6" w:rsidP="008A2DC6">
      <w:pPr>
        <w:pStyle w:val="AERbodytext"/>
      </w:pPr>
      <w:r w:rsidRPr="008A2DC6">
        <w:t xml:space="preserve">During this </w:t>
      </w:r>
      <w:r w:rsidR="008E55C2">
        <w:t xml:space="preserve">audit </w:t>
      </w:r>
      <w:r w:rsidRPr="008A2DC6">
        <w:t xml:space="preserve">process, </w:t>
      </w:r>
      <w:r w:rsidR="008E55C2">
        <w:t xml:space="preserve">we </w:t>
      </w:r>
      <w:r w:rsidRPr="008A2DC6">
        <w:t xml:space="preserve">identified a number of areas for further enhancement </w:t>
      </w:r>
      <w:r w:rsidR="008E55C2">
        <w:t xml:space="preserve">to </w:t>
      </w:r>
      <w:r w:rsidRPr="008A2DC6">
        <w:t xml:space="preserve">the technical compliance arrangements </w:t>
      </w:r>
      <w:r w:rsidR="008E55C2">
        <w:t>for Macarthur</w:t>
      </w:r>
      <w:r w:rsidRPr="008A2DC6">
        <w:t xml:space="preserve">, which AGL has agreed to address. </w:t>
      </w:r>
      <w:r w:rsidR="008E55C2">
        <w:t xml:space="preserve">The critical enhancement </w:t>
      </w:r>
      <w:r w:rsidRPr="008A2DC6">
        <w:t>is the finalisation of the procedures that are being developed and are required in support of the compliance program for generator performance standards. In this regard, the AER also reminds generators that these procedures are mandated under clause 4.15(c)(2) of the Electricity Rules.</w:t>
      </w:r>
    </w:p>
    <w:p w:rsidR="008A2DC6" w:rsidRPr="008A2DC6" w:rsidRDefault="008A2DC6" w:rsidP="008A2DC6">
      <w:pPr>
        <w:pStyle w:val="AERbodytext"/>
      </w:pPr>
      <w:r w:rsidRPr="008A2DC6">
        <w:t>Overall, this technical audit has confirmed that, AGL Hydro Partnership—through its parent company, AGL Energy Limited—has established and is continuing to develop a compliance program for Macarthur that should provide a reasonable assurance of ongoing compliance with registered performance standards.</w:t>
      </w:r>
    </w:p>
    <w:p w:rsidR="00D9136C" w:rsidRPr="008E55C2" w:rsidRDefault="008A2DC6" w:rsidP="008E55C2">
      <w:pPr>
        <w:pStyle w:val="AERbodytext"/>
      </w:pPr>
      <w:r w:rsidRPr="008A2DC6">
        <w:lastRenderedPageBreak/>
        <w:t xml:space="preserve">The next technical compliance audit </w:t>
      </w:r>
      <w:r w:rsidR="008E55C2">
        <w:t xml:space="preserve">will examine </w:t>
      </w:r>
      <w:r w:rsidRPr="008A2DC6">
        <w:t>the South Australian transmission network service provider, ElectraNet.</w:t>
      </w:r>
      <w:bookmarkStart w:id="101" w:name="_Ref222128200"/>
      <w:bookmarkStart w:id="102" w:name="_Toc229556417"/>
      <w:bookmarkStart w:id="103" w:name="_Toc330814075"/>
      <w:bookmarkStart w:id="104" w:name="OLE_LINK21"/>
      <w:bookmarkStart w:id="105" w:name="OLE_LINK24"/>
      <w:bookmarkEnd w:id="82"/>
      <w:bookmarkEnd w:id="83"/>
      <w:bookmarkEnd w:id="84"/>
      <w:bookmarkEnd w:id="85"/>
      <w:bookmarkEnd w:id="86"/>
      <w:bookmarkEnd w:id="87"/>
      <w:bookmarkEnd w:id="98"/>
      <w:bookmarkEnd w:id="99"/>
      <w:bookmarkEnd w:id="100"/>
    </w:p>
    <w:p w:rsidR="005A5BA7" w:rsidRPr="00590ABC" w:rsidRDefault="005A5BA7" w:rsidP="005D2DC9">
      <w:pPr>
        <w:pStyle w:val="AERheading2"/>
        <w:tabs>
          <w:tab w:val="clear" w:pos="2484"/>
          <w:tab w:val="num" w:pos="357"/>
        </w:tabs>
        <w:ind w:left="357"/>
      </w:pPr>
      <w:bookmarkStart w:id="106" w:name="_Toc354138200"/>
      <w:bookmarkStart w:id="107" w:name="_Toc385507285"/>
      <w:bookmarkEnd w:id="106"/>
      <w:r w:rsidRPr="00590ABC">
        <w:t>Targeted compliance review</w:t>
      </w:r>
      <w:bookmarkEnd w:id="107"/>
    </w:p>
    <w:p w:rsidR="004D74CD" w:rsidRPr="00C033A5" w:rsidRDefault="005A5BA7" w:rsidP="005A5BA7">
      <w:pPr>
        <w:pStyle w:val="AERbodytext"/>
        <w:rPr>
          <w:rFonts w:eastAsia="Calibri"/>
          <w:szCs w:val="16"/>
        </w:rPr>
      </w:pPr>
      <w:r w:rsidRPr="00CF20CC">
        <w:t xml:space="preserve">Targeted compliance reviews form an important part of </w:t>
      </w:r>
      <w:r>
        <w:t>our</w:t>
      </w:r>
      <w:r w:rsidRPr="00CF20CC">
        <w:t xml:space="preserve"> monitoring program. The reviews explore participants’ compliance practices and aim to improve stakeholder understanding of obligations.</w:t>
      </w:r>
      <w:r w:rsidRPr="0035087E">
        <w:rPr>
          <w:rFonts w:eastAsia="Calibri"/>
          <w:szCs w:val="23"/>
        </w:rPr>
        <w:t xml:space="preserve"> </w:t>
      </w:r>
      <w:r w:rsidRPr="00282302">
        <w:rPr>
          <w:rFonts w:eastAsia="Calibri"/>
          <w:szCs w:val="23"/>
        </w:rPr>
        <w:t>A list of the provisions targeted under this process since</w:t>
      </w:r>
      <w:r>
        <w:rPr>
          <w:rFonts w:eastAsia="Calibri"/>
          <w:szCs w:val="23"/>
        </w:rPr>
        <w:t xml:space="preserve"> the</w:t>
      </w:r>
      <w:r w:rsidRPr="00282302">
        <w:rPr>
          <w:rFonts w:eastAsia="Calibri"/>
          <w:szCs w:val="23"/>
        </w:rPr>
        <w:t xml:space="preserve"> Jun</w:t>
      </w:r>
      <w:r>
        <w:rPr>
          <w:rFonts w:eastAsia="Calibri"/>
          <w:szCs w:val="23"/>
        </w:rPr>
        <w:t>e 2011 quarter is provided in appendix B</w:t>
      </w:r>
      <w:r w:rsidRPr="00282302">
        <w:rPr>
          <w:rFonts w:eastAsia="Calibri"/>
          <w:szCs w:val="23"/>
        </w:rPr>
        <w:t xml:space="preserve"> of this report.</w:t>
      </w:r>
    </w:p>
    <w:p w:rsidR="004D74CD" w:rsidRPr="004D74CD" w:rsidRDefault="004D74CD" w:rsidP="004D74CD">
      <w:pPr>
        <w:pStyle w:val="AERbodytext"/>
      </w:pPr>
      <w:r w:rsidRPr="004D74CD">
        <w:t xml:space="preserve">This quarter we conducted a review of the </w:t>
      </w:r>
      <w:r w:rsidR="00731D3F">
        <w:t xml:space="preserve">Electricity Rule 7.8.2 which requires </w:t>
      </w:r>
      <w:r w:rsidRPr="004D74CD">
        <w:t>the Responsible Person (</w:t>
      </w:r>
      <w:r w:rsidRPr="0014299B">
        <w:rPr>
          <w:b/>
        </w:rPr>
        <w:t>RP</w:t>
      </w:r>
      <w:r w:rsidRPr="004D74CD">
        <w:t>) to ensure that energy data held in its metering installations is protected from direct local or electronic access. In accordance with clause 7.8.2(c),</w:t>
      </w:r>
      <w:r w:rsidR="0014299B">
        <w:rPr>
          <w:rStyle w:val="FootnoteReference"/>
        </w:rPr>
        <w:footnoteReference w:id="12"/>
      </w:r>
      <w:r w:rsidRPr="0014299B">
        <w:t xml:space="preserve"> the</w:t>
      </w:r>
      <w:r w:rsidRPr="004D74CD">
        <w:t xml:space="preserve"> RP must have suitable password and security controls in place to ensure this data is adequately protected. These controls are, in turn, </w:t>
      </w:r>
      <w:r w:rsidR="00590ABC">
        <w:t>managed</w:t>
      </w:r>
      <w:r w:rsidR="00590ABC" w:rsidRPr="004D74CD">
        <w:t xml:space="preserve"> </w:t>
      </w:r>
      <w:r w:rsidRPr="004D74CD">
        <w:t>by a Metering Provider (</w:t>
      </w:r>
      <w:r w:rsidRPr="008F162F">
        <w:rPr>
          <w:b/>
        </w:rPr>
        <w:t>MP</w:t>
      </w:r>
      <w:r w:rsidRPr="004D74CD">
        <w:t xml:space="preserve">) as defined in the Electricity Rules. </w:t>
      </w:r>
    </w:p>
    <w:p w:rsidR="004D74CD" w:rsidRPr="004D74CD" w:rsidRDefault="004D74CD" w:rsidP="004D74CD">
      <w:pPr>
        <w:pStyle w:val="AERbodytext"/>
      </w:pPr>
      <w:r w:rsidRPr="004D74CD">
        <w:t>In accordance with Chapter 7 of the Electricity Rules, the metrology procedure and procedures authorised under the Electricity Rules an RP is the person responsible for the:</w:t>
      </w:r>
    </w:p>
    <w:p w:rsidR="004D74CD" w:rsidRPr="002A494D" w:rsidRDefault="004D74CD" w:rsidP="0014299B">
      <w:pPr>
        <w:pStyle w:val="AERbulletlistsecondstyle"/>
      </w:pPr>
      <w:r>
        <w:t>p</w:t>
      </w:r>
      <w:r w:rsidRPr="002A494D">
        <w:t>rovision, installation, and maintenance of a metering installation; and</w:t>
      </w:r>
    </w:p>
    <w:p w:rsidR="004D74CD" w:rsidRPr="002A494D" w:rsidRDefault="004D74CD" w:rsidP="0014299B">
      <w:pPr>
        <w:pStyle w:val="AERbulletlistsecondstyle"/>
      </w:pPr>
      <w:r>
        <w:t>c</w:t>
      </w:r>
      <w:r w:rsidRPr="002A494D">
        <w:t xml:space="preserve">ollection of metering data from each metering installation for which it is responsible, the processing of that data and the delivery of the processed data to the metering database and to parties entitled to that data under rule 7.7(a), except as otherwise specified in clause 7.2.1A(a). </w:t>
      </w:r>
    </w:p>
    <w:p w:rsidR="004D74CD" w:rsidRPr="004D74CD" w:rsidRDefault="004D74CD" w:rsidP="004D74CD">
      <w:pPr>
        <w:pStyle w:val="AERbodytext"/>
      </w:pPr>
      <w:r w:rsidRPr="004D74CD">
        <w:t xml:space="preserve">As part of this review, we wrote to </w:t>
      </w:r>
      <w:r w:rsidR="00590ABC">
        <w:t xml:space="preserve">a number of participants </w:t>
      </w:r>
      <w:r w:rsidRPr="004D74CD">
        <w:t xml:space="preserve">who are </w:t>
      </w:r>
      <w:r w:rsidR="00590ABC">
        <w:t xml:space="preserve">defined as </w:t>
      </w:r>
      <w:r w:rsidRPr="004D74CD">
        <w:t xml:space="preserve">RPs </w:t>
      </w:r>
      <w:r w:rsidR="00590ABC">
        <w:t>under</w:t>
      </w:r>
      <w:r w:rsidR="00590ABC" w:rsidRPr="004D74CD">
        <w:t xml:space="preserve"> </w:t>
      </w:r>
      <w:r w:rsidRPr="004D74CD">
        <w:t xml:space="preserve">the Electricity Rules. We requested each business to review its arrangements for compliance with clause 7.8.2(a). </w:t>
      </w:r>
      <w:r w:rsidR="00590ABC">
        <w:t>R</w:t>
      </w:r>
      <w:r w:rsidRPr="004D74CD">
        <w:t xml:space="preserve">esponses </w:t>
      </w:r>
      <w:r w:rsidR="00590ABC">
        <w:t xml:space="preserve">from </w:t>
      </w:r>
      <w:r w:rsidR="00590ABC" w:rsidRPr="004D74CD">
        <w:t xml:space="preserve">ERM Power, Energy Australia and Aurora Energy </w:t>
      </w:r>
      <w:r w:rsidR="00590ABC">
        <w:t xml:space="preserve">are summarised </w:t>
      </w:r>
      <w:r w:rsidRPr="004D74CD">
        <w:t>below.</w:t>
      </w:r>
    </w:p>
    <w:p w:rsidR="004D74CD" w:rsidRPr="00F32C45" w:rsidRDefault="004D74CD" w:rsidP="00965D0C">
      <w:pPr>
        <w:pStyle w:val="AERgenericboldheading"/>
        <w:tabs>
          <w:tab w:val="clear" w:pos="1440"/>
          <w:tab w:val="left" w:pos="0"/>
        </w:tabs>
        <w:spacing w:line="288" w:lineRule="auto"/>
        <w:ind w:left="0" w:firstLine="0"/>
      </w:pPr>
      <w:r w:rsidRPr="00F32C45">
        <w:t>Systems and procedures in place to meet the requirement to protect e</w:t>
      </w:r>
      <w:r>
        <w:t>nergy data</w:t>
      </w:r>
    </w:p>
    <w:p w:rsidR="004D74CD" w:rsidRPr="004D74CD" w:rsidRDefault="00590ABC" w:rsidP="004D74CD">
      <w:pPr>
        <w:pStyle w:val="AERbodytext"/>
      </w:pPr>
      <w:r>
        <w:t xml:space="preserve">As required, </w:t>
      </w:r>
      <w:r w:rsidR="004D74CD" w:rsidRPr="004D74CD">
        <w:t>ERM Power engages AEMO-accredited MPs. ERM states the AEMO accreditation specifically requires MPs to keep meter data secure as contemplated by clause 7.8.2 of the Electricity Rules. Previously ERM Power relied solely on AEMO accreditation and its audit program, however it recently commenced a review to have its contracts mandate:</w:t>
      </w:r>
    </w:p>
    <w:p w:rsidR="004D74CD" w:rsidRDefault="0014299B" w:rsidP="0014299B">
      <w:pPr>
        <w:pStyle w:val="AERbulletlistsecondstyle"/>
      </w:pPr>
      <w:r>
        <w:t>c</w:t>
      </w:r>
      <w:r w:rsidR="004D74CD">
        <w:t>ompliance with 7.8.2(c) as a requirement of the MP</w:t>
      </w:r>
    </w:p>
    <w:p w:rsidR="004D74CD" w:rsidRDefault="004D74CD" w:rsidP="0014299B">
      <w:pPr>
        <w:pStyle w:val="AERbulletlistsecondstyle"/>
      </w:pPr>
      <w:r>
        <w:t xml:space="preserve">MPs </w:t>
      </w:r>
      <w:r w:rsidR="0014299B">
        <w:t xml:space="preserve">to </w:t>
      </w:r>
      <w:r>
        <w:t>supply their AEMO audit outcomes to ERM, and specifically advise any non-compliance</w:t>
      </w:r>
    </w:p>
    <w:p w:rsidR="004D74CD" w:rsidRDefault="004D74CD" w:rsidP="0014299B">
      <w:pPr>
        <w:pStyle w:val="AERbulletlistsecondstyle"/>
      </w:pPr>
      <w:r>
        <w:t>MPs to formally advise any issues with physical access and any actions taken to remedy these.</w:t>
      </w:r>
    </w:p>
    <w:p w:rsidR="004D74CD" w:rsidRPr="004D74CD" w:rsidRDefault="004D74CD" w:rsidP="004D74CD">
      <w:pPr>
        <w:pStyle w:val="AERbodytext"/>
      </w:pPr>
      <w:r w:rsidRPr="004D74CD">
        <w:t>EnergyAustralia</w:t>
      </w:r>
      <w:r w:rsidR="00AE17E5">
        <w:t xml:space="preserve">’s contracts with </w:t>
      </w:r>
      <w:r w:rsidRPr="004D74CD">
        <w:t>MPs and Meter Data Providers (</w:t>
      </w:r>
      <w:r w:rsidRPr="008F162F">
        <w:rPr>
          <w:b/>
        </w:rPr>
        <w:t>MDP</w:t>
      </w:r>
      <w:r w:rsidRPr="004D74CD">
        <w:t>) note the regulatory requirements of the Electricity Rules and the Service Level Procedures. EnergyAustralia does not require the passwords from MPs or MDPs as it only utilises metering data (not energy data).</w:t>
      </w:r>
    </w:p>
    <w:p w:rsidR="004D74CD" w:rsidRPr="004D74CD" w:rsidRDefault="004D74CD" w:rsidP="004D74CD">
      <w:pPr>
        <w:pStyle w:val="AERbodytext"/>
      </w:pPr>
      <w:r w:rsidRPr="004D74CD">
        <w:lastRenderedPageBreak/>
        <w:t xml:space="preserve">EnergyAustralia currently utilises two billing systems with controls on who has access to the meter data. </w:t>
      </w:r>
      <w:r w:rsidR="00AE17E5">
        <w:t>C</w:t>
      </w:r>
      <w:r w:rsidRPr="004D74CD">
        <w:t>ustomers can access their own metering data from an online portal via a process that authenticates the customer’s right of access for the NMI associated with their premise.</w:t>
      </w:r>
    </w:p>
    <w:p w:rsidR="004D74CD" w:rsidRPr="004D74CD" w:rsidRDefault="004D74CD" w:rsidP="004D74CD">
      <w:pPr>
        <w:pStyle w:val="AERbodytext"/>
      </w:pPr>
      <w:r w:rsidRPr="004D74CD">
        <w:t>Aurora Energy acts as the Financially Responsible Market Participant (</w:t>
      </w:r>
      <w:r w:rsidRPr="008F162F">
        <w:rPr>
          <w:b/>
        </w:rPr>
        <w:t>FRMP</w:t>
      </w:r>
      <w:r w:rsidRPr="004D74CD">
        <w:t>) and its distribution business acts as the Metering Provider B (</w:t>
      </w:r>
      <w:r w:rsidRPr="008F162F">
        <w:rPr>
          <w:b/>
        </w:rPr>
        <w:t>MPB</w:t>
      </w:r>
      <w:r w:rsidRPr="004D74CD">
        <w:t xml:space="preserve">). Aurora MPB uses random string password protection on all remote read meters. Market participants have specific usernames, and the security level allowed is based on the participant’s role. Passwords are maintained in a secure register with access limited to relevant staff. </w:t>
      </w:r>
    </w:p>
    <w:p w:rsidR="004D74CD" w:rsidRPr="004D74CD" w:rsidRDefault="004D74CD" w:rsidP="0014299B">
      <w:pPr>
        <w:pStyle w:val="AERgenericboldheading"/>
        <w:tabs>
          <w:tab w:val="clear" w:pos="1440"/>
          <w:tab w:val="left" w:pos="0"/>
        </w:tabs>
        <w:spacing w:line="288" w:lineRule="auto"/>
        <w:ind w:left="0" w:hanging="23"/>
      </w:pPr>
      <w:r w:rsidRPr="004D74CD">
        <w:t>Outsourcing or other arrangements with respect to tasks undertaken under this clause, and measures taken to ensure that third parties achieve ongoing compliance</w:t>
      </w:r>
    </w:p>
    <w:p w:rsidR="004D74CD" w:rsidRPr="004D74CD" w:rsidRDefault="004D74CD" w:rsidP="004D74CD">
      <w:pPr>
        <w:pStyle w:val="AERbodytext"/>
      </w:pPr>
      <w:r w:rsidRPr="004D74CD">
        <w:t xml:space="preserve">ERM ensures compliance of </w:t>
      </w:r>
      <w:r w:rsidR="00AE17E5">
        <w:t xml:space="preserve">its MPs </w:t>
      </w:r>
      <w:r w:rsidR="00565CE6">
        <w:t xml:space="preserve">through their required </w:t>
      </w:r>
      <w:r w:rsidR="00AE17E5">
        <w:t>AEMO</w:t>
      </w:r>
      <w:r w:rsidR="00565CE6">
        <w:t xml:space="preserve"> accreditation </w:t>
      </w:r>
      <w:r w:rsidRPr="004D74CD">
        <w:t xml:space="preserve">and by mandating the three additional requirements in its contracts with them. </w:t>
      </w:r>
    </w:p>
    <w:p w:rsidR="004D74CD" w:rsidRPr="004D74CD" w:rsidRDefault="004D74CD" w:rsidP="004D74CD">
      <w:pPr>
        <w:pStyle w:val="AERbodytext"/>
      </w:pPr>
      <w:r w:rsidRPr="004D74CD">
        <w:t xml:space="preserve">EnergyAustralia relies on AEMOs independent auditing of MPs and MDPs to ensure these parties meet their obligations. It also relies on the MP and MDP to inform the FRMP of customers wanting to access metering data, as required under clause 7.7a of the Electricity Rules. If customers are requesting metering data through an energy advisor, EnergyAustralia requires a letter of authorisation from the customer before it releases any data. </w:t>
      </w:r>
    </w:p>
    <w:p w:rsidR="004D74CD" w:rsidRPr="004D74CD" w:rsidRDefault="004D74CD" w:rsidP="004D74CD">
      <w:pPr>
        <w:pStyle w:val="AERbodytext"/>
      </w:pPr>
      <w:r w:rsidRPr="004D74CD">
        <w:t>Aurora Energy outsources the management of some meter installations to MPs. All parties that Aurora contracts with are registered providers under the Electricity Rules. Agreements held with these parties include requirements to perform services in accordance with the Electricity Rules. Penalties and other enforcement measures are available to Aurora under these agreements where relevant laws and rules are not adhered to. Aurora also maintains regular contact with external providers to ensure their roles are executed in line with these requirements.</w:t>
      </w:r>
    </w:p>
    <w:p w:rsidR="004D74CD" w:rsidRPr="004D74CD" w:rsidRDefault="004D74CD" w:rsidP="0014299B">
      <w:pPr>
        <w:pStyle w:val="AERgenericboldheading"/>
        <w:tabs>
          <w:tab w:val="clear" w:pos="1440"/>
          <w:tab w:val="left" w:pos="0"/>
        </w:tabs>
        <w:spacing w:line="288" w:lineRule="auto"/>
        <w:ind w:left="0" w:hanging="23"/>
      </w:pPr>
      <w:r w:rsidRPr="004D74CD">
        <w:t>Instances where relevant requirements were not met</w:t>
      </w:r>
    </w:p>
    <w:p w:rsidR="004D74CD" w:rsidRPr="004D74CD" w:rsidRDefault="004D74CD" w:rsidP="004D74CD">
      <w:pPr>
        <w:pStyle w:val="AERbodytext"/>
      </w:pPr>
      <w:r w:rsidRPr="004D74CD">
        <w:t xml:space="preserve">Participants were asked whether there have been instances when the above requirements have not been met. All responded that to their knowledge there had been no such cases. </w:t>
      </w:r>
    </w:p>
    <w:p w:rsidR="004D74CD" w:rsidRPr="004D74CD" w:rsidRDefault="004D74CD" w:rsidP="0014299B">
      <w:pPr>
        <w:pStyle w:val="AERgenericboldheading"/>
        <w:tabs>
          <w:tab w:val="clear" w:pos="1440"/>
          <w:tab w:val="left" w:pos="0"/>
        </w:tabs>
        <w:spacing w:line="288" w:lineRule="auto"/>
        <w:ind w:left="0" w:hanging="23"/>
      </w:pPr>
      <w:r w:rsidRPr="004D74CD">
        <w:t xml:space="preserve">AER findings </w:t>
      </w:r>
    </w:p>
    <w:p w:rsidR="004D74CD" w:rsidRPr="005A5BA7" w:rsidRDefault="004D74CD" w:rsidP="005A5BA7">
      <w:pPr>
        <w:pStyle w:val="AERbodytext"/>
      </w:pPr>
      <w:r w:rsidRPr="004D74CD">
        <w:t xml:space="preserve">The </w:t>
      </w:r>
      <w:r w:rsidR="00243284">
        <w:t xml:space="preserve">AER </w:t>
      </w:r>
      <w:r w:rsidRPr="004D74CD">
        <w:t>considers that the processes put in place by the</w:t>
      </w:r>
      <w:r w:rsidR="00590ABC">
        <w:t>se</w:t>
      </w:r>
      <w:r w:rsidRPr="004D74CD">
        <w:t xml:space="preserve"> RPs, if maintained appropriately, should adequately protect energy data from direct local or electronic access. We consider it good practice for agreements with service providers to include references to legislative requirements and encourage all RPs to have regular contact with their service providers to ensure that these requirements are met.</w:t>
      </w:r>
    </w:p>
    <w:p w:rsidR="00AA7097" w:rsidRDefault="00AA7097" w:rsidP="00AA7097">
      <w:pPr>
        <w:pStyle w:val="AERheading2"/>
        <w:tabs>
          <w:tab w:val="clear" w:pos="2484"/>
          <w:tab w:val="num" w:pos="357"/>
        </w:tabs>
        <w:ind w:left="357"/>
      </w:pPr>
      <w:bookmarkStart w:id="108" w:name="_Toc385507286"/>
      <w:r>
        <w:t>Network compliance projects</w:t>
      </w:r>
      <w:bookmarkEnd w:id="108"/>
    </w:p>
    <w:p w:rsidR="008B3670" w:rsidRDefault="008B3670" w:rsidP="008B3670">
      <w:pPr>
        <w:pStyle w:val="AERbodytext"/>
      </w:pPr>
      <w:r>
        <w:t xml:space="preserve">Next quarter we will commence two projects </w:t>
      </w:r>
      <w:r w:rsidR="00780D3A">
        <w:t xml:space="preserve">focusing on the activities of </w:t>
      </w:r>
      <w:r>
        <w:t>n</w:t>
      </w:r>
      <w:r w:rsidR="00780D3A">
        <w:t>etwork businesses</w:t>
      </w:r>
      <w:r w:rsidRPr="008A2DC6">
        <w:t>—</w:t>
      </w:r>
      <w:r>
        <w:t xml:space="preserve">one in transmission and the other in distribution. </w:t>
      </w:r>
      <w:r w:rsidR="00780D3A">
        <w:t xml:space="preserve">An introduction for each project is below. </w:t>
      </w:r>
    </w:p>
    <w:p w:rsidR="00AA7097" w:rsidRDefault="00AA7097" w:rsidP="00AA7097">
      <w:pPr>
        <w:pStyle w:val="AERgenericboldheading"/>
      </w:pPr>
      <w:r>
        <w:t>Review of transmission business annual planning reports</w:t>
      </w:r>
    </w:p>
    <w:p w:rsidR="00243284" w:rsidRDefault="00243284" w:rsidP="00243284">
      <w:pPr>
        <w:pStyle w:val="AERbodytext"/>
      </w:pPr>
      <w:r>
        <w:t xml:space="preserve">The Electricity Rules require transmission businesses to undertake an annual planning review, over a minimum planning horizon of ten years, and </w:t>
      </w:r>
      <w:r w:rsidR="00565CE6">
        <w:t xml:space="preserve">to </w:t>
      </w:r>
      <w:r>
        <w:t>publish an annual planning report (</w:t>
      </w:r>
      <w:r w:rsidRPr="00565CE6">
        <w:rPr>
          <w:b/>
        </w:rPr>
        <w:t>APR</w:t>
      </w:r>
      <w:r>
        <w:t xml:space="preserve">) setting out the results of the planning review. Together with the </w:t>
      </w:r>
      <w:r w:rsidR="00B35D09">
        <w:t>n</w:t>
      </w:r>
      <w:r w:rsidR="00B35D09" w:rsidRPr="00B35D09">
        <w:t xml:space="preserve">ational </w:t>
      </w:r>
      <w:r w:rsidR="00B35D09">
        <w:t>t</w:t>
      </w:r>
      <w:r w:rsidR="00B35D09" w:rsidRPr="00B35D09">
        <w:t xml:space="preserve">ransmission </w:t>
      </w:r>
      <w:r w:rsidR="00B35D09">
        <w:t>n</w:t>
      </w:r>
      <w:r w:rsidR="00B35D09" w:rsidRPr="00B35D09">
        <w:t xml:space="preserve">etwork </w:t>
      </w:r>
      <w:r w:rsidR="00B35D09">
        <w:t>d</w:t>
      </w:r>
      <w:r w:rsidR="00B35D09" w:rsidRPr="00B35D09">
        <w:t xml:space="preserve">evelopment </w:t>
      </w:r>
      <w:r w:rsidR="00B35D09">
        <w:lastRenderedPageBreak/>
        <w:t>p</w:t>
      </w:r>
      <w:r w:rsidR="00B35D09" w:rsidRPr="00B35D09">
        <w:t>lan</w:t>
      </w:r>
      <w:r w:rsidR="00B35D09">
        <w:t> </w:t>
      </w:r>
      <w:r w:rsidR="00565CE6">
        <w:t>(</w:t>
      </w:r>
      <w:r w:rsidR="00565CE6" w:rsidRPr="00565CE6">
        <w:rPr>
          <w:b/>
        </w:rPr>
        <w:t>NTNDP</w:t>
      </w:r>
      <w:r w:rsidR="00565CE6">
        <w:t>)</w:t>
      </w:r>
      <w:r w:rsidR="00565CE6">
        <w:rPr>
          <w:rStyle w:val="FootnoteReference"/>
        </w:rPr>
        <w:footnoteReference w:id="13"/>
      </w:r>
      <w:r w:rsidR="00565CE6">
        <w:t xml:space="preserve"> and the regulatory investment test for transmission (</w:t>
      </w:r>
      <w:r w:rsidR="00565CE6" w:rsidRPr="00565CE6">
        <w:rPr>
          <w:b/>
        </w:rPr>
        <w:t>RIT-T</w:t>
      </w:r>
      <w:r w:rsidR="00565CE6">
        <w:t>)</w:t>
      </w:r>
      <w:r w:rsidR="0046521D">
        <w:t>,</w:t>
      </w:r>
      <w:r w:rsidR="00565CE6">
        <w:rPr>
          <w:rStyle w:val="FootnoteReference"/>
        </w:rPr>
        <w:footnoteReference w:id="14"/>
      </w:r>
      <w:r w:rsidR="00565CE6">
        <w:t xml:space="preserve"> the APR forms </w:t>
      </w:r>
      <w:r>
        <w:t>part of the transmission network planning and expansion framework set out in chapter 5 of the Electricity Rules and is intended to promote an economically efficient and transparent network planning and investment.</w:t>
      </w:r>
      <w:r w:rsidR="002823A6">
        <w:rPr>
          <w:rStyle w:val="FootnoteReference"/>
        </w:rPr>
        <w:footnoteReference w:id="15"/>
      </w:r>
      <w:r w:rsidR="002823A6">
        <w:t xml:space="preserve">  </w:t>
      </w:r>
    </w:p>
    <w:p w:rsidR="00243284" w:rsidRDefault="00243284" w:rsidP="00243284">
      <w:pPr>
        <w:pStyle w:val="AERbodytext"/>
      </w:pPr>
      <w:r>
        <w:t xml:space="preserve">Transmission businesses are required in the APR to provide a snapshot of the state of the current network, including an outline of emerging network constraints and proposed solutions. Transmission businesses are also required to outline opportunities for non-network investment and provide details on all proposed network augmentations and replacements of transmission network assets. </w:t>
      </w:r>
    </w:p>
    <w:p w:rsidR="00AA7097" w:rsidRPr="00661664" w:rsidRDefault="00243284" w:rsidP="00243284">
      <w:pPr>
        <w:pStyle w:val="AERbodytext"/>
      </w:pPr>
      <w:r>
        <w:t xml:space="preserve">We consider that it is important that the quality of information provided in </w:t>
      </w:r>
      <w:r w:rsidR="00565CE6">
        <w:t>transmission businesses</w:t>
      </w:r>
      <w:r w:rsidR="00176188">
        <w:t>’</w:t>
      </w:r>
      <w:r w:rsidR="00565CE6">
        <w:t xml:space="preserve"> </w:t>
      </w:r>
      <w:r>
        <w:t xml:space="preserve">APRs meets the requirements of the Electricity Rules and promotes efficient and transparent investment in a transmission network. </w:t>
      </w:r>
      <w:r w:rsidR="00565CE6">
        <w:t>Therefore</w:t>
      </w:r>
      <w:r>
        <w:t>, in the upcoming year we will be assessing the quality of information provided in past APRs and engaging with transmission businesses to ensure that future APRs meet the requirements of the Electricity Rules.</w:t>
      </w:r>
    </w:p>
    <w:p w:rsidR="00AA7097" w:rsidRDefault="00AA7097" w:rsidP="00AA7097">
      <w:pPr>
        <w:pStyle w:val="AERgenericboldheading"/>
      </w:pPr>
      <w:r>
        <w:t xml:space="preserve">Distribution reliability </w:t>
      </w:r>
      <w:r w:rsidR="008B3670">
        <w:t>performance</w:t>
      </w:r>
    </w:p>
    <w:p w:rsidR="00AA7097" w:rsidRDefault="00243284" w:rsidP="00AA7097">
      <w:pPr>
        <w:pStyle w:val="AERbodytext"/>
      </w:pPr>
      <w:r>
        <w:t>The effective performance of d</w:t>
      </w:r>
      <w:r w:rsidR="00780D3A">
        <w:t xml:space="preserve">istribution businesses </w:t>
      </w:r>
      <w:r>
        <w:t xml:space="preserve">and their networks </w:t>
      </w:r>
      <w:r w:rsidR="00780D3A">
        <w:t xml:space="preserve">is essential for the safe and reliable delivery of electricity to customers. </w:t>
      </w:r>
      <w:r>
        <w:t>It i</w:t>
      </w:r>
      <w:r w:rsidR="00780D3A">
        <w:t xml:space="preserve">s particularly important </w:t>
      </w:r>
      <w:r>
        <w:t xml:space="preserve">that distribution networks perform as anticipated </w:t>
      </w:r>
      <w:r w:rsidR="00780D3A">
        <w:t xml:space="preserve">at times of high demand, </w:t>
      </w:r>
      <w:r>
        <w:t xml:space="preserve">when it </w:t>
      </w:r>
      <w:r w:rsidR="00780D3A">
        <w:t xml:space="preserve">is likely </w:t>
      </w:r>
      <w:r>
        <w:t xml:space="preserve">that the </w:t>
      </w:r>
      <w:r w:rsidR="00780D3A">
        <w:t>distribution network</w:t>
      </w:r>
      <w:r>
        <w:t xml:space="preserve"> is under the most stress</w:t>
      </w:r>
      <w:r w:rsidR="00780D3A">
        <w:t xml:space="preserve">. </w:t>
      </w:r>
    </w:p>
    <w:p w:rsidR="00BC4965" w:rsidRPr="00BC4965" w:rsidRDefault="00BC4965" w:rsidP="00BC4965">
      <w:pPr>
        <w:pStyle w:val="AERbodytext"/>
      </w:pPr>
      <w:r w:rsidRPr="00BC4965">
        <w:t>Electricity networks in the NEM are designed to operate normally through events that are reasonably foreseeable (for example, demand peaks that would likely occur once or more in a ten year period). If the event is outside what would normally be expected to occur, the networks are designed to shed load or disconnect customers in a safe, predictable and controlled manner. While the weather events in January were exceptional in terms of the consecutive temperatures recorded, the overall network loads in South Australia and Victoria were below previous peaks (2009).</w:t>
      </w:r>
    </w:p>
    <w:p w:rsidR="00780D3A" w:rsidRDefault="00EA31C1" w:rsidP="00AA7097">
      <w:pPr>
        <w:pStyle w:val="AERbodytext"/>
      </w:pPr>
      <w:r>
        <w:t xml:space="preserve">The recent period of extreme weather in </w:t>
      </w:r>
      <w:r w:rsidR="00ED240E">
        <w:t xml:space="preserve">Southern Australia in </w:t>
      </w:r>
      <w:r>
        <w:t xml:space="preserve">January provides a </w:t>
      </w:r>
      <w:r w:rsidR="00ED240E">
        <w:t xml:space="preserve">good </w:t>
      </w:r>
      <w:r>
        <w:t xml:space="preserve">opportunity for the </w:t>
      </w:r>
      <w:r w:rsidR="00243284">
        <w:t xml:space="preserve">AER to </w:t>
      </w:r>
      <w:r w:rsidR="00780D3A">
        <w:t xml:space="preserve">examine the performance of </w:t>
      </w:r>
      <w:r w:rsidR="00ED240E">
        <w:t xml:space="preserve">the Victorian and South Australian </w:t>
      </w:r>
      <w:r w:rsidR="00780D3A">
        <w:t>distribution businesses</w:t>
      </w:r>
      <w:r>
        <w:t xml:space="preserve"> in terms of their preparedness for the extreme conditions, the types and frequency of events the network businesses faced as a result of the conditions and how they responded</w:t>
      </w:r>
      <w:r w:rsidR="0046521D">
        <w:t xml:space="preserve"> to these events</w:t>
      </w:r>
      <w:r>
        <w:t xml:space="preserve">. </w:t>
      </w:r>
      <w:r w:rsidR="0046521D">
        <w:t>We</w:t>
      </w:r>
      <w:r>
        <w:t xml:space="preserve"> will work with the distribution businesses to examine </w:t>
      </w:r>
      <w:r w:rsidR="002823A6">
        <w:t xml:space="preserve">the </w:t>
      </w:r>
      <w:r>
        <w:t xml:space="preserve">period </w:t>
      </w:r>
      <w:r w:rsidR="002823A6">
        <w:t xml:space="preserve">in detail to </w:t>
      </w:r>
      <w:r>
        <w:t xml:space="preserve">identify </w:t>
      </w:r>
      <w:r w:rsidR="002823A6">
        <w:t xml:space="preserve">potential compliance issues and </w:t>
      </w:r>
      <w:r>
        <w:t>valuable lessons that can be learnt from the period.</w:t>
      </w:r>
    </w:p>
    <w:p w:rsidR="00ED240E" w:rsidRPr="00ED240E" w:rsidRDefault="00ED240E" w:rsidP="00ED240E">
      <w:pPr>
        <w:pStyle w:val="AERbodytext"/>
      </w:pPr>
      <w:r w:rsidRPr="00ED240E">
        <w:t xml:space="preserve">Both </w:t>
      </w:r>
      <w:r>
        <w:t xml:space="preserve">the </w:t>
      </w:r>
      <w:r w:rsidRPr="00ED240E">
        <w:t>E</w:t>
      </w:r>
      <w:r>
        <w:t xml:space="preserve">ssential </w:t>
      </w:r>
      <w:r w:rsidRPr="00ED240E">
        <w:t>S</w:t>
      </w:r>
      <w:r>
        <w:t xml:space="preserve">ervices </w:t>
      </w:r>
      <w:r w:rsidRPr="00ED240E">
        <w:t>C</w:t>
      </w:r>
      <w:r>
        <w:t xml:space="preserve">ommission of </w:t>
      </w:r>
      <w:r w:rsidRPr="00ED240E">
        <w:t>S</w:t>
      </w:r>
      <w:r>
        <w:t xml:space="preserve">outh </w:t>
      </w:r>
      <w:r w:rsidRPr="00ED240E">
        <w:t>A</w:t>
      </w:r>
      <w:r>
        <w:t>ustralia</w:t>
      </w:r>
      <w:r w:rsidRPr="00ED240E">
        <w:t xml:space="preserve"> and </w:t>
      </w:r>
      <w:r>
        <w:t xml:space="preserve">the </w:t>
      </w:r>
      <w:r w:rsidRPr="00ED240E">
        <w:t>E</w:t>
      </w:r>
      <w:r>
        <w:t xml:space="preserve">ssential </w:t>
      </w:r>
      <w:r w:rsidRPr="00ED240E">
        <w:t>S</w:t>
      </w:r>
      <w:r>
        <w:t xml:space="preserve">ervices </w:t>
      </w:r>
      <w:r w:rsidRPr="00ED240E">
        <w:t>C</w:t>
      </w:r>
      <w:r>
        <w:t xml:space="preserve">ommission of </w:t>
      </w:r>
      <w:r w:rsidRPr="00ED240E">
        <w:t>V</w:t>
      </w:r>
      <w:r>
        <w:t>ictoria</w:t>
      </w:r>
      <w:r w:rsidRPr="00ED240E">
        <w:t xml:space="preserve"> have previously undertaken netw</w:t>
      </w:r>
      <w:r>
        <w:t>ork reviews of heatwave events.</w:t>
      </w:r>
      <w:r w:rsidRPr="00ED240E">
        <w:t xml:space="preserve"> </w:t>
      </w:r>
      <w:r w:rsidR="00F8772B">
        <w:t>We</w:t>
      </w:r>
      <w:r w:rsidRPr="00ED240E">
        <w:t xml:space="preserve"> intend to liaise with these agencies to provide continuity and integrate these prior learnings. </w:t>
      </w:r>
    </w:p>
    <w:p w:rsidR="004A472C" w:rsidRPr="00D23BE1" w:rsidRDefault="004A472C" w:rsidP="005D2DC9">
      <w:pPr>
        <w:pStyle w:val="AERheading2"/>
        <w:tabs>
          <w:tab w:val="clear" w:pos="2484"/>
          <w:tab w:val="num" w:pos="357"/>
        </w:tabs>
        <w:ind w:left="357"/>
      </w:pPr>
      <w:bookmarkStart w:id="109" w:name="_Toc385507287"/>
      <w:r w:rsidRPr="00D23BE1">
        <w:lastRenderedPageBreak/>
        <w:t>Jurisdictional derogations</w:t>
      </w:r>
      <w:bookmarkEnd w:id="101"/>
      <w:bookmarkEnd w:id="102"/>
      <w:bookmarkEnd w:id="103"/>
      <w:bookmarkEnd w:id="109"/>
    </w:p>
    <w:bookmarkEnd w:id="104"/>
    <w:bookmarkEnd w:id="105"/>
    <w:p w:rsidR="004A472C" w:rsidRPr="00282302" w:rsidRDefault="004A472C" w:rsidP="004A472C">
      <w:pPr>
        <w:pStyle w:val="AERbodytext"/>
      </w:pPr>
      <w:r w:rsidRPr="00282302">
        <w:t xml:space="preserve">Chapter 9 derogations exempt Victorian smelter traders, New South Wales power traders and Queensland nominated generators (for the purposes of exempted generator agreements) from complying with the Electricity Rules to the extent there exists: </w:t>
      </w:r>
    </w:p>
    <w:p w:rsidR="004A472C" w:rsidRPr="00282302" w:rsidRDefault="004A472C" w:rsidP="00CF20CC">
      <w:pPr>
        <w:pStyle w:val="AERbulletlistsecondstyle"/>
      </w:pPr>
      <w:r w:rsidRPr="00282302">
        <w:t>any inconsistency between the Rules and a contractual requirement under the relevant agreement between the government and other entities</w:t>
      </w:r>
    </w:p>
    <w:p w:rsidR="004A472C" w:rsidRPr="00282302" w:rsidRDefault="004A472C" w:rsidP="00CF20CC">
      <w:pPr>
        <w:pStyle w:val="AERbulletlistsecondstyle"/>
      </w:pPr>
      <w:r w:rsidRPr="00282302">
        <w:t>any other specified exemption in the jurisdictional derogations.</w:t>
      </w:r>
      <w:r w:rsidRPr="00282302">
        <w:rPr>
          <w:rStyle w:val="FootnoteReference"/>
          <w:lang w:eastAsia="en-AU"/>
        </w:rPr>
        <w:footnoteReference w:id="16"/>
      </w:r>
      <w:r w:rsidRPr="00282302">
        <w:t xml:space="preserve"> </w:t>
      </w:r>
    </w:p>
    <w:p w:rsidR="007D2853" w:rsidRDefault="004A472C" w:rsidP="001A3227">
      <w:pPr>
        <w:pStyle w:val="AERbodytext"/>
      </w:pPr>
      <w:r w:rsidRPr="00282302">
        <w:rPr>
          <w:lang w:eastAsia="en-AU"/>
        </w:rPr>
        <w:t xml:space="preserve">The relevant participants must give </w:t>
      </w:r>
      <w:r w:rsidR="00DC3257">
        <w:rPr>
          <w:lang w:eastAsia="en-AU"/>
        </w:rPr>
        <w:t>us notice</w:t>
      </w:r>
      <w:r w:rsidRPr="00282302">
        <w:rPr>
          <w:lang w:eastAsia="en-AU"/>
        </w:rPr>
        <w:t xml:space="preserve"> of any act or omission which partly or wholly constitutes non-compliance with the Electricity Rules.</w:t>
      </w:r>
      <w:r w:rsidRPr="00282302">
        <w:t xml:space="preserve"> No instances of non-compliance were reported </w:t>
      </w:r>
      <w:r w:rsidR="00CB0C74" w:rsidRPr="00282302">
        <w:t>this</w:t>
      </w:r>
      <w:r w:rsidRPr="00282302">
        <w:t xml:space="preserve"> quarter.</w:t>
      </w:r>
    </w:p>
    <w:p w:rsidR="004E3674" w:rsidRDefault="004E3674" w:rsidP="004E3674">
      <w:pPr>
        <w:pStyle w:val="AERbodytext"/>
      </w:pPr>
      <w:r>
        <w:t xml:space="preserve">As reported in the </w:t>
      </w:r>
      <w:hyperlink r:id="rId32" w:history="1">
        <w:r w:rsidRPr="004E3674">
          <w:rPr>
            <w:rStyle w:val="Hyperlink"/>
            <w:i/>
          </w:rPr>
          <w:t>June 2013 QCR</w:t>
        </w:r>
      </w:hyperlink>
      <w:r>
        <w:t xml:space="preserve">, the AER </w:t>
      </w:r>
      <w:r w:rsidR="00855B07">
        <w:t>discovered</w:t>
      </w:r>
      <w:r>
        <w:t xml:space="preserve"> that following the transition of Gladstone Power Station to CS Energy, no performance standards compliance program had been put in place for Gladstone. While this power station is covered by a Chapter 9 derogation under an exempted generation agreements in Queensland, CS Energy is responsible for its compliance with performance standards. </w:t>
      </w:r>
    </w:p>
    <w:p w:rsidR="004E3674" w:rsidRDefault="004E3674" w:rsidP="004E3674">
      <w:pPr>
        <w:pStyle w:val="AERbodytext"/>
      </w:pPr>
      <w:r>
        <w:t>CS Energy has completed a review of the existing performance standards and formed a view on which standards apply to Gladstone. CS Energy is currently drafting a performance standards compliance program which follows the reliability panel template</w:t>
      </w:r>
      <w:r w:rsidR="00855B07">
        <w:t xml:space="preserve"> and will reference the appropriate testing methods, procedures and testing results held by participants for Gladstone</w:t>
      </w:r>
      <w:r>
        <w:t xml:space="preserve">. We will continue to liaise with CS Energy on the progress of its compliance program. </w:t>
      </w:r>
    </w:p>
    <w:p w:rsidR="004E3674" w:rsidRDefault="004E3674" w:rsidP="001A3227">
      <w:pPr>
        <w:pStyle w:val="AERbodytext"/>
      </w:pPr>
    </w:p>
    <w:p w:rsidR="00CC583E" w:rsidRDefault="00C12985">
      <w:pPr>
        <w:pStyle w:val="AERunnumberedheading"/>
      </w:pPr>
      <w:bookmarkStart w:id="110" w:name="_Toc385507288"/>
      <w:r w:rsidRPr="00860DB5">
        <w:lastRenderedPageBreak/>
        <w:t xml:space="preserve">Appendix </w:t>
      </w:r>
      <w:r>
        <w:t>A</w:t>
      </w:r>
      <w:r w:rsidRPr="00860DB5">
        <w:t xml:space="preserve">:  </w:t>
      </w:r>
      <w:r>
        <w:t>Shortened forms</w:t>
      </w:r>
      <w:bookmarkEnd w:id="110"/>
      <w:r w:rsidRPr="00860DB5">
        <w:t xml:space="preserve"> </w:t>
      </w:r>
    </w:p>
    <w:tbl>
      <w:tblPr>
        <w:tblStyle w:val="AERtable-text"/>
        <w:tblW w:w="0" w:type="auto"/>
        <w:tblLook w:val="01E0" w:firstRow="1" w:lastRow="1" w:firstColumn="1" w:lastColumn="1" w:noHBand="0" w:noVBand="0"/>
      </w:tblPr>
      <w:tblGrid>
        <w:gridCol w:w="2263"/>
        <w:gridCol w:w="6012"/>
      </w:tblGrid>
      <w:tr w:rsidR="00285EC2" w:rsidRPr="009A7BFC" w:rsidTr="00285E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9A7BFC" w:rsidRDefault="00285EC2" w:rsidP="00285EC2">
            <w:pPr>
              <w:pStyle w:val="AERtabletextheading"/>
              <w:rPr>
                <w:sz w:val="20"/>
                <w:szCs w:val="20"/>
              </w:rPr>
            </w:pPr>
            <w:r w:rsidRPr="009A7BFC">
              <w:rPr>
                <w:sz w:val="20"/>
                <w:szCs w:val="20"/>
              </w:rPr>
              <w:t>Shortened form</w:t>
            </w:r>
          </w:p>
        </w:tc>
        <w:tc>
          <w:tcPr>
            <w:tcW w:w="6012" w:type="dxa"/>
          </w:tcPr>
          <w:p w:rsidR="00285EC2" w:rsidRPr="009A7BFC" w:rsidRDefault="00285EC2" w:rsidP="00285EC2">
            <w:pPr>
              <w:pStyle w:val="AERtabletextheading"/>
              <w:cnfStyle w:val="100000000000" w:firstRow="1" w:lastRow="0" w:firstColumn="0" w:lastColumn="0" w:oddVBand="0" w:evenVBand="0" w:oddHBand="0" w:evenHBand="0" w:firstRowFirstColumn="0" w:firstRowLastColumn="0" w:lastRowFirstColumn="0" w:lastRowLastColumn="0"/>
              <w:rPr>
                <w:sz w:val="20"/>
                <w:szCs w:val="20"/>
              </w:rPr>
            </w:pPr>
            <w:r w:rsidRPr="009A7BFC">
              <w:rPr>
                <w:sz w:val="20"/>
                <w:szCs w:val="20"/>
              </w:rPr>
              <w:t>Full title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ACCC </w:t>
            </w:r>
          </w:p>
        </w:tc>
        <w:tc>
          <w:tcPr>
            <w:tcW w:w="6012" w:type="dxa"/>
          </w:tcPr>
          <w:p w:rsidR="00285EC2" w:rsidRPr="00AD74E2" w:rsidRDefault="0087471E"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b/>
                <w:bCs/>
                <w:kern w:val="32"/>
                <w:sz w:val="20"/>
                <w:szCs w:val="20"/>
              </w:rPr>
            </w:pPr>
            <w:hyperlink r:id="rId33" w:history="1">
              <w:r w:rsidR="00285EC2" w:rsidRPr="00AD74E2">
                <w:rPr>
                  <w:rStyle w:val="Hyperlink"/>
                  <w:rFonts w:cs="Gautami"/>
                  <w:sz w:val="20"/>
                  <w:szCs w:val="20"/>
                </w:rPr>
                <w:t>Australian Competition &amp; Consumer Commission</w:t>
              </w:r>
            </w:hyperlink>
            <w:r w:rsidR="00285EC2" w:rsidRPr="00AD74E2">
              <w:rPr>
                <w:rFonts w:cs="Gautami"/>
                <w:sz w:val="20"/>
                <w:szCs w:val="20"/>
              </w:rPr>
              <w:t xml:space="preserve"> </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AEMO</w:t>
            </w:r>
          </w:p>
        </w:tc>
        <w:tc>
          <w:tcPr>
            <w:tcW w:w="6012" w:type="dxa"/>
            <w:shd w:val="clear" w:color="auto" w:fill="FABF8F" w:themeFill="accent6" w:themeFillTint="99"/>
          </w:tcPr>
          <w:p w:rsidR="00285EC2" w:rsidRPr="00AD74E2" w:rsidRDefault="0087471E"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34" w:history="1">
              <w:r w:rsidR="00285EC2" w:rsidRPr="00AD74E2">
                <w:rPr>
                  <w:rStyle w:val="Hyperlink"/>
                  <w:rFonts w:cs="Gautami"/>
                  <w:sz w:val="20"/>
                  <w:szCs w:val="20"/>
                </w:rPr>
                <w:t>Australian Energy Market Operator</w:t>
              </w:r>
            </w:hyperlink>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AER </w:t>
            </w:r>
          </w:p>
        </w:tc>
        <w:tc>
          <w:tcPr>
            <w:tcW w:w="6012" w:type="dxa"/>
          </w:tcPr>
          <w:p w:rsidR="00285EC2" w:rsidRPr="00AD74E2" w:rsidRDefault="0087471E"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35" w:history="1">
              <w:r w:rsidR="00285EC2" w:rsidRPr="00AD74E2">
                <w:rPr>
                  <w:rStyle w:val="Hyperlink"/>
                  <w:rFonts w:cs="Gautami"/>
                  <w:sz w:val="20"/>
                  <w:szCs w:val="20"/>
                </w:rPr>
                <w:t>Australian Energy Regulator</w:t>
              </w:r>
            </w:hyperlink>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AMI</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Advanced Metering Infrastructure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CATS</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Consumer Administration and Transfer Solution</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Electricity Law </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iCs/>
                <w:sz w:val="20"/>
                <w:szCs w:val="20"/>
              </w:rPr>
            </w:pPr>
            <w:r w:rsidRPr="00AD74E2">
              <w:rPr>
                <w:rFonts w:cs="Gautami"/>
                <w:sz w:val="20"/>
                <w:szCs w:val="20"/>
              </w:rPr>
              <w:t>National Electricity Law (Schedule to the National Electricity Act)</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Electricity Rules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 xml:space="preserve">The </w:t>
            </w:r>
            <w:hyperlink r:id="rId36" w:history="1">
              <w:r w:rsidRPr="00AD74E2">
                <w:rPr>
                  <w:rStyle w:val="Hyperlink"/>
                  <w:rFonts w:cs="Gautami"/>
                  <w:sz w:val="20"/>
                  <w:szCs w:val="20"/>
                </w:rPr>
                <w:t>National Electricity Rules</w:t>
              </w:r>
            </w:hyperlink>
            <w:r w:rsidRPr="00AD74E2">
              <w:rPr>
                <w:rFonts w:cs="Gautami"/>
                <w:sz w:val="20"/>
                <w:szCs w:val="20"/>
              </w:rPr>
              <w:t xml:space="preserve"> made under Part 7 of the Electricity Law </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FCAS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Frequency Control Ancillary Service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Gas Law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National Gas Law (Schedule to the National Gas Act)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Gas Regulations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iCs/>
                <w:sz w:val="20"/>
                <w:szCs w:val="20"/>
              </w:rPr>
              <w:t xml:space="preserve">The </w:t>
            </w:r>
            <w:hyperlink r:id="rId37" w:history="1">
              <w:r w:rsidRPr="00AD74E2">
                <w:rPr>
                  <w:rStyle w:val="Hyperlink"/>
                  <w:rFonts w:cs="Gautami"/>
                  <w:i/>
                  <w:iCs/>
                  <w:sz w:val="20"/>
                  <w:szCs w:val="20"/>
                </w:rPr>
                <w:t>National Gas (South Australia) Regulations</w:t>
              </w:r>
            </w:hyperlink>
            <w:r w:rsidRPr="00AD74E2">
              <w:rPr>
                <w:rFonts w:cs="Gautami"/>
                <w:iCs/>
                <w:sz w:val="20"/>
                <w:szCs w:val="20"/>
              </w:rPr>
              <w:t xml:space="preserve"> made under the National Gas Act</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Gas Rules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 xml:space="preserve">The </w:t>
            </w:r>
            <w:hyperlink r:id="rId38" w:history="1">
              <w:r w:rsidRPr="00AD74E2">
                <w:rPr>
                  <w:rStyle w:val="Hyperlink"/>
                  <w:rFonts w:cs="Gautami"/>
                  <w:sz w:val="20"/>
                  <w:szCs w:val="20"/>
                </w:rPr>
                <w:t>National Gas Rules</w:t>
              </w:r>
            </w:hyperlink>
            <w:r w:rsidRPr="00AD74E2">
              <w:rPr>
                <w:rFonts w:cs="Gautami"/>
                <w:sz w:val="20"/>
                <w:szCs w:val="20"/>
              </w:rPr>
              <w:t xml:space="preserve"> made under Part 9 of the Gas Law</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GEIP</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Good Energy Industry Practice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GJ</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Gigajoule</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LCA</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Linepack capacity adequacy</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MAP</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Moomba to Adelaide pipeline</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MOS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Market Operator Service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MSATS</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Market Settlement and Transfer Solution</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MT PASA</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Medium Term Projected Assessment of System Adequacy</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MW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Megawatt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MWh </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Megawatt hour</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National Electricity Act </w:t>
            </w:r>
          </w:p>
        </w:tc>
        <w:tc>
          <w:tcPr>
            <w:tcW w:w="6012" w:type="dxa"/>
          </w:tcPr>
          <w:p w:rsidR="00285EC2" w:rsidRPr="00AD74E2" w:rsidRDefault="0087471E"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39" w:history="1">
              <w:r w:rsidR="00285EC2" w:rsidRPr="00AD74E2">
                <w:rPr>
                  <w:rStyle w:val="Hyperlink"/>
                  <w:rFonts w:cs="Gautami"/>
                  <w:i/>
                  <w:iCs/>
                  <w:sz w:val="20"/>
                  <w:szCs w:val="20"/>
                </w:rPr>
                <w:t xml:space="preserve">National Electricity (South Australia) Act 1996 </w:t>
              </w:r>
              <w:r w:rsidR="00285EC2" w:rsidRPr="00AD74E2">
                <w:rPr>
                  <w:rStyle w:val="Hyperlink"/>
                  <w:rFonts w:cs="Gautami"/>
                  <w:sz w:val="20"/>
                  <w:szCs w:val="20"/>
                </w:rPr>
                <w:t>(South Australia)</w:t>
              </w:r>
            </w:hyperlink>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National Gas Act </w:t>
            </w:r>
          </w:p>
        </w:tc>
        <w:tc>
          <w:tcPr>
            <w:tcW w:w="6012" w:type="dxa"/>
            <w:shd w:val="clear" w:color="auto" w:fill="FABF8F" w:themeFill="accent6" w:themeFillTint="99"/>
          </w:tcPr>
          <w:p w:rsidR="00285EC2" w:rsidRPr="00AD74E2" w:rsidRDefault="0087471E"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40" w:history="1">
              <w:r w:rsidR="00285EC2" w:rsidRPr="00AD74E2">
                <w:rPr>
                  <w:rStyle w:val="Hyperlink"/>
                  <w:rFonts w:cs="Gautami"/>
                  <w:i/>
                  <w:iCs/>
                  <w:sz w:val="20"/>
                  <w:szCs w:val="20"/>
                </w:rPr>
                <w:t xml:space="preserve">National Gas (South Australia) Act 2008 </w:t>
              </w:r>
              <w:r w:rsidR="00285EC2" w:rsidRPr="00AD74E2">
                <w:rPr>
                  <w:rStyle w:val="Hyperlink"/>
                  <w:rFonts w:cs="Gautami"/>
                  <w:sz w:val="20"/>
                  <w:szCs w:val="20"/>
                </w:rPr>
                <w:t>(South Australia)</w:t>
              </w:r>
            </w:hyperlink>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NEM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National Electricity Market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NMI</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National Meter Identifier</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QCR</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The AER’s quarterly compliance report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RIT-T</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Regulatory investment test for transmission</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RP</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Responsible Person</w:t>
            </w:r>
          </w:p>
        </w:tc>
      </w:tr>
      <w:tr w:rsidR="00696E6D" w:rsidRPr="00BA1378" w:rsidTr="00285E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696E6D" w:rsidRPr="00AD74E2" w:rsidRDefault="00696E6D" w:rsidP="000E2105">
            <w:pPr>
              <w:pStyle w:val="AERtabletext"/>
              <w:spacing w:before="60" w:after="60"/>
              <w:rPr>
                <w:rFonts w:cs="Gautami"/>
                <w:sz w:val="20"/>
                <w:szCs w:val="20"/>
              </w:rPr>
            </w:pPr>
            <w:r>
              <w:rPr>
                <w:rFonts w:cs="Gautami"/>
                <w:sz w:val="20"/>
                <w:szCs w:val="20"/>
              </w:rPr>
              <w:t>SCADA</w:t>
            </w:r>
          </w:p>
        </w:tc>
        <w:tc>
          <w:tcPr>
            <w:tcW w:w="6012" w:type="dxa"/>
          </w:tcPr>
          <w:p w:rsidR="00696E6D" w:rsidRPr="00696E6D" w:rsidRDefault="00696E6D" w:rsidP="00696E6D">
            <w:pPr>
              <w:pStyle w:val="AERtabletex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w:t>
            </w:r>
            <w:r w:rsidRPr="00696E6D">
              <w:rPr>
                <w:sz w:val="20"/>
                <w:szCs w:val="20"/>
              </w:rPr>
              <w:t>upervisory control and data acquisition</w:t>
            </w:r>
          </w:p>
        </w:tc>
      </w:tr>
      <w:tr w:rsidR="00285EC2" w:rsidRPr="00696E6D" w:rsidTr="00696E6D">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STTM</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Short Term Trading Market</w:t>
            </w:r>
          </w:p>
        </w:tc>
      </w:tr>
      <w:tr w:rsidR="00285EC2" w:rsidRPr="00BA1378" w:rsidTr="00285E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SWN</w:t>
            </w:r>
          </w:p>
        </w:tc>
        <w:tc>
          <w:tcPr>
            <w:tcW w:w="6012" w:type="dxa"/>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System Wide Notice</w:t>
            </w:r>
          </w:p>
        </w:tc>
      </w:tr>
      <w:tr w:rsidR="00285EC2" w:rsidRPr="00BA1378" w:rsidTr="00696E6D">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TJ</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Terajoule</w:t>
            </w:r>
          </w:p>
        </w:tc>
      </w:tr>
    </w:tbl>
    <w:p w:rsidR="00285EC2" w:rsidRDefault="00285EC2" w:rsidP="00F32643">
      <w:pPr>
        <w:pStyle w:val="AERbodytext"/>
        <w:rPr>
          <w:lang w:eastAsia="en-AU"/>
        </w:rPr>
        <w:sectPr w:rsidR="00285EC2" w:rsidSect="000D2D9C">
          <w:footerReference w:type="default" r:id="rId41"/>
          <w:type w:val="continuous"/>
          <w:pgSz w:w="11906" w:h="16838" w:code="9"/>
          <w:pgMar w:top="1440" w:right="1440" w:bottom="1440" w:left="1440" w:header="709" w:footer="709" w:gutter="0"/>
          <w:cols w:space="708"/>
          <w:docGrid w:linePitch="360"/>
        </w:sectPr>
      </w:pPr>
    </w:p>
    <w:p w:rsidR="00140976" w:rsidRPr="00860DB5" w:rsidRDefault="00140976" w:rsidP="002C7158">
      <w:pPr>
        <w:pStyle w:val="AERunnumberedheading"/>
      </w:pPr>
      <w:bookmarkStart w:id="111" w:name="_Toc327524016"/>
      <w:bookmarkStart w:id="112" w:name="_Toc337553429"/>
      <w:bookmarkStart w:id="113" w:name="_Toc385507289"/>
      <w:r w:rsidRPr="00860DB5">
        <w:lastRenderedPageBreak/>
        <w:t xml:space="preserve">Appendix </w:t>
      </w:r>
      <w:r w:rsidR="00C12985">
        <w:t>B</w:t>
      </w:r>
      <w:r w:rsidRPr="00860DB5">
        <w:t>:  Previous targeted compliance reviews</w:t>
      </w:r>
      <w:bookmarkEnd w:id="111"/>
      <w:bookmarkEnd w:id="112"/>
      <w:bookmarkEnd w:id="113"/>
    </w:p>
    <w:p w:rsidR="00BA0AB2" w:rsidRPr="00282302" w:rsidRDefault="00C506DD" w:rsidP="00BA0AB2">
      <w:pPr>
        <w:pStyle w:val="AERtabletitle"/>
        <w:rPr>
          <w:rFonts w:ascii="Gautami" w:hAnsi="Gautami" w:cs="Gautami"/>
        </w:rPr>
      </w:pPr>
      <w:r>
        <w:rPr>
          <w:rFonts w:ascii="Gautami" w:hAnsi="Gautami" w:cs="Gautami"/>
        </w:rPr>
        <w:t>Below</w:t>
      </w:r>
      <w:r w:rsidRPr="00282302">
        <w:rPr>
          <w:rFonts w:ascii="Gautami" w:hAnsi="Gautami" w:cs="Gautami"/>
        </w:rPr>
        <w:t xml:space="preserve"> </w:t>
      </w:r>
      <w:r w:rsidR="00BA0AB2" w:rsidRPr="00282302">
        <w:rPr>
          <w:rFonts w:ascii="Gautami" w:hAnsi="Gautami" w:cs="Gautami"/>
        </w:rPr>
        <w:t xml:space="preserve">is a summary of the Electricity Rules and Gas Rules </w:t>
      </w:r>
      <w:r w:rsidRPr="00282302">
        <w:rPr>
          <w:rFonts w:ascii="Gautami" w:hAnsi="Gautami" w:cs="Gautami"/>
        </w:rPr>
        <w:t>provisions</w:t>
      </w:r>
      <w:r>
        <w:rPr>
          <w:rFonts w:ascii="Gautami" w:hAnsi="Gautami" w:cs="Gautami"/>
        </w:rPr>
        <w:t xml:space="preserve"> we have targeted </w:t>
      </w:r>
      <w:r w:rsidR="00AA5257">
        <w:rPr>
          <w:rFonts w:ascii="Gautami" w:hAnsi="Gautami" w:cs="Gautami"/>
        </w:rPr>
        <w:t>in recent quarters</w:t>
      </w:r>
    </w:p>
    <w:tbl>
      <w:tblPr>
        <w:tblW w:w="5000" w:type="pct"/>
        <w:tblBorders>
          <w:top w:val="single" w:sz="4" w:space="0" w:color="auto"/>
          <w:bottom w:val="single" w:sz="4" w:space="0" w:color="auto"/>
        </w:tblBorders>
        <w:tblLook w:val="01E0" w:firstRow="1" w:lastRow="1" w:firstColumn="1" w:lastColumn="1" w:noHBand="0" w:noVBand="0"/>
      </w:tblPr>
      <w:tblGrid>
        <w:gridCol w:w="1695"/>
        <w:gridCol w:w="1072"/>
        <w:gridCol w:w="1470"/>
        <w:gridCol w:w="5005"/>
      </w:tblGrid>
      <w:tr w:rsidR="00140976" w:rsidRPr="00282302" w:rsidTr="000A4B26">
        <w:trPr>
          <w:trHeight w:val="227"/>
        </w:trPr>
        <w:tc>
          <w:tcPr>
            <w:tcW w:w="60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BA0AB2" w:rsidRPr="00282302" w:rsidRDefault="00BA0AB2" w:rsidP="00BA0AB2">
            <w:pPr>
              <w:pStyle w:val="AERtabletextheading"/>
              <w:rPr>
                <w:sz w:val="20"/>
                <w:szCs w:val="20"/>
              </w:rPr>
            </w:pPr>
            <w:r w:rsidRPr="00282302">
              <w:rPr>
                <w:sz w:val="20"/>
                <w:szCs w:val="20"/>
              </w:rPr>
              <w:t>Quarter ending</w:t>
            </w:r>
          </w:p>
        </w:tc>
        <w:tc>
          <w:tcPr>
            <w:tcW w:w="585" w:type="pct"/>
            <w:tcBorders>
              <w:top w:val="single" w:sz="4" w:space="0" w:color="auto"/>
              <w:left w:val="nil"/>
              <w:bottom w:val="single" w:sz="4" w:space="0" w:color="auto"/>
              <w:right w:val="nil"/>
              <w:tl2br w:val="nil"/>
              <w:tr2bl w:val="nil"/>
            </w:tcBorders>
            <w:shd w:val="clear" w:color="auto" w:fill="F2750E"/>
          </w:tcPr>
          <w:p w:rsidR="00BA0AB2" w:rsidRPr="00282302" w:rsidRDefault="00BA0AB2" w:rsidP="00BA0AB2">
            <w:pPr>
              <w:pStyle w:val="AERtabletextheading"/>
              <w:rPr>
                <w:sz w:val="20"/>
                <w:szCs w:val="20"/>
              </w:rPr>
            </w:pPr>
            <w:r w:rsidRPr="00282302">
              <w:rPr>
                <w:sz w:val="20"/>
                <w:szCs w:val="20"/>
              </w:rPr>
              <w:t>Industry</w:t>
            </w:r>
          </w:p>
        </w:tc>
        <w:tc>
          <w:tcPr>
            <w:tcW w:w="999" w:type="pct"/>
            <w:tcBorders>
              <w:top w:val="single" w:sz="4" w:space="0" w:color="auto"/>
              <w:left w:val="nil"/>
              <w:bottom w:val="single" w:sz="4" w:space="0" w:color="auto"/>
              <w:right w:val="nil"/>
              <w:tl2br w:val="nil"/>
              <w:tr2bl w:val="nil"/>
            </w:tcBorders>
            <w:shd w:val="clear" w:color="auto" w:fill="F2750E"/>
          </w:tcPr>
          <w:p w:rsidR="00BA0AB2" w:rsidRPr="00282302" w:rsidRDefault="00BA0AB2" w:rsidP="00BA0AB2">
            <w:pPr>
              <w:pStyle w:val="AERtabletextheading"/>
              <w:rPr>
                <w:sz w:val="20"/>
                <w:szCs w:val="20"/>
              </w:rPr>
            </w:pPr>
            <w:r w:rsidRPr="00282302">
              <w:rPr>
                <w:sz w:val="20"/>
                <w:szCs w:val="20"/>
              </w:rPr>
              <w:t>Rule</w:t>
            </w:r>
          </w:p>
        </w:tc>
        <w:tc>
          <w:tcPr>
            <w:tcW w:w="2812" w:type="pct"/>
            <w:tcBorders>
              <w:top w:val="single" w:sz="4" w:space="0" w:color="auto"/>
              <w:left w:val="nil"/>
              <w:bottom w:val="single" w:sz="4" w:space="0" w:color="auto"/>
              <w:right w:val="single" w:sz="4" w:space="0" w:color="auto"/>
              <w:tl2br w:val="nil"/>
              <w:tr2bl w:val="nil"/>
            </w:tcBorders>
            <w:shd w:val="clear" w:color="auto" w:fill="F2750E"/>
          </w:tcPr>
          <w:p w:rsidR="00BA0AB2" w:rsidRPr="00282302" w:rsidRDefault="00BA0AB2" w:rsidP="00BA0AB2">
            <w:pPr>
              <w:pStyle w:val="AERtabletextheading"/>
              <w:rPr>
                <w:sz w:val="20"/>
                <w:szCs w:val="20"/>
              </w:rPr>
            </w:pPr>
            <w:r w:rsidRPr="00282302">
              <w:rPr>
                <w:sz w:val="20"/>
                <w:szCs w:val="20"/>
              </w:rPr>
              <w:t>Description</w:t>
            </w:r>
          </w:p>
        </w:tc>
      </w:tr>
      <w:tr w:rsidR="00140976" w:rsidRPr="00282302" w:rsidTr="00C47950">
        <w:trPr>
          <w:trHeight w:val="227"/>
        </w:trPr>
        <w:tc>
          <w:tcPr>
            <w:tcW w:w="604" w:type="pct"/>
            <w:shd w:val="clear" w:color="auto" w:fill="auto"/>
            <w:noWrap/>
            <w:tcMar>
              <w:top w:w="0" w:type="dxa"/>
              <w:bottom w:w="0" w:type="dxa"/>
            </w:tcMar>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June 2011</w:t>
            </w:r>
          </w:p>
        </w:tc>
        <w:tc>
          <w:tcPr>
            <w:tcW w:w="585" w:type="pct"/>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172</w:t>
            </w:r>
          </w:p>
        </w:tc>
        <w:tc>
          <w:tcPr>
            <w:tcW w:w="2812" w:type="pct"/>
            <w:vAlign w:val="center"/>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Provision of linepack capacity adequacy indicators for the Bulletin Board</w:t>
            </w:r>
          </w:p>
        </w:tc>
      </w:tr>
      <w:tr w:rsidR="00140976" w:rsidRPr="00282302" w:rsidTr="00C47950">
        <w:trPr>
          <w:trHeight w:val="227"/>
        </w:trPr>
        <w:tc>
          <w:tcPr>
            <w:tcW w:w="604" w:type="pct"/>
            <w:shd w:val="clear" w:color="auto" w:fill="auto"/>
            <w:noWrap/>
            <w:tcMar>
              <w:top w:w="0" w:type="dxa"/>
              <w:bottom w:w="0" w:type="dxa"/>
            </w:tcMar>
          </w:tcPr>
          <w:p w:rsidR="00140976" w:rsidRPr="00282302" w:rsidRDefault="00140976" w:rsidP="00D3476A">
            <w:pPr>
              <w:pStyle w:val="AERtabletext"/>
              <w:rPr>
                <w:rFonts w:ascii="Gautami" w:hAnsi="Gautami" w:cs="Gautami"/>
                <w:sz w:val="20"/>
                <w:szCs w:val="20"/>
              </w:rPr>
            </w:pPr>
          </w:p>
        </w:tc>
        <w:tc>
          <w:tcPr>
            <w:tcW w:w="585" w:type="pct"/>
          </w:tcPr>
          <w:p w:rsidR="00140976" w:rsidRPr="00282302" w:rsidRDefault="00140976" w:rsidP="00D3476A">
            <w:pPr>
              <w:pStyle w:val="AERtabletext"/>
              <w:rPr>
                <w:rFonts w:ascii="Gautami" w:hAnsi="Gautami" w:cs="Gautami"/>
                <w:sz w:val="20"/>
                <w:szCs w:val="20"/>
              </w:rPr>
            </w:pPr>
          </w:p>
        </w:tc>
        <w:tc>
          <w:tcPr>
            <w:tcW w:w="999" w:type="pct"/>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378</w:t>
            </w:r>
          </w:p>
        </w:tc>
        <w:tc>
          <w:tcPr>
            <w:tcW w:w="2812" w:type="pct"/>
            <w:vAlign w:val="center"/>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Obligation to update information registered with AEMO</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Pr>
          <w:p w:rsidR="00D3476A" w:rsidRPr="00282302" w:rsidRDefault="00D3476A" w:rsidP="00D3476A">
            <w:pPr>
              <w:pStyle w:val="AERtabletext"/>
              <w:rPr>
                <w:rFonts w:ascii="Gautami" w:hAnsi="Gautami" w:cs="Gautami"/>
                <w:sz w:val="20"/>
                <w:szCs w:val="20"/>
              </w:rPr>
            </w:pP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435</w:t>
            </w:r>
          </w:p>
        </w:tc>
        <w:tc>
          <w:tcPr>
            <w:tcW w:w="2812" w:type="pct"/>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Requirement to provide good faith, best estimate contingency gas offers</w:t>
            </w:r>
          </w:p>
        </w:tc>
      </w:tr>
      <w:tr w:rsidR="00140976" w:rsidRPr="00282302" w:rsidTr="00D3476A">
        <w:trPr>
          <w:trHeight w:val="227"/>
        </w:trPr>
        <w:tc>
          <w:tcPr>
            <w:tcW w:w="604" w:type="pct"/>
            <w:tcBorders>
              <w:top w:val="nil"/>
            </w:tcBorders>
            <w:shd w:val="clear" w:color="auto" w:fill="FABF8F"/>
            <w:noWrap/>
            <w:tcMar>
              <w:top w:w="0" w:type="dxa"/>
              <w:bottom w:w="0" w:type="dxa"/>
            </w:tcMar>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September 2011</w:t>
            </w:r>
          </w:p>
        </w:tc>
        <w:tc>
          <w:tcPr>
            <w:tcW w:w="585" w:type="pct"/>
            <w:tcBorders>
              <w:top w:val="nil"/>
            </w:tcBorders>
            <w:shd w:val="clear" w:color="auto" w:fill="FABF8F"/>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Borders>
              <w:top w:val="nil"/>
            </w:tcBorders>
            <w:shd w:val="clear" w:color="auto" w:fill="FABF8F"/>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300</w:t>
            </w:r>
          </w:p>
        </w:tc>
        <w:tc>
          <w:tcPr>
            <w:tcW w:w="2812" w:type="pct"/>
            <w:tcBorders>
              <w:top w:val="nil"/>
            </w:tcBorders>
            <w:shd w:val="clear" w:color="auto" w:fill="FABF8F"/>
            <w:vAlign w:val="center"/>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Obligation to protect metering installations from unauthorised interference</w:t>
            </w:r>
          </w:p>
        </w:tc>
      </w:tr>
      <w:tr w:rsidR="00D3476A" w:rsidRPr="00282302" w:rsidTr="00D3476A">
        <w:trPr>
          <w:trHeight w:val="227"/>
        </w:trPr>
        <w:tc>
          <w:tcPr>
            <w:tcW w:w="604" w:type="pct"/>
            <w:tcBorders>
              <w:top w:val="nil"/>
            </w:tcBorders>
            <w:shd w:val="clear" w:color="auto" w:fill="FABF8F"/>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Borders>
              <w:top w:val="nil"/>
            </w:tcBorders>
            <w:shd w:val="clear" w:color="auto" w:fill="FABF8F"/>
          </w:tcPr>
          <w:p w:rsidR="00D3476A" w:rsidRPr="00282302" w:rsidRDefault="00D3476A" w:rsidP="00D3476A">
            <w:pPr>
              <w:pStyle w:val="AERtabletext"/>
              <w:rPr>
                <w:rFonts w:ascii="Gautami" w:hAnsi="Gautami" w:cs="Gautami"/>
                <w:sz w:val="20"/>
                <w:szCs w:val="20"/>
              </w:rPr>
            </w:pPr>
          </w:p>
        </w:tc>
        <w:tc>
          <w:tcPr>
            <w:tcW w:w="999" w:type="pct"/>
            <w:tcBorders>
              <w:top w:val="nil"/>
            </w:tcBorders>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403</w:t>
            </w:r>
          </w:p>
        </w:tc>
        <w:tc>
          <w:tcPr>
            <w:tcW w:w="2812" w:type="pct"/>
            <w:tcBorders>
              <w:top w:val="nil"/>
            </w:tcBorders>
            <w:shd w:val="clear" w:color="auto" w:fill="FABF8F"/>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Obligation to investigate the circumstances of a MOS shortfall</w:t>
            </w:r>
          </w:p>
        </w:tc>
      </w:tr>
      <w:tr w:rsidR="00D3476A" w:rsidRPr="00282302" w:rsidTr="00C47950">
        <w:trPr>
          <w:trHeight w:val="227"/>
        </w:trPr>
        <w:tc>
          <w:tcPr>
            <w:tcW w:w="604" w:type="pct"/>
            <w:shd w:val="clear" w:color="auto" w:fill="FABF8F"/>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shd w:val="clear" w:color="auto" w:fill="FABF8F"/>
          </w:tcPr>
          <w:p w:rsidR="00D3476A" w:rsidRPr="00282302" w:rsidRDefault="00D3476A" w:rsidP="00D3476A">
            <w:pPr>
              <w:pStyle w:val="AERtabletext"/>
              <w:rPr>
                <w:rFonts w:ascii="Gautami" w:hAnsi="Gautami" w:cs="Gautami"/>
                <w:sz w:val="20"/>
                <w:szCs w:val="20"/>
              </w:rPr>
            </w:pPr>
          </w:p>
        </w:tc>
        <w:tc>
          <w:tcPr>
            <w:tcW w:w="999" w:type="pct"/>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410</w:t>
            </w:r>
          </w:p>
        </w:tc>
        <w:tc>
          <w:tcPr>
            <w:tcW w:w="2812" w:type="pct"/>
            <w:shd w:val="clear" w:color="auto" w:fill="FABF8F"/>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Obligation to make good faith, best estimate price taker bids (demand forecasts)</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December 2011</w:t>
            </w:r>
          </w:p>
        </w:tc>
        <w:tc>
          <w:tcPr>
            <w:tcW w:w="585"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180</w:t>
            </w:r>
          </w:p>
        </w:tc>
        <w:tc>
          <w:tcPr>
            <w:tcW w:w="2812" w:type="pct"/>
            <w:vAlign w:val="center"/>
          </w:tcPr>
          <w:p w:rsidR="00D3476A" w:rsidRPr="00282302" w:rsidRDefault="00D3476A" w:rsidP="00D3476A">
            <w:pPr>
              <w:pStyle w:val="AERtabletext"/>
              <w:rPr>
                <w:rFonts w:ascii="Gautami" w:hAnsi="Gautami" w:cs="Gautami"/>
                <w:sz w:val="20"/>
                <w:szCs w:val="20"/>
              </w:rPr>
            </w:pPr>
            <w:r w:rsidRPr="00282302">
              <w:rPr>
                <w:rStyle w:val="displayonly"/>
                <w:rFonts w:ascii="Gautami" w:hAnsi="Gautami" w:cs="Gautami"/>
                <w:sz w:val="20"/>
                <w:szCs w:val="20"/>
              </w:rPr>
              <w:t>Obligation to publish peak demand day information</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Pr>
          <w:p w:rsidR="00D3476A" w:rsidRPr="00282302" w:rsidRDefault="00D3476A" w:rsidP="00D3476A">
            <w:pPr>
              <w:pStyle w:val="AERtabletext"/>
              <w:rPr>
                <w:rFonts w:ascii="Gautami" w:hAnsi="Gautami" w:cs="Gautami"/>
                <w:sz w:val="20"/>
                <w:szCs w:val="20"/>
              </w:rPr>
            </w:pP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219</w:t>
            </w:r>
          </w:p>
        </w:tc>
        <w:tc>
          <w:tcPr>
            <w:tcW w:w="2812" w:type="pct"/>
            <w:vAlign w:val="center"/>
          </w:tcPr>
          <w:p w:rsidR="00D3476A" w:rsidRPr="00282302" w:rsidRDefault="00D3476A" w:rsidP="00D3476A">
            <w:pPr>
              <w:pStyle w:val="AERtabletext"/>
              <w:rPr>
                <w:rStyle w:val="displayonly"/>
                <w:rFonts w:ascii="Gautami" w:hAnsi="Gautami" w:cs="Gautami"/>
                <w:sz w:val="20"/>
                <w:szCs w:val="20"/>
              </w:rPr>
            </w:pPr>
            <w:r w:rsidRPr="00282302">
              <w:rPr>
                <w:rStyle w:val="displayonly"/>
                <w:rFonts w:ascii="Gautami" w:hAnsi="Gautami" w:cs="Gautami"/>
                <w:sz w:val="20"/>
                <w:szCs w:val="20"/>
              </w:rPr>
              <w:t>Obligation to notify AEMO of injection and withdrawal quantities</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Pr>
          <w:p w:rsidR="00D3476A" w:rsidRPr="00282302" w:rsidRDefault="00D3476A" w:rsidP="00D3476A">
            <w:pPr>
              <w:pStyle w:val="AERtabletext"/>
              <w:rPr>
                <w:rFonts w:ascii="Gautami" w:hAnsi="Gautami" w:cs="Gautami"/>
                <w:sz w:val="20"/>
                <w:szCs w:val="20"/>
              </w:rPr>
            </w:pP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254</w:t>
            </w:r>
          </w:p>
        </w:tc>
        <w:tc>
          <w:tcPr>
            <w:tcW w:w="2812" w:type="pct"/>
            <w:vAlign w:val="center"/>
          </w:tcPr>
          <w:p w:rsidR="00D3476A" w:rsidRPr="00282302" w:rsidRDefault="00D3476A" w:rsidP="00D3476A">
            <w:pPr>
              <w:pStyle w:val="AERtabletext"/>
              <w:rPr>
                <w:rStyle w:val="displayonly"/>
                <w:rFonts w:ascii="Gautami" w:hAnsi="Gautami" w:cs="Gautami"/>
                <w:sz w:val="20"/>
                <w:szCs w:val="20"/>
              </w:rPr>
            </w:pPr>
            <w:r w:rsidRPr="00282302">
              <w:rPr>
                <w:rStyle w:val="displayonly"/>
                <w:rFonts w:ascii="Gautami" w:hAnsi="Gautami" w:cs="Gautami"/>
                <w:sz w:val="20"/>
                <w:szCs w:val="20"/>
              </w:rPr>
              <w:t xml:space="preserve">Obligation </w:t>
            </w:r>
            <w:r w:rsidRPr="00282302">
              <w:rPr>
                <w:rFonts w:ascii="Gautami" w:hAnsi="Gautami" w:cs="Gautami"/>
                <w:sz w:val="20"/>
                <w:szCs w:val="20"/>
              </w:rPr>
              <w:t>to provide and maintain security (prudential requirements)</w:t>
            </w:r>
          </w:p>
        </w:tc>
      </w:tr>
      <w:tr w:rsidR="00D3476A" w:rsidRPr="00282302" w:rsidTr="00C47950">
        <w:trPr>
          <w:trHeight w:val="227"/>
        </w:trPr>
        <w:tc>
          <w:tcPr>
            <w:tcW w:w="604" w:type="pct"/>
            <w:tcBorders>
              <w:bottom w:val="nil"/>
            </w:tcBorders>
            <w:shd w:val="clear" w:color="auto" w:fill="FABF8F"/>
            <w:noWrap/>
            <w:tcMar>
              <w:top w:w="0" w:type="dxa"/>
              <w:bottom w:w="0" w:type="dxa"/>
            </w:tcMa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March 2012</w:t>
            </w:r>
          </w:p>
        </w:tc>
        <w:tc>
          <w:tcPr>
            <w:tcW w:w="585" w:type="pct"/>
            <w:tcBorders>
              <w:bottom w:val="nil"/>
            </w:tcBorders>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Borders>
              <w:bottom w:val="nil"/>
            </w:tcBorders>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336</w:t>
            </w:r>
          </w:p>
        </w:tc>
        <w:tc>
          <w:tcPr>
            <w:tcW w:w="2812" w:type="pct"/>
            <w:tcBorders>
              <w:bottom w:val="nil"/>
            </w:tcBorders>
            <w:shd w:val="clear" w:color="auto" w:fill="FABF8F"/>
            <w:vAlign w:val="center"/>
          </w:tcPr>
          <w:p w:rsidR="00D3476A" w:rsidRPr="00282302" w:rsidRDefault="00D3476A" w:rsidP="00D3476A">
            <w:pPr>
              <w:pStyle w:val="AERtabletext"/>
              <w:rPr>
                <w:rStyle w:val="displayonly"/>
                <w:rFonts w:ascii="Gautami" w:hAnsi="Gautami" w:cs="Gautami"/>
                <w:sz w:val="20"/>
                <w:szCs w:val="20"/>
              </w:rPr>
            </w:pPr>
            <w:r w:rsidRPr="00282302">
              <w:rPr>
                <w:rFonts w:ascii="Gautami" w:hAnsi="Gautami" w:cs="Gautami"/>
                <w:sz w:val="20"/>
                <w:szCs w:val="20"/>
              </w:rPr>
              <w:t>Emergency procedures awareness</w:t>
            </w:r>
          </w:p>
        </w:tc>
      </w:tr>
      <w:tr w:rsidR="00D3476A" w:rsidRPr="00282302" w:rsidTr="000D2D9C">
        <w:trPr>
          <w:trHeight w:val="227"/>
        </w:trPr>
        <w:tc>
          <w:tcPr>
            <w:tcW w:w="604" w:type="pct"/>
            <w:tcBorders>
              <w:top w:val="nil"/>
              <w:bottom w:val="nil"/>
            </w:tcBorders>
            <w:shd w:val="clear" w:color="auto" w:fill="FFFFFF"/>
            <w:noWrap/>
            <w:tcMar>
              <w:top w:w="0" w:type="dxa"/>
              <w:bottom w:w="0" w:type="dxa"/>
            </w:tcMa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September 2012</w:t>
            </w:r>
          </w:p>
        </w:tc>
        <w:tc>
          <w:tcPr>
            <w:tcW w:w="585" w:type="pct"/>
            <w:tcBorders>
              <w:top w:val="nil"/>
              <w:bottom w:val="nil"/>
            </w:tcBorders>
            <w:shd w:val="clear" w:color="auto" w:fill="FFFFF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Borders>
              <w:top w:val="nil"/>
              <w:bottom w:val="nil"/>
            </w:tcBorders>
            <w:shd w:val="clear" w:color="auto" w:fill="FFFFF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213(2)(b) and (c)</w:t>
            </w:r>
          </w:p>
        </w:tc>
        <w:tc>
          <w:tcPr>
            <w:tcW w:w="2812" w:type="pct"/>
            <w:tcBorders>
              <w:top w:val="nil"/>
              <w:bottom w:val="nil"/>
            </w:tcBorders>
            <w:shd w:val="clear" w:color="auto" w:fill="FFFFFF"/>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Injection and withdrawal bids in the Victorian gas market</w:t>
            </w:r>
          </w:p>
        </w:tc>
      </w:tr>
      <w:tr w:rsidR="000D2D9C" w:rsidRPr="009E5DEC" w:rsidTr="00594FD3">
        <w:trPr>
          <w:trHeight w:val="227"/>
        </w:trPr>
        <w:tc>
          <w:tcPr>
            <w:tcW w:w="604" w:type="pct"/>
            <w:tcBorders>
              <w:top w:val="nil"/>
              <w:bottom w:val="nil"/>
            </w:tcBorders>
            <w:shd w:val="clear" w:color="auto" w:fill="FABF8F" w:themeFill="accent6" w:themeFillTint="99"/>
            <w:noWrap/>
            <w:tcMar>
              <w:top w:w="0" w:type="dxa"/>
              <w:bottom w:w="0" w:type="dxa"/>
            </w:tcMar>
          </w:tcPr>
          <w:p w:rsidR="000D2D9C" w:rsidRPr="00282302" w:rsidRDefault="000D2D9C" w:rsidP="00D3476A">
            <w:pPr>
              <w:pStyle w:val="AERtabletext"/>
              <w:rPr>
                <w:rFonts w:ascii="Gautami" w:hAnsi="Gautami" w:cs="Gautami"/>
                <w:sz w:val="20"/>
                <w:szCs w:val="20"/>
              </w:rPr>
            </w:pPr>
            <w:r w:rsidRPr="00282302">
              <w:rPr>
                <w:rFonts w:ascii="Gautami" w:hAnsi="Gautami" w:cs="Gautami"/>
                <w:sz w:val="20"/>
                <w:szCs w:val="20"/>
              </w:rPr>
              <w:t>March 2013</w:t>
            </w:r>
          </w:p>
        </w:tc>
        <w:tc>
          <w:tcPr>
            <w:tcW w:w="585" w:type="pct"/>
            <w:tcBorders>
              <w:top w:val="nil"/>
              <w:bottom w:val="nil"/>
            </w:tcBorders>
            <w:shd w:val="clear" w:color="auto" w:fill="FABF8F" w:themeFill="accent6" w:themeFillTint="99"/>
          </w:tcPr>
          <w:p w:rsidR="000D2D9C" w:rsidRPr="00282302" w:rsidRDefault="000D2D9C" w:rsidP="00D3476A">
            <w:pPr>
              <w:pStyle w:val="AERtabletext"/>
              <w:rPr>
                <w:rFonts w:ascii="Gautami" w:hAnsi="Gautami" w:cs="Gautami"/>
                <w:sz w:val="20"/>
                <w:szCs w:val="20"/>
              </w:rPr>
            </w:pPr>
            <w:r w:rsidRPr="00282302">
              <w:rPr>
                <w:rFonts w:ascii="Gautami" w:hAnsi="Gautami" w:cs="Gautami"/>
                <w:sz w:val="20"/>
                <w:szCs w:val="20"/>
              </w:rPr>
              <w:t>Electricity</w:t>
            </w:r>
          </w:p>
        </w:tc>
        <w:tc>
          <w:tcPr>
            <w:tcW w:w="999" w:type="pct"/>
            <w:tcBorders>
              <w:top w:val="nil"/>
              <w:bottom w:val="nil"/>
            </w:tcBorders>
            <w:shd w:val="clear" w:color="auto" w:fill="FABF8F" w:themeFill="accent6" w:themeFillTint="99"/>
          </w:tcPr>
          <w:p w:rsidR="000D2D9C" w:rsidRPr="00282302" w:rsidRDefault="000D2D9C" w:rsidP="00D3476A">
            <w:pPr>
              <w:pStyle w:val="AERtabletext"/>
              <w:rPr>
                <w:rFonts w:ascii="Gautami" w:hAnsi="Gautami" w:cs="Gautami"/>
                <w:sz w:val="20"/>
                <w:szCs w:val="20"/>
              </w:rPr>
            </w:pPr>
            <w:r w:rsidRPr="00282302">
              <w:rPr>
                <w:rFonts w:ascii="Gautami" w:hAnsi="Gautami" w:cs="Gautami"/>
                <w:sz w:val="20"/>
                <w:szCs w:val="20"/>
              </w:rPr>
              <w:t>4.15</w:t>
            </w:r>
          </w:p>
        </w:tc>
        <w:tc>
          <w:tcPr>
            <w:tcW w:w="2812" w:type="pct"/>
            <w:tcBorders>
              <w:top w:val="nil"/>
              <w:bottom w:val="nil"/>
            </w:tcBorders>
            <w:shd w:val="clear" w:color="auto" w:fill="FABF8F" w:themeFill="accent6" w:themeFillTint="99"/>
            <w:vAlign w:val="center"/>
          </w:tcPr>
          <w:p w:rsidR="000D2D9C" w:rsidRPr="00D3476A" w:rsidRDefault="000D2D9C" w:rsidP="00D3476A">
            <w:pPr>
              <w:pStyle w:val="AERtabletext"/>
              <w:rPr>
                <w:rFonts w:ascii="Gautami" w:hAnsi="Gautami" w:cs="Gautami"/>
                <w:sz w:val="20"/>
                <w:szCs w:val="20"/>
              </w:rPr>
            </w:pPr>
            <w:r w:rsidRPr="00282302">
              <w:rPr>
                <w:rFonts w:ascii="Gautami" w:hAnsi="Gautami" w:cs="Gautami"/>
                <w:sz w:val="20"/>
                <w:szCs w:val="20"/>
              </w:rPr>
              <w:t>Compliance with performance standards</w:t>
            </w:r>
          </w:p>
        </w:tc>
      </w:tr>
      <w:tr w:rsidR="00594FD3" w:rsidRPr="009E5DEC" w:rsidTr="00F54559">
        <w:trPr>
          <w:trHeight w:val="227"/>
        </w:trPr>
        <w:tc>
          <w:tcPr>
            <w:tcW w:w="604" w:type="pct"/>
            <w:tcBorders>
              <w:top w:val="nil"/>
              <w:bottom w:val="nil"/>
            </w:tcBorders>
            <w:shd w:val="clear" w:color="auto" w:fill="auto"/>
            <w:noWrap/>
            <w:tcMar>
              <w:top w:w="0" w:type="dxa"/>
              <w:bottom w:w="0" w:type="dxa"/>
            </w:tcMar>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June 2013</w:t>
            </w:r>
          </w:p>
        </w:tc>
        <w:tc>
          <w:tcPr>
            <w:tcW w:w="585" w:type="pct"/>
            <w:tcBorders>
              <w:top w:val="nil"/>
              <w:bottom w:val="nil"/>
            </w:tcBorders>
            <w:shd w:val="clear" w:color="auto" w:fill="auto"/>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Electricity</w:t>
            </w:r>
          </w:p>
        </w:tc>
        <w:tc>
          <w:tcPr>
            <w:tcW w:w="999" w:type="pct"/>
            <w:tcBorders>
              <w:top w:val="nil"/>
              <w:bottom w:val="nil"/>
            </w:tcBorders>
            <w:shd w:val="clear" w:color="auto" w:fill="auto"/>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8.6.6</w:t>
            </w:r>
          </w:p>
        </w:tc>
        <w:tc>
          <w:tcPr>
            <w:tcW w:w="2812" w:type="pct"/>
            <w:tcBorders>
              <w:top w:val="nil"/>
              <w:bottom w:val="nil"/>
            </w:tcBorders>
            <w:shd w:val="clear" w:color="auto" w:fill="auto"/>
            <w:vAlign w:val="center"/>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AEMO requirements for confidential information</w:t>
            </w:r>
          </w:p>
        </w:tc>
      </w:tr>
      <w:tr w:rsidR="00F54559" w:rsidRPr="009E5DEC" w:rsidTr="00F54559">
        <w:trPr>
          <w:trHeight w:val="227"/>
        </w:trPr>
        <w:tc>
          <w:tcPr>
            <w:tcW w:w="604" w:type="pct"/>
            <w:tcBorders>
              <w:top w:val="nil"/>
              <w:bottom w:val="single" w:sz="4" w:space="0" w:color="auto"/>
            </w:tcBorders>
            <w:shd w:val="clear" w:color="auto" w:fill="FABF8F" w:themeFill="accent6" w:themeFillTint="99"/>
            <w:noWrap/>
            <w:tcMar>
              <w:top w:w="0" w:type="dxa"/>
              <w:bottom w:w="0" w:type="dxa"/>
            </w:tcMar>
          </w:tcPr>
          <w:p w:rsidR="00F54559" w:rsidRPr="00731D3F" w:rsidRDefault="00F54559" w:rsidP="00731D3F">
            <w:pPr>
              <w:pStyle w:val="AERtabletext"/>
              <w:rPr>
                <w:rFonts w:ascii="Gautami" w:hAnsi="Gautami" w:cs="Gautami"/>
                <w:sz w:val="20"/>
                <w:szCs w:val="20"/>
              </w:rPr>
            </w:pPr>
            <w:r w:rsidRPr="00731D3F">
              <w:rPr>
                <w:rFonts w:ascii="Gautami" w:hAnsi="Gautami" w:cs="Gautami"/>
                <w:sz w:val="20"/>
                <w:szCs w:val="20"/>
              </w:rPr>
              <w:t>December 2013</w:t>
            </w:r>
          </w:p>
        </w:tc>
        <w:tc>
          <w:tcPr>
            <w:tcW w:w="585" w:type="pct"/>
            <w:tcBorders>
              <w:top w:val="nil"/>
              <w:bottom w:val="single" w:sz="4" w:space="0" w:color="auto"/>
            </w:tcBorders>
            <w:shd w:val="clear" w:color="auto" w:fill="FABF8F" w:themeFill="accent6" w:themeFillTint="99"/>
          </w:tcPr>
          <w:p w:rsidR="00F54559" w:rsidRPr="00731D3F" w:rsidRDefault="00F54559" w:rsidP="00731D3F">
            <w:pPr>
              <w:pStyle w:val="AERtabletext"/>
              <w:rPr>
                <w:rFonts w:ascii="Gautami" w:hAnsi="Gautami" w:cs="Gautami"/>
                <w:sz w:val="20"/>
                <w:szCs w:val="20"/>
              </w:rPr>
            </w:pPr>
            <w:r w:rsidRPr="00731D3F">
              <w:rPr>
                <w:rFonts w:ascii="Gautami" w:hAnsi="Gautami" w:cs="Gautami"/>
                <w:sz w:val="20"/>
                <w:szCs w:val="20"/>
              </w:rPr>
              <w:t>Electricity</w:t>
            </w:r>
          </w:p>
        </w:tc>
        <w:tc>
          <w:tcPr>
            <w:tcW w:w="999" w:type="pct"/>
            <w:tcBorders>
              <w:top w:val="nil"/>
              <w:bottom w:val="single" w:sz="4" w:space="0" w:color="auto"/>
            </w:tcBorders>
            <w:shd w:val="clear" w:color="auto" w:fill="FABF8F" w:themeFill="accent6" w:themeFillTint="99"/>
          </w:tcPr>
          <w:p w:rsidR="00F54559" w:rsidRPr="00731D3F" w:rsidRDefault="00731D3F" w:rsidP="00731D3F">
            <w:pPr>
              <w:pStyle w:val="AERtabletext"/>
              <w:rPr>
                <w:rFonts w:ascii="Gautami" w:hAnsi="Gautami" w:cs="Gautami"/>
                <w:sz w:val="20"/>
                <w:szCs w:val="20"/>
              </w:rPr>
            </w:pPr>
            <w:r>
              <w:rPr>
                <w:rFonts w:ascii="Gautami" w:hAnsi="Gautami" w:cs="Gautami"/>
                <w:sz w:val="20"/>
                <w:szCs w:val="20"/>
              </w:rPr>
              <w:t>7.8.2</w:t>
            </w:r>
          </w:p>
        </w:tc>
        <w:tc>
          <w:tcPr>
            <w:tcW w:w="2812" w:type="pct"/>
            <w:tcBorders>
              <w:top w:val="nil"/>
              <w:bottom w:val="single" w:sz="4" w:space="0" w:color="auto"/>
            </w:tcBorders>
            <w:shd w:val="clear" w:color="auto" w:fill="FABF8F" w:themeFill="accent6" w:themeFillTint="99"/>
            <w:vAlign w:val="center"/>
          </w:tcPr>
          <w:p w:rsidR="00F54559" w:rsidRDefault="00E22873" w:rsidP="00D3476A">
            <w:pPr>
              <w:pStyle w:val="AERtabletext"/>
              <w:rPr>
                <w:rFonts w:ascii="Gautami" w:hAnsi="Gautami" w:cs="Gautami"/>
                <w:sz w:val="20"/>
                <w:szCs w:val="20"/>
              </w:rPr>
            </w:pPr>
            <w:r>
              <w:rPr>
                <w:rFonts w:ascii="Gautami" w:hAnsi="Gautami" w:cs="Gautami"/>
                <w:sz w:val="20"/>
                <w:szCs w:val="20"/>
              </w:rPr>
              <w:t>Security controls for energy data</w:t>
            </w:r>
          </w:p>
        </w:tc>
      </w:tr>
    </w:tbl>
    <w:p w:rsidR="00140976" w:rsidRDefault="00140976" w:rsidP="00140976">
      <w:pPr>
        <w:pStyle w:val="AERbodytext"/>
        <w:rPr>
          <w:b/>
          <w:lang w:eastAsia="en-AU"/>
        </w:rPr>
      </w:pPr>
    </w:p>
    <w:p w:rsidR="000A4B26" w:rsidRPr="00FD3B0E" w:rsidRDefault="000A4B26" w:rsidP="00140976">
      <w:pPr>
        <w:pStyle w:val="AERbodytext"/>
        <w:rPr>
          <w:b/>
          <w:lang w:eastAsia="en-AU"/>
        </w:rPr>
      </w:pPr>
    </w:p>
    <w:sectPr w:rsidR="000A4B26" w:rsidRPr="00FD3B0E" w:rsidSect="000A4B26">
      <w:footerReference w:type="default" r:id="rId4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B12" w:rsidRDefault="00005B12" w:rsidP="00BB640B">
      <w:r>
        <w:separator/>
      </w:r>
    </w:p>
    <w:p w:rsidR="00005B12" w:rsidRDefault="00005B12"/>
    <w:p w:rsidR="00005B12" w:rsidRDefault="00005B12"/>
  </w:endnote>
  <w:endnote w:type="continuationSeparator" w:id="0">
    <w:p w:rsidR="00005B12" w:rsidRDefault="00005B12" w:rsidP="00BB640B">
      <w:r>
        <w:continuationSeparator/>
      </w:r>
    </w:p>
    <w:p w:rsidR="00005B12" w:rsidRDefault="00005B12"/>
    <w:p w:rsidR="00005B12" w:rsidRDefault="00005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ヒラギノ角ゴ Pro W3">
    <w:charset w:val="00"/>
    <w:family w:val="roman"/>
    <w:pitch w:val="default"/>
  </w:font>
  <w:font w:name="HelveticaNeueLT St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B12" w:rsidRDefault="00005B12" w:rsidP="009F6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5B12" w:rsidRDefault="00005B12" w:rsidP="007842F1">
    <w:pPr>
      <w:ind w:right="360"/>
    </w:pPr>
    <w:r>
      <w:rPr>
        <w:rStyle w:val="PageNumber"/>
      </w:rPr>
      <w:tab/>
    </w:r>
  </w:p>
  <w:p w:rsidR="00005B12" w:rsidRDefault="00005B12"/>
  <w:p w:rsidR="00005B12" w:rsidRDefault="00005B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B12" w:rsidRPr="007842F1" w:rsidRDefault="00005B12" w:rsidP="009F6871">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87471E">
      <w:rPr>
        <w:rStyle w:val="PageNumber"/>
        <w:noProof/>
      </w:rPr>
      <w:t>i</w:t>
    </w:r>
    <w:r w:rsidRPr="007842F1">
      <w:rPr>
        <w:rStyle w:val="PageNumber"/>
      </w:rPr>
      <w:fldChar w:fldCharType="end"/>
    </w:r>
  </w:p>
  <w:p w:rsidR="00005B12" w:rsidRDefault="00005B12" w:rsidP="00AA1DED">
    <w:pPr>
      <w:pStyle w:val="FootnoteText"/>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EA" w:rsidRDefault="00D46F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B12" w:rsidRPr="007842F1" w:rsidRDefault="00005B12"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87471E">
      <w:rPr>
        <w:rStyle w:val="PageNumber"/>
        <w:noProof/>
      </w:rPr>
      <w:t>18</w:t>
    </w:r>
    <w:r w:rsidRPr="007842F1">
      <w:rPr>
        <w:rStyle w:val="PageNumber"/>
      </w:rPr>
      <w:fldChar w:fldCharType="end"/>
    </w:r>
  </w:p>
  <w:p w:rsidR="00005B12" w:rsidRPr="0097256D" w:rsidRDefault="00005B12" w:rsidP="00BB5A97">
    <w:pPr>
      <w:pStyle w:val="FootnoteTex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B12" w:rsidRPr="007842F1" w:rsidRDefault="00005B12"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87471E">
      <w:rPr>
        <w:rStyle w:val="PageNumber"/>
        <w:noProof/>
      </w:rPr>
      <w:t>31</w:t>
    </w:r>
    <w:r w:rsidRPr="007842F1">
      <w:rPr>
        <w:rStyle w:val="PageNumber"/>
      </w:rPr>
      <w:fldChar w:fldCharType="end"/>
    </w:r>
  </w:p>
  <w:p w:rsidR="00005B12" w:rsidRPr="0097256D" w:rsidRDefault="00005B12" w:rsidP="00BB5A97">
    <w:pPr>
      <w:pStyle w:val="FootnoteTex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B12" w:rsidRDefault="00005B12" w:rsidP="00BB640B">
      <w:r>
        <w:separator/>
      </w:r>
    </w:p>
    <w:p w:rsidR="00005B12" w:rsidRDefault="00005B12"/>
    <w:p w:rsidR="00005B12" w:rsidRDefault="00005B12"/>
  </w:footnote>
  <w:footnote w:type="continuationSeparator" w:id="0">
    <w:p w:rsidR="00005B12" w:rsidRDefault="00005B12" w:rsidP="00BB640B">
      <w:r>
        <w:continuationSeparator/>
      </w:r>
    </w:p>
    <w:p w:rsidR="00005B12" w:rsidRDefault="00005B12"/>
    <w:p w:rsidR="00005B12" w:rsidRDefault="00005B12"/>
  </w:footnote>
  <w:footnote w:id="1">
    <w:p w:rsidR="00005B12" w:rsidRPr="005B5051" w:rsidRDefault="00005B12" w:rsidP="005B5051">
      <w:pPr>
        <w:pStyle w:val="FootnoteText"/>
        <w:jc w:val="both"/>
        <w:rPr>
          <w:rFonts w:ascii="Gautami" w:hAnsi="Gautami" w:cs="Gautami"/>
        </w:rPr>
      </w:pPr>
      <w:r w:rsidRPr="0035087E">
        <w:rPr>
          <w:rStyle w:val="FootnoteReference"/>
          <w:rFonts w:ascii="Gautami" w:hAnsi="Gautami" w:cs="Gautami"/>
        </w:rPr>
        <w:footnoteRef/>
      </w:r>
      <w:r w:rsidRPr="0035087E">
        <w:rPr>
          <w:rFonts w:ascii="Gautami" w:hAnsi="Gautami" w:cs="Gautami"/>
        </w:rPr>
        <w:t xml:space="preserve"> </w:t>
      </w:r>
      <w:r w:rsidRPr="0035087E">
        <w:rPr>
          <w:rFonts w:ascii="Gautami" w:hAnsi="Gautami" w:cs="Gautami"/>
        </w:rPr>
        <w:tab/>
        <w:t>Pr</w:t>
      </w:r>
      <w:r>
        <w:rPr>
          <w:rFonts w:ascii="Gautami" w:hAnsi="Gautami" w:cs="Gautami"/>
        </w:rPr>
        <w:t>evious QCRs are available on</w:t>
      </w:r>
      <w:r w:rsidRPr="0035087E">
        <w:rPr>
          <w:rFonts w:ascii="Gautami" w:hAnsi="Gautami" w:cs="Gautami"/>
        </w:rPr>
        <w:t xml:space="preserve"> </w:t>
      </w:r>
      <w:hyperlink r:id="rId1" w:history="1">
        <w:r>
          <w:rPr>
            <w:rStyle w:val="Hyperlink"/>
            <w:rFonts w:cs="Gautami"/>
          </w:rPr>
          <w:t>our</w:t>
        </w:r>
        <w:r w:rsidRPr="0035087E">
          <w:rPr>
            <w:rStyle w:val="Hyperlink"/>
            <w:rFonts w:cs="Gautami"/>
          </w:rPr>
          <w:t xml:space="preserve"> website</w:t>
        </w:r>
      </w:hyperlink>
      <w:r>
        <w:rPr>
          <w:rStyle w:val="Hyperlink"/>
          <w:rFonts w:cs="Gautami"/>
          <w:u w:val="none"/>
        </w:rPr>
        <w:t>.</w:t>
      </w:r>
    </w:p>
  </w:footnote>
  <w:footnote w:id="2">
    <w:p w:rsidR="00005B12" w:rsidRDefault="00005B12" w:rsidP="00BC4965">
      <w:pPr>
        <w:pStyle w:val="FootnoteText"/>
        <w:spacing w:after="120"/>
        <w:jc w:val="both"/>
      </w:pPr>
      <w:r w:rsidRPr="00E42CCD">
        <w:rPr>
          <w:rStyle w:val="FootnoteReference"/>
          <w:rFonts w:ascii="Gautami" w:hAnsi="Gautami" w:cs="Gautami"/>
        </w:rPr>
        <w:footnoteRef/>
      </w:r>
      <w:r>
        <w:t xml:space="preserve"> </w:t>
      </w:r>
      <w:r>
        <w:tab/>
      </w:r>
      <w:r w:rsidRPr="0035087E">
        <w:rPr>
          <w:rFonts w:ascii="Gautami" w:hAnsi="Gautami" w:cs="Gautami"/>
        </w:rPr>
        <w:t>Entities registered by AEMO under Chapter 2 of the Electricity Rules or in accordance with Part 15A of the Gas Rules.</w:t>
      </w:r>
    </w:p>
  </w:footnote>
  <w:footnote w:id="3">
    <w:p w:rsidR="00005B12" w:rsidRPr="0035087E" w:rsidRDefault="00005B12" w:rsidP="00BC4965">
      <w:pPr>
        <w:pStyle w:val="FootnoteText"/>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t xml:space="preserve">Provisions of the Gas Rules and Electricity Rules that have been targeted for review in previous quarters are listed in Appendix </w:t>
      </w:r>
      <w:r>
        <w:rPr>
          <w:rFonts w:ascii="Gautami" w:hAnsi="Gautami" w:cs="Gautami"/>
        </w:rPr>
        <w:t>B</w:t>
      </w:r>
      <w:r w:rsidRPr="0035087E">
        <w:rPr>
          <w:rFonts w:ascii="Gautami" w:hAnsi="Gautami" w:cs="Gautami"/>
        </w:rPr>
        <w:t>.</w:t>
      </w:r>
    </w:p>
  </w:footnote>
  <w:footnote w:id="4">
    <w:p w:rsidR="00005B12" w:rsidRPr="004825B4" w:rsidRDefault="00005B12" w:rsidP="000B6CDB">
      <w:pPr>
        <w:pStyle w:val="FootnoteText"/>
        <w:jc w:val="both"/>
        <w:rPr>
          <w:rFonts w:ascii="Gautami" w:hAnsi="Gautami" w:cs="Gautami"/>
        </w:rPr>
      </w:pPr>
      <w:r w:rsidRPr="004825B4">
        <w:rPr>
          <w:rStyle w:val="FootnoteReference"/>
          <w:rFonts w:ascii="Gautami" w:hAnsi="Gautami" w:cs="Gautami"/>
        </w:rPr>
        <w:footnoteRef/>
      </w:r>
      <w:r w:rsidRPr="004825B4">
        <w:rPr>
          <w:rFonts w:ascii="Gautami" w:hAnsi="Gautami" w:cs="Gautami"/>
        </w:rPr>
        <w:t xml:space="preserve"> </w:t>
      </w:r>
      <w:r w:rsidRPr="004825B4">
        <w:rPr>
          <w:rFonts w:ascii="Gautami" w:hAnsi="Gautami" w:cs="Gautami"/>
        </w:rPr>
        <w:tab/>
      </w:r>
      <w:proofErr w:type="gramStart"/>
      <w:r w:rsidRPr="004825B4">
        <w:rPr>
          <w:rFonts w:ascii="Gautami" w:hAnsi="Gautami" w:cs="Gautami"/>
        </w:rPr>
        <w:t xml:space="preserve">Available on the </w:t>
      </w:r>
      <w:hyperlink r:id="rId2" w:history="1">
        <w:r w:rsidRPr="004825B4">
          <w:rPr>
            <w:rStyle w:val="Hyperlink"/>
            <w:rFonts w:cs="Gautami"/>
          </w:rPr>
          <w:t>AEMC website</w:t>
        </w:r>
      </w:hyperlink>
      <w:r w:rsidRPr="004825B4">
        <w:rPr>
          <w:rStyle w:val="Hyperlink"/>
          <w:rFonts w:cs="Gautami"/>
          <w:color w:val="auto"/>
          <w:u w:val="none"/>
        </w:rPr>
        <w:t>.</w:t>
      </w:r>
      <w:proofErr w:type="gramEnd"/>
    </w:p>
  </w:footnote>
  <w:footnote w:id="5">
    <w:p w:rsidR="00005B12" w:rsidRPr="008B3670" w:rsidRDefault="00005B12" w:rsidP="00E812D3">
      <w:pPr>
        <w:pStyle w:val="FootnoteText"/>
        <w:rPr>
          <w:rFonts w:ascii="Gautami" w:hAnsi="Gautami" w:cs="Gautami"/>
        </w:rPr>
      </w:pPr>
      <w:r>
        <w:rPr>
          <w:rStyle w:val="FootnoteReference"/>
        </w:rPr>
        <w:footnoteRef/>
      </w:r>
      <w:r>
        <w:t xml:space="preserve"> </w:t>
      </w:r>
      <w:r>
        <w:tab/>
      </w:r>
      <w:proofErr w:type="gramStart"/>
      <w:r w:rsidRPr="008B3670">
        <w:rPr>
          <w:rFonts w:ascii="Gautami" w:hAnsi="Gautami" w:cs="Gautami"/>
        </w:rPr>
        <w:t>Clauses 3.8.7A (k)</w:t>
      </w:r>
      <w:r>
        <w:rPr>
          <w:rFonts w:ascii="Gautami" w:hAnsi="Gautami" w:cs="Gautami"/>
        </w:rPr>
        <w:t>-</w:t>
      </w:r>
      <w:r w:rsidRPr="008B3670">
        <w:rPr>
          <w:rFonts w:ascii="Gautami" w:hAnsi="Gautami" w:cs="Gautami"/>
        </w:rPr>
        <w:t>(m)</w:t>
      </w:r>
      <w:r>
        <w:rPr>
          <w:rFonts w:ascii="Gautami" w:hAnsi="Gautami" w:cs="Gautami"/>
        </w:rPr>
        <w:t xml:space="preserve">, </w:t>
      </w:r>
      <w:r w:rsidRPr="008B3670">
        <w:rPr>
          <w:rFonts w:ascii="Gautami" w:hAnsi="Gautami" w:cs="Gautami"/>
        </w:rPr>
        <w:t>4.9.8(d)</w:t>
      </w:r>
      <w:r>
        <w:rPr>
          <w:rFonts w:ascii="Gautami" w:hAnsi="Gautami" w:cs="Gautami"/>
        </w:rPr>
        <w:t xml:space="preserve"> and</w:t>
      </w:r>
      <w:r w:rsidRPr="008B3670">
        <w:rPr>
          <w:rFonts w:ascii="Gautami" w:hAnsi="Gautami" w:cs="Gautami"/>
        </w:rPr>
        <w:t xml:space="preserve"> 4.9.9B</w:t>
      </w:r>
      <w:r>
        <w:rPr>
          <w:rFonts w:ascii="Gautami" w:hAnsi="Gautami" w:cs="Gautami"/>
        </w:rPr>
        <w:t>.</w:t>
      </w:r>
      <w:proofErr w:type="gramEnd"/>
      <w:r w:rsidRPr="008B3670">
        <w:rPr>
          <w:rFonts w:ascii="Gautami" w:hAnsi="Gautami" w:cs="Gautami"/>
        </w:rPr>
        <w:t xml:space="preserve"> </w:t>
      </w:r>
    </w:p>
  </w:footnote>
  <w:footnote w:id="6">
    <w:p w:rsidR="00005B12" w:rsidRPr="00B050C6" w:rsidRDefault="00005B12" w:rsidP="00B050C6">
      <w:pPr>
        <w:pStyle w:val="FootnoteText"/>
        <w:spacing w:after="120"/>
        <w:rPr>
          <w:rFonts w:ascii="Gautami" w:hAnsi="Gautami" w:cs="Gautami"/>
        </w:rPr>
      </w:pPr>
      <w:r w:rsidRPr="00B050C6">
        <w:rPr>
          <w:rStyle w:val="FootnoteReference"/>
          <w:rFonts w:ascii="Gautami" w:hAnsi="Gautami" w:cs="Gautami"/>
        </w:rPr>
        <w:footnoteRef/>
      </w:r>
      <w:r w:rsidRPr="00B050C6">
        <w:rPr>
          <w:rFonts w:ascii="Gautami" w:hAnsi="Gautami" w:cs="Gautami"/>
        </w:rPr>
        <w:t xml:space="preserve"> </w:t>
      </w:r>
      <w:r w:rsidR="00B050C6">
        <w:rPr>
          <w:rFonts w:ascii="Gautami" w:hAnsi="Gautami" w:cs="Gautami"/>
        </w:rPr>
        <w:tab/>
      </w:r>
      <w:r w:rsidRPr="00B050C6">
        <w:rPr>
          <w:rFonts w:ascii="Gautami" w:hAnsi="Gautami" w:cs="Gautami"/>
        </w:rPr>
        <w:t xml:space="preserve">This data excludes Adelaide Brighton Cement, to remove the effect of unplanned outages (refer to the </w:t>
      </w:r>
      <w:hyperlink r:id="rId3" w:history="1">
        <w:r w:rsidRPr="00B050C6">
          <w:rPr>
            <w:rStyle w:val="Hyperlink"/>
            <w:rFonts w:cs="Gautami"/>
            <w:color w:val="auto"/>
            <w:u w:val="none"/>
          </w:rPr>
          <w:t>December 2012 QCR</w:t>
        </w:r>
      </w:hyperlink>
      <w:r w:rsidRPr="00B050C6">
        <w:rPr>
          <w:rFonts w:ascii="Gautami" w:hAnsi="Gautami" w:cs="Gautami"/>
        </w:rPr>
        <w:t xml:space="preserve"> for more information)</w:t>
      </w:r>
    </w:p>
  </w:footnote>
  <w:footnote w:id="7">
    <w:p w:rsidR="00005B12" w:rsidRPr="00B050C6" w:rsidRDefault="00005B12" w:rsidP="00B050C6">
      <w:pPr>
        <w:pStyle w:val="FootnoteText"/>
        <w:rPr>
          <w:rFonts w:ascii="Gautami" w:hAnsi="Gautami" w:cs="Gautami"/>
        </w:rPr>
      </w:pPr>
      <w:r w:rsidRPr="00B050C6">
        <w:rPr>
          <w:rStyle w:val="FootnoteReference"/>
          <w:rFonts w:ascii="Gautami" w:hAnsi="Gautami" w:cs="Gautami"/>
        </w:rPr>
        <w:footnoteRef/>
      </w:r>
      <w:r w:rsidRPr="00B050C6">
        <w:rPr>
          <w:rFonts w:ascii="Gautami" w:hAnsi="Gautami" w:cs="Gautami"/>
        </w:rPr>
        <w:t xml:space="preserve"> </w:t>
      </w:r>
      <w:r w:rsidR="00B050C6">
        <w:rPr>
          <w:rFonts w:ascii="Gautami" w:hAnsi="Gautami" w:cs="Gautami"/>
        </w:rPr>
        <w:tab/>
      </w:r>
      <w:r w:rsidRPr="00B050C6">
        <w:rPr>
          <w:rFonts w:ascii="Gautami" w:hAnsi="Gautami" w:cs="Gautami"/>
        </w:rPr>
        <w:t xml:space="preserve">Error = Actual – Forecast </w:t>
      </w:r>
    </w:p>
  </w:footnote>
  <w:footnote w:id="8">
    <w:p w:rsidR="00005B12" w:rsidRPr="00B050C6" w:rsidRDefault="00005B12" w:rsidP="00B050C6">
      <w:pPr>
        <w:pStyle w:val="FootnoteText"/>
        <w:rPr>
          <w:rFonts w:ascii="Gautami" w:hAnsi="Gautami" w:cs="Gautami"/>
        </w:rPr>
      </w:pPr>
      <w:r w:rsidRPr="00B050C6">
        <w:rPr>
          <w:rStyle w:val="FootnoteReference"/>
          <w:rFonts w:ascii="Gautami" w:hAnsi="Gautami" w:cs="Gautami"/>
        </w:rPr>
        <w:footnoteRef/>
      </w:r>
      <w:r w:rsidRPr="00B050C6">
        <w:rPr>
          <w:rFonts w:ascii="Gautami" w:hAnsi="Gautami" w:cs="Gautami"/>
        </w:rPr>
        <w:t xml:space="preserve"> </w:t>
      </w:r>
      <w:r w:rsidR="00B050C6">
        <w:rPr>
          <w:rFonts w:ascii="Gautami" w:hAnsi="Gautami" w:cs="Gautami"/>
        </w:rPr>
        <w:tab/>
      </w:r>
      <w:r w:rsidRPr="00B050C6">
        <w:rPr>
          <w:rFonts w:ascii="Gautami" w:hAnsi="Gautami" w:cs="Gautami"/>
        </w:rPr>
        <w:t>When examining the number of days each month which are under or over forecast.</w:t>
      </w:r>
    </w:p>
  </w:footnote>
  <w:footnote w:id="9">
    <w:p w:rsidR="00005B12" w:rsidRPr="0035087E" w:rsidRDefault="00005B12" w:rsidP="00565CE6">
      <w:pPr>
        <w:pStyle w:val="FootnoteText"/>
        <w:spacing w:after="120"/>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t>Market participants must provide to AEMO, at the same time as a rebid is made, a brief, verifiable and specific reason for the rebid, plus the time at which the reason for the rebid occurred. Equivalent requirements apply where AEMO is advised, under clause 3.8.19 of the Electricity Rules, that a unit, service or load is inflexible. Clause 3.8.22A of the Electricity Rules requires that dispatch offers, dispatch bids and rebids are made in ‘good faith’.</w:t>
      </w:r>
    </w:p>
  </w:footnote>
  <w:footnote w:id="10">
    <w:p w:rsidR="00005B12" w:rsidRPr="0035087E" w:rsidRDefault="00005B12" w:rsidP="005B5051">
      <w:pPr>
        <w:pStyle w:val="FootnoteText"/>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t>In June 2012</w:t>
      </w:r>
      <w:r>
        <w:rPr>
          <w:rFonts w:ascii="Gautami" w:hAnsi="Gautami" w:cs="Gautami"/>
        </w:rPr>
        <w:t>,</w:t>
      </w:r>
      <w:r w:rsidRPr="0035087E">
        <w:rPr>
          <w:rFonts w:ascii="Gautami" w:hAnsi="Gautami" w:cs="Gautami"/>
        </w:rPr>
        <w:t xml:space="preserve"> </w:t>
      </w:r>
      <w:r>
        <w:rPr>
          <w:rFonts w:ascii="Gautami" w:hAnsi="Gautami" w:cs="Gautami"/>
        </w:rPr>
        <w:t>we</w:t>
      </w:r>
      <w:r w:rsidRPr="0035087E">
        <w:rPr>
          <w:rFonts w:ascii="Gautami" w:hAnsi="Gautami" w:cs="Gautami"/>
        </w:rPr>
        <w:t xml:space="preserve"> published an up</w:t>
      </w:r>
      <w:r>
        <w:rPr>
          <w:rFonts w:ascii="Gautami" w:hAnsi="Gautami" w:cs="Gautami"/>
        </w:rPr>
        <w:t xml:space="preserve">dated </w:t>
      </w:r>
      <w:hyperlink r:id="rId4" w:history="1">
        <w:r w:rsidRPr="00543C9B">
          <w:rPr>
            <w:rStyle w:val="Hyperlink"/>
            <w:rFonts w:cs="Gautami"/>
          </w:rPr>
          <w:t>Compliance Bulletin No. 3</w:t>
        </w:r>
      </w:hyperlink>
      <w:r>
        <w:rPr>
          <w:rStyle w:val="Hyperlink"/>
          <w:rFonts w:cs="Gautami"/>
        </w:rPr>
        <w:t xml:space="preserve"> </w:t>
      </w:r>
      <w:r w:rsidRPr="0035087E">
        <w:rPr>
          <w:rFonts w:ascii="Gautami" w:hAnsi="Gautami" w:cs="Gautami"/>
        </w:rPr>
        <w:t xml:space="preserve">to make it clear that, for the purposes of administering the three stage process and issuing warnings, </w:t>
      </w:r>
      <w:r>
        <w:rPr>
          <w:rFonts w:ascii="Gautami" w:hAnsi="Gautami" w:cs="Gautami"/>
        </w:rPr>
        <w:t>we</w:t>
      </w:r>
      <w:r w:rsidRPr="0035087E">
        <w:rPr>
          <w:rFonts w:ascii="Gautami" w:hAnsi="Gautami" w:cs="Gautami"/>
        </w:rPr>
        <w:t xml:space="preserve"> will rely on the cumulative count of non-compliant bids for all generating units under the same portfolio. In other words, where a parent company employs a common trading team for the bidding of multiple generating units in its portfolio, irrespective of whether these generators are different </w:t>
      </w:r>
      <w:r>
        <w:rPr>
          <w:rFonts w:ascii="Gautami" w:hAnsi="Gautami" w:cs="Gautami"/>
        </w:rPr>
        <w:t>registered participants, we</w:t>
      </w:r>
      <w:r w:rsidRPr="0035087E">
        <w:rPr>
          <w:rFonts w:ascii="Gautami" w:hAnsi="Gautami" w:cs="Gautami"/>
        </w:rPr>
        <w:t xml:space="preserve"> will count any non-compliant bids by that trading team together.</w:t>
      </w:r>
    </w:p>
  </w:footnote>
  <w:footnote w:id="11">
    <w:p w:rsidR="00005B12" w:rsidRDefault="00005B12">
      <w:pPr>
        <w:pStyle w:val="FootnoteText"/>
      </w:pPr>
      <w:r>
        <w:rPr>
          <w:rStyle w:val="FootnoteReference"/>
        </w:rPr>
        <w:footnoteRef/>
      </w:r>
      <w:r>
        <w:t xml:space="preserve"> </w:t>
      </w:r>
      <w:r>
        <w:tab/>
      </w:r>
      <w:r w:rsidRPr="008A2DC6">
        <w:rPr>
          <w:rFonts w:ascii="Gautami" w:hAnsi="Gautami" w:cs="Gautami"/>
        </w:rPr>
        <w:t>This compares to the more common model observed by the AER of engineering expertise at each plant, supported by centralised compliance oversight</w:t>
      </w:r>
    </w:p>
  </w:footnote>
  <w:footnote w:id="12">
    <w:p w:rsidR="00005B12" w:rsidRPr="0014299B" w:rsidRDefault="00005B12" w:rsidP="0014299B">
      <w:pPr>
        <w:pStyle w:val="FootnoteText"/>
      </w:pPr>
      <w:r w:rsidRPr="00F54559">
        <w:rPr>
          <w:rStyle w:val="FootnoteReference"/>
          <w:rFonts w:ascii="Gautami" w:hAnsi="Gautami" w:cs="Gautami"/>
        </w:rPr>
        <w:footnoteRef/>
      </w:r>
      <w:r w:rsidRPr="0014299B">
        <w:t xml:space="preserve"> </w:t>
      </w:r>
      <w:r>
        <w:tab/>
      </w:r>
      <w:r w:rsidRPr="0014299B">
        <w:rPr>
          <w:rFonts w:ascii="Gautami" w:hAnsi="Gautami" w:cs="Gautami"/>
        </w:rPr>
        <w:t>This clause is classified as a civil penalty provision</w:t>
      </w:r>
    </w:p>
  </w:footnote>
  <w:footnote w:id="13">
    <w:p w:rsidR="00005B12" w:rsidRPr="00565CE6" w:rsidRDefault="00005B12" w:rsidP="00565CE6">
      <w:pPr>
        <w:pStyle w:val="FootnoteText"/>
        <w:spacing w:after="120"/>
        <w:rPr>
          <w:rFonts w:ascii="Gautami" w:hAnsi="Gautami" w:cs="Gautami"/>
        </w:rPr>
      </w:pPr>
      <w:r w:rsidRPr="00565CE6">
        <w:rPr>
          <w:rStyle w:val="FootnoteReference"/>
          <w:rFonts w:ascii="Gautami" w:hAnsi="Gautami" w:cs="Gautami"/>
        </w:rPr>
        <w:footnoteRef/>
      </w:r>
      <w:r w:rsidRPr="00565CE6">
        <w:rPr>
          <w:rFonts w:ascii="Gautami" w:hAnsi="Gautami" w:cs="Gautami"/>
        </w:rPr>
        <w:t xml:space="preserve"> </w:t>
      </w:r>
      <w:r>
        <w:rPr>
          <w:rFonts w:ascii="Gautami" w:hAnsi="Gautami" w:cs="Gautami"/>
        </w:rPr>
        <w:tab/>
      </w:r>
      <w:r w:rsidRPr="00565CE6">
        <w:rPr>
          <w:rFonts w:ascii="Gautami" w:hAnsi="Gautami" w:cs="Gautami"/>
        </w:rPr>
        <w:t xml:space="preserve">The NTNDP, published annually by AEMO, covers all network limitations, and possible options for relieving them, which are part of, or materially affect, the transfer capability across </w:t>
      </w:r>
      <w:r>
        <w:rPr>
          <w:rFonts w:ascii="Gautami" w:hAnsi="Gautami" w:cs="Gautami"/>
        </w:rPr>
        <w:t>n</w:t>
      </w:r>
      <w:r w:rsidRPr="00565CE6">
        <w:rPr>
          <w:rFonts w:ascii="Gautami" w:hAnsi="Gautami" w:cs="Gautami"/>
        </w:rPr>
        <w:t xml:space="preserve">ational </w:t>
      </w:r>
      <w:r>
        <w:rPr>
          <w:rFonts w:ascii="Gautami" w:hAnsi="Gautami" w:cs="Gautami"/>
        </w:rPr>
        <w:t>t</w:t>
      </w:r>
      <w:r w:rsidRPr="00565CE6">
        <w:rPr>
          <w:rFonts w:ascii="Gautami" w:hAnsi="Gautami" w:cs="Gautami"/>
        </w:rPr>
        <w:t xml:space="preserve">ransmission </w:t>
      </w:r>
      <w:r>
        <w:rPr>
          <w:rFonts w:ascii="Gautami" w:hAnsi="Gautami" w:cs="Gautami"/>
        </w:rPr>
        <w:t>f</w:t>
      </w:r>
      <w:r w:rsidRPr="00565CE6">
        <w:rPr>
          <w:rFonts w:ascii="Gautami" w:hAnsi="Gautami" w:cs="Gautami"/>
        </w:rPr>
        <w:t xml:space="preserve">low </w:t>
      </w:r>
      <w:r>
        <w:rPr>
          <w:rFonts w:ascii="Gautami" w:hAnsi="Gautami" w:cs="Gautami"/>
        </w:rPr>
        <w:t>p</w:t>
      </w:r>
      <w:r w:rsidRPr="00565CE6">
        <w:rPr>
          <w:rFonts w:ascii="Gautami" w:hAnsi="Gautami" w:cs="Gautami"/>
        </w:rPr>
        <w:t>aths. The minimum planning outlook in the NTNDP is 20 years.</w:t>
      </w:r>
    </w:p>
  </w:footnote>
  <w:footnote w:id="14">
    <w:p w:rsidR="00005B12" w:rsidRPr="00565CE6" w:rsidRDefault="00005B12" w:rsidP="00565CE6">
      <w:pPr>
        <w:pStyle w:val="FootnoteText"/>
        <w:spacing w:after="120"/>
        <w:rPr>
          <w:rFonts w:ascii="Gautami" w:hAnsi="Gautami" w:cs="Gautami"/>
        </w:rPr>
      </w:pPr>
      <w:r w:rsidRPr="00565CE6">
        <w:rPr>
          <w:rStyle w:val="FootnoteReference"/>
          <w:rFonts w:ascii="Gautami" w:hAnsi="Gautami" w:cs="Gautami"/>
        </w:rPr>
        <w:footnoteRef/>
      </w:r>
      <w:r w:rsidRPr="00565CE6">
        <w:rPr>
          <w:rFonts w:ascii="Gautami" w:hAnsi="Gautami" w:cs="Gautami"/>
        </w:rPr>
        <w:t xml:space="preserve"> </w:t>
      </w:r>
      <w:r>
        <w:rPr>
          <w:rFonts w:ascii="Gautami" w:hAnsi="Gautami" w:cs="Gautami"/>
        </w:rPr>
        <w:tab/>
      </w:r>
      <w:r w:rsidRPr="00565CE6">
        <w:rPr>
          <w:rFonts w:ascii="Gautami" w:hAnsi="Gautami" w:cs="Gautami"/>
        </w:rPr>
        <w:t>The RIT-T is a cost-benefit test which transmission businesses must undertake to assess the credible options (including non-network options) to address an identified need on their network where the cost of one of the options exceeds $5</w:t>
      </w:r>
      <w:r>
        <w:rPr>
          <w:rFonts w:ascii="Gautami" w:hAnsi="Gautami" w:cs="Gautami"/>
        </w:rPr>
        <w:t> </w:t>
      </w:r>
      <w:r w:rsidRPr="00565CE6">
        <w:rPr>
          <w:rFonts w:ascii="Gautami" w:hAnsi="Gautami" w:cs="Gautami"/>
        </w:rPr>
        <w:t>million. The preferred option is the one which maximises the economic benefit to all those who produce, consume and transport electricity in the NEM.</w:t>
      </w:r>
    </w:p>
  </w:footnote>
  <w:footnote w:id="15">
    <w:p w:rsidR="00005B12" w:rsidRPr="00565CE6" w:rsidRDefault="00005B12" w:rsidP="00565CE6">
      <w:pPr>
        <w:pStyle w:val="FootnoteText"/>
        <w:spacing w:after="120"/>
        <w:rPr>
          <w:rFonts w:ascii="Gautami" w:hAnsi="Gautami" w:cs="Gautami"/>
        </w:rPr>
      </w:pPr>
      <w:r w:rsidRPr="00565CE6">
        <w:rPr>
          <w:rStyle w:val="FootnoteReference"/>
          <w:rFonts w:ascii="Gautami" w:hAnsi="Gautami" w:cs="Gautami"/>
        </w:rPr>
        <w:footnoteRef/>
      </w:r>
      <w:r w:rsidRPr="00565CE6">
        <w:rPr>
          <w:rFonts w:ascii="Gautami" w:hAnsi="Gautami" w:cs="Gautami"/>
        </w:rPr>
        <w:t xml:space="preserve"> </w:t>
      </w:r>
      <w:r>
        <w:rPr>
          <w:rFonts w:ascii="Gautami" w:hAnsi="Gautami" w:cs="Gautami"/>
        </w:rPr>
        <w:tab/>
      </w:r>
      <w:r w:rsidRPr="00565CE6">
        <w:rPr>
          <w:rFonts w:ascii="Gautami" w:hAnsi="Gautami" w:cs="Gautami"/>
        </w:rPr>
        <w:t xml:space="preserve">Distribution businesses have similar obligations to prepare </w:t>
      </w:r>
      <w:r>
        <w:rPr>
          <w:rFonts w:ascii="Gautami" w:hAnsi="Gautami" w:cs="Gautami"/>
        </w:rPr>
        <w:t>APRs</w:t>
      </w:r>
      <w:r w:rsidRPr="00565CE6">
        <w:rPr>
          <w:rFonts w:ascii="Gautami" w:hAnsi="Gautami" w:cs="Gautami"/>
        </w:rPr>
        <w:t>.</w:t>
      </w:r>
    </w:p>
  </w:footnote>
  <w:footnote w:id="16">
    <w:p w:rsidR="00005B12" w:rsidRPr="00565CE6" w:rsidRDefault="00005B12" w:rsidP="005B5051">
      <w:pPr>
        <w:pStyle w:val="FootnoteText"/>
        <w:jc w:val="both"/>
        <w:rPr>
          <w:rFonts w:ascii="Gautami" w:hAnsi="Gautami" w:cs="Gautami"/>
        </w:rPr>
      </w:pPr>
      <w:r w:rsidRPr="00565CE6">
        <w:rPr>
          <w:rStyle w:val="FootnoteReference"/>
          <w:rFonts w:ascii="Gautami" w:hAnsi="Gautami" w:cs="Gautami"/>
        </w:rPr>
        <w:footnoteRef/>
      </w:r>
      <w:r w:rsidRPr="00565CE6">
        <w:rPr>
          <w:rFonts w:ascii="Gautami" w:hAnsi="Gautami" w:cs="Gautami"/>
        </w:rPr>
        <w:t xml:space="preserve"> </w:t>
      </w:r>
      <w:r w:rsidRPr="00565CE6">
        <w:rPr>
          <w:rFonts w:ascii="Gautami" w:hAnsi="Gautami" w:cs="Gautami"/>
        </w:rPr>
        <w:tab/>
        <w:t xml:space="preserve">Refer to Electricity Rules clauses 9.4.3 (smelter trader: </w:t>
      </w:r>
      <w:proofErr w:type="spellStart"/>
      <w:r w:rsidRPr="00565CE6">
        <w:rPr>
          <w:rFonts w:ascii="Gautami" w:hAnsi="Gautami" w:cs="Gautami"/>
        </w:rPr>
        <w:t>Vicpower</w:t>
      </w:r>
      <w:proofErr w:type="spellEnd"/>
      <w:r w:rsidRPr="00565CE6">
        <w:rPr>
          <w:rFonts w:ascii="Gautami" w:hAnsi="Gautami" w:cs="Gautami"/>
        </w:rPr>
        <w:t xml:space="preserve"> Trading), 9.12.3 (power traders: Delta Electricity and Macquarie Generation) and 9.34.6 (nominated generators: CS Energy and Stanwell Corporation).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B12" w:rsidRDefault="00005B12"/>
  <w:p w:rsidR="00005B12" w:rsidRDefault="00005B12"/>
  <w:p w:rsidR="00005B12" w:rsidRDefault="00005B12"/>
  <w:p w:rsidR="00005B12" w:rsidRDefault="00005B12"/>
  <w:p w:rsidR="00005B12" w:rsidRDefault="00005B12"/>
  <w:p w:rsidR="00005B12" w:rsidRDefault="00005B12"/>
  <w:p w:rsidR="00005B12" w:rsidRDefault="00005B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EA" w:rsidRDefault="00D46F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EA" w:rsidRDefault="00D46F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5710"/>
    <w:multiLevelType w:val="hybridMultilevel"/>
    <w:tmpl w:val="6BA8A08C"/>
    <w:lvl w:ilvl="0" w:tplc="E1CCD6E4">
      <w:numFmt w:val="bullet"/>
      <w:lvlText w:val=""/>
      <w:lvlJc w:val="left"/>
      <w:pPr>
        <w:ind w:left="720" w:hanging="360"/>
      </w:pPr>
      <w:rPr>
        <w:rFonts w:ascii="Symbol" w:eastAsiaTheme="minorHAnsi" w:hAnsi="Symbol" w:cstheme="minorBid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517D24"/>
    <w:multiLevelType w:val="hybridMultilevel"/>
    <w:tmpl w:val="66B0C8D4"/>
    <w:lvl w:ilvl="0" w:tplc="A05C8C1C">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2">
    <w:nsid w:val="183B42FF"/>
    <w:multiLevelType w:val="hybridMultilevel"/>
    <w:tmpl w:val="BCBC26CE"/>
    <w:lvl w:ilvl="0" w:tplc="0C090005">
      <w:start w:val="1"/>
      <w:numFmt w:val="bullet"/>
      <w:lvlText w:val=""/>
      <w:lvlJc w:val="left"/>
      <w:pPr>
        <w:tabs>
          <w:tab w:val="num" w:pos="360"/>
        </w:tabs>
        <w:ind w:left="360" w:hanging="360"/>
      </w:pPr>
      <w:rPr>
        <w:rFonts w:ascii="Wingdings" w:hAnsi="Wingdings" w:hint="default"/>
      </w:rPr>
    </w:lvl>
    <w:lvl w:ilvl="1" w:tplc="1414BCC6">
      <w:start w:val="1"/>
      <w:numFmt w:val="bullet"/>
      <w:lvlText w:val="–"/>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3">
    <w:nsid w:val="1A3A6266"/>
    <w:multiLevelType w:val="multilevel"/>
    <w:tmpl w:val="F6E68370"/>
    <w:lvl w:ilvl="0">
      <w:start w:val="1"/>
      <w:numFmt w:val="bullet"/>
      <w:pStyle w:val="AERbulletlistsecondstyle"/>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1CF51B20"/>
    <w:multiLevelType w:val="hybridMultilevel"/>
    <w:tmpl w:val="A8A0934C"/>
    <w:lvl w:ilvl="0" w:tplc="9782C4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9351F95"/>
    <w:multiLevelType w:val="hybridMultilevel"/>
    <w:tmpl w:val="7D7EC5EA"/>
    <w:lvl w:ilvl="0" w:tplc="0C090005">
      <w:start w:val="1"/>
      <w:numFmt w:val="bullet"/>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90003">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7">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8">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nsid w:val="3C4861EF"/>
    <w:multiLevelType w:val="hybridMultilevel"/>
    <w:tmpl w:val="9668A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721288"/>
    <w:multiLevelType w:val="multilevel"/>
    <w:tmpl w:val="1492709C"/>
    <w:numStyleLink w:val="AERHeadings"/>
  </w:abstractNum>
  <w:abstractNum w:abstractNumId="11">
    <w:nsid w:val="443F74CB"/>
    <w:multiLevelType w:val="hybridMultilevel"/>
    <w:tmpl w:val="550AFBE6"/>
    <w:lvl w:ilvl="0" w:tplc="D4F0A01E">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32F652EA">
      <w:start w:val="1"/>
      <w:numFmt w:val="bullet"/>
      <w:lvlText w:val=""/>
      <w:lvlJc w:val="left"/>
      <w:pPr>
        <w:tabs>
          <w:tab w:val="num" w:pos="4498"/>
        </w:tabs>
        <w:ind w:left="4498" w:hanging="358"/>
      </w:pPr>
      <w:rPr>
        <w:rFonts w:ascii="Wingdings" w:hAnsi="Wingdings" w:hint="default"/>
        <w:b w:val="0"/>
        <w:i w:val="0"/>
        <w:sz w:val="22"/>
      </w:rPr>
    </w:lvl>
    <w:lvl w:ilvl="2" w:tplc="5ABC4262" w:tentative="1">
      <w:start w:val="1"/>
      <w:numFmt w:val="lowerRoman"/>
      <w:lvlText w:val="%3."/>
      <w:lvlJc w:val="right"/>
      <w:pPr>
        <w:tabs>
          <w:tab w:val="num" w:pos="5220"/>
        </w:tabs>
        <w:ind w:left="5220" w:hanging="180"/>
      </w:pPr>
    </w:lvl>
    <w:lvl w:ilvl="3" w:tplc="268C5056" w:tentative="1">
      <w:start w:val="1"/>
      <w:numFmt w:val="decimal"/>
      <w:lvlText w:val="%4."/>
      <w:lvlJc w:val="left"/>
      <w:pPr>
        <w:tabs>
          <w:tab w:val="num" w:pos="5940"/>
        </w:tabs>
        <w:ind w:left="5940" w:hanging="360"/>
      </w:pPr>
    </w:lvl>
    <w:lvl w:ilvl="4" w:tplc="42CAC7D0">
      <w:start w:val="1"/>
      <w:numFmt w:val="lowerLetter"/>
      <w:lvlText w:val="%5."/>
      <w:lvlJc w:val="left"/>
      <w:pPr>
        <w:tabs>
          <w:tab w:val="num" w:pos="6660"/>
        </w:tabs>
        <w:ind w:left="6660" w:hanging="360"/>
      </w:pPr>
    </w:lvl>
    <w:lvl w:ilvl="5" w:tplc="EB7EE31A">
      <w:start w:val="1"/>
      <w:numFmt w:val="lowerRoman"/>
      <w:lvlText w:val="%6."/>
      <w:lvlJc w:val="right"/>
      <w:pPr>
        <w:tabs>
          <w:tab w:val="num" w:pos="7380"/>
        </w:tabs>
        <w:ind w:left="7380" w:hanging="180"/>
      </w:pPr>
    </w:lvl>
    <w:lvl w:ilvl="6" w:tplc="E6D86F90" w:tentative="1">
      <w:start w:val="1"/>
      <w:numFmt w:val="decimal"/>
      <w:lvlText w:val="%7."/>
      <w:lvlJc w:val="left"/>
      <w:pPr>
        <w:tabs>
          <w:tab w:val="num" w:pos="8100"/>
        </w:tabs>
        <w:ind w:left="8100" w:hanging="360"/>
      </w:pPr>
    </w:lvl>
    <w:lvl w:ilvl="7" w:tplc="882C84EC" w:tentative="1">
      <w:start w:val="1"/>
      <w:numFmt w:val="lowerLetter"/>
      <w:lvlText w:val="%8."/>
      <w:lvlJc w:val="left"/>
      <w:pPr>
        <w:tabs>
          <w:tab w:val="num" w:pos="8820"/>
        </w:tabs>
        <w:ind w:left="8820" w:hanging="360"/>
      </w:pPr>
    </w:lvl>
    <w:lvl w:ilvl="8" w:tplc="DD3E2D30" w:tentative="1">
      <w:start w:val="1"/>
      <w:numFmt w:val="lowerRoman"/>
      <w:lvlText w:val="%9."/>
      <w:lvlJc w:val="right"/>
      <w:pPr>
        <w:tabs>
          <w:tab w:val="num" w:pos="9540"/>
        </w:tabs>
        <w:ind w:left="9540" w:hanging="180"/>
      </w:pPr>
    </w:lvl>
  </w:abstractNum>
  <w:abstractNum w:abstractNumId="12">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B423AAD"/>
    <w:multiLevelType w:val="hybridMultilevel"/>
    <w:tmpl w:val="2AAC6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BF0570"/>
    <w:multiLevelType w:val="hybridMultilevel"/>
    <w:tmpl w:val="2C38EE7E"/>
    <w:lvl w:ilvl="0" w:tplc="0C090001">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6">
    <w:nsid w:val="76A149FE"/>
    <w:multiLevelType w:val="multilevel"/>
    <w:tmpl w:val="463A9BE2"/>
    <w:lvl w:ilvl="0">
      <w:start w:val="1"/>
      <w:numFmt w:val="decimal"/>
      <w:pStyle w:val="AERheading1"/>
      <w:lvlText w:val="%1"/>
      <w:lvlJc w:val="left"/>
      <w:pPr>
        <w:tabs>
          <w:tab w:val="num" w:pos="357"/>
        </w:tabs>
        <w:ind w:left="1071" w:hanging="1071"/>
      </w:pPr>
      <w:rPr>
        <w:rFonts w:hint="default"/>
      </w:rPr>
    </w:lvl>
    <w:lvl w:ilvl="1">
      <w:start w:val="1"/>
      <w:numFmt w:val="decimal"/>
      <w:pStyle w:val="AERheading2"/>
      <w:lvlText w:val="%1.%2"/>
      <w:lvlJc w:val="left"/>
      <w:pPr>
        <w:tabs>
          <w:tab w:val="num" w:pos="2484"/>
        </w:tabs>
        <w:ind w:left="2484" w:hanging="357"/>
      </w:pPr>
      <w:rPr>
        <w:rFonts w:hint="default"/>
      </w:rPr>
    </w:lvl>
    <w:lvl w:ilvl="2">
      <w:start w:val="1"/>
      <w:numFmt w:val="decimal"/>
      <w:pStyle w:val="AERheading3"/>
      <w:lvlText w:val="%1.%2.%3"/>
      <w:lvlJc w:val="left"/>
      <w:pPr>
        <w:tabs>
          <w:tab w:val="num" w:pos="357"/>
        </w:tabs>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Restart w:val="1"/>
      <w:pStyle w:val="AERfigureheading"/>
      <w:lvlText w:val="Figure %1.%4"/>
      <w:lvlJc w:val="left"/>
      <w:pPr>
        <w:tabs>
          <w:tab w:val="num" w:pos="357"/>
        </w:tabs>
        <w:ind w:left="357" w:hanging="357"/>
      </w:pPr>
      <w:rPr>
        <w:rFonts w:hint="default"/>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78B75593"/>
    <w:multiLevelType w:val="multilevel"/>
    <w:tmpl w:val="979A7758"/>
    <w:lvl w:ilvl="0">
      <w:start w:val="1"/>
      <w:numFmt w:val="decimal"/>
      <w:pStyle w:val="LegalFirstLevel"/>
      <w:lvlText w:val="%1."/>
      <w:lvlJc w:val="left"/>
      <w:pPr>
        <w:tabs>
          <w:tab w:val="num" w:pos="567"/>
        </w:tabs>
        <w:ind w:left="567" w:hanging="567"/>
      </w:pPr>
      <w:rPr>
        <w:rFonts w:hint="default"/>
      </w:rPr>
    </w:lvl>
    <w:lvl w:ilvl="1">
      <w:start w:val="1"/>
      <w:numFmt w:val="lowerLetter"/>
      <w:pStyle w:val="LegalSecondLevel"/>
      <w:lvlText w:val="(%2)"/>
      <w:lvlJc w:val="left"/>
      <w:pPr>
        <w:tabs>
          <w:tab w:val="num" w:pos="1134"/>
        </w:tabs>
        <w:ind w:left="1134" w:hanging="567"/>
      </w:pPr>
      <w:rPr>
        <w:rFonts w:hint="default"/>
      </w:rPr>
    </w:lvl>
    <w:lvl w:ilvl="2">
      <w:start w:val="1"/>
      <w:numFmt w:val="lowerRoman"/>
      <w:pStyle w:val="LegalThirdLevel"/>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14"/>
  </w:num>
  <w:num w:numId="3">
    <w:abstractNumId w:val="1"/>
  </w:num>
  <w:num w:numId="4">
    <w:abstractNumId w:val="11"/>
  </w:num>
  <w:num w:numId="5">
    <w:abstractNumId w:val="8"/>
  </w:num>
  <w:num w:numId="6">
    <w:abstractNumId w:val="15"/>
  </w:num>
  <w:num w:numId="7">
    <w:abstractNumId w:val="16"/>
  </w:num>
  <w:num w:numId="8">
    <w:abstractNumId w:val="17"/>
  </w:num>
  <w:num w:numId="9">
    <w:abstractNumId w:val="5"/>
  </w:num>
  <w:num w:numId="10">
    <w:abstractNumId w:val="7"/>
  </w:num>
  <w:num w:numId="11">
    <w:abstractNumId w:val="6"/>
  </w:num>
  <w:num w:numId="12">
    <w:abstractNumId w:val="12"/>
  </w:num>
  <w:num w:numId="13">
    <w:abstractNumId w:val="10"/>
  </w:num>
  <w:num w:numId="14">
    <w:abstractNumId w:val="16"/>
  </w:num>
  <w:num w:numId="15">
    <w:abstractNumId w:val="16"/>
  </w:num>
  <w:num w:numId="16">
    <w:abstractNumId w:val="16"/>
  </w:num>
  <w:num w:numId="17">
    <w:abstractNumId w:val="16"/>
  </w:num>
  <w:num w:numId="18">
    <w:abstractNumId w:val="0"/>
  </w:num>
  <w:num w:numId="19">
    <w:abstractNumId w:val="4"/>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6"/>
  </w:num>
  <w:num w:numId="23">
    <w:abstractNumId w:val="16"/>
  </w:num>
  <w:num w:numId="24">
    <w:abstractNumId w:val="16"/>
  </w:num>
  <w:num w:numId="25">
    <w:abstractNumId w:val="16"/>
  </w:num>
  <w:num w:numId="26">
    <w:abstractNumId w:val="16"/>
  </w:num>
  <w:num w:numId="27">
    <w:abstractNumId w:val="2"/>
  </w:num>
  <w:num w:numId="28">
    <w:abstractNumId w:val="13"/>
  </w:num>
  <w:num w:numId="29">
    <w:abstractNumId w:val="9"/>
  </w:num>
  <w:num w:numId="30">
    <w:abstractNumId w:val="16"/>
  </w:num>
  <w:num w:numId="31">
    <w:abstractNumId w:val="3"/>
  </w:num>
  <w:num w:numId="32">
    <w:abstractNumId w:val="3"/>
  </w:num>
  <w:num w:numId="33">
    <w:abstractNumId w:val="16"/>
  </w:num>
  <w:num w:numId="34">
    <w:abstractNumId w:val="16"/>
  </w:num>
  <w:num w:numId="35">
    <w:abstractNumId w:val="16"/>
  </w:num>
  <w:num w:numId="36">
    <w:abstractNumId w:val="16"/>
  </w:num>
  <w:num w:numId="37">
    <w:abstractNumId w:val="16"/>
  </w:num>
  <w:num w:numId="38">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trackRevisions/>
  <w:doNotTrackMoves/>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3758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pdodg\for upload 17 april\quarterly compliance report oct-dec 2013.docx"/>
  </w:docVars>
  <w:rsids>
    <w:rsidRoot w:val="00F75FBD"/>
    <w:rsid w:val="00000080"/>
    <w:rsid w:val="000008B3"/>
    <w:rsid w:val="00000E09"/>
    <w:rsid w:val="000014D2"/>
    <w:rsid w:val="000018CD"/>
    <w:rsid w:val="0000194E"/>
    <w:rsid w:val="00001FCA"/>
    <w:rsid w:val="000020FB"/>
    <w:rsid w:val="00002829"/>
    <w:rsid w:val="00002A76"/>
    <w:rsid w:val="00003B0A"/>
    <w:rsid w:val="00003B8C"/>
    <w:rsid w:val="00003E22"/>
    <w:rsid w:val="000042BF"/>
    <w:rsid w:val="00004578"/>
    <w:rsid w:val="0000468D"/>
    <w:rsid w:val="00004C36"/>
    <w:rsid w:val="00004F2E"/>
    <w:rsid w:val="00005725"/>
    <w:rsid w:val="000059FF"/>
    <w:rsid w:val="00005B12"/>
    <w:rsid w:val="00005DB1"/>
    <w:rsid w:val="000060ED"/>
    <w:rsid w:val="00006183"/>
    <w:rsid w:val="00006681"/>
    <w:rsid w:val="000066D8"/>
    <w:rsid w:val="000068EC"/>
    <w:rsid w:val="00006D55"/>
    <w:rsid w:val="00006E63"/>
    <w:rsid w:val="00006E66"/>
    <w:rsid w:val="000070D2"/>
    <w:rsid w:val="00007451"/>
    <w:rsid w:val="000078B2"/>
    <w:rsid w:val="00007A05"/>
    <w:rsid w:val="00007DEC"/>
    <w:rsid w:val="00010C72"/>
    <w:rsid w:val="00010E2A"/>
    <w:rsid w:val="000110D5"/>
    <w:rsid w:val="000115F6"/>
    <w:rsid w:val="00011751"/>
    <w:rsid w:val="00011913"/>
    <w:rsid w:val="00011B17"/>
    <w:rsid w:val="00011C65"/>
    <w:rsid w:val="0001232D"/>
    <w:rsid w:val="0001277E"/>
    <w:rsid w:val="00012C8B"/>
    <w:rsid w:val="0001307D"/>
    <w:rsid w:val="000139F3"/>
    <w:rsid w:val="00014B8F"/>
    <w:rsid w:val="00015040"/>
    <w:rsid w:val="000158C2"/>
    <w:rsid w:val="00015FFE"/>
    <w:rsid w:val="000161BF"/>
    <w:rsid w:val="00016924"/>
    <w:rsid w:val="00016DEF"/>
    <w:rsid w:val="00016E96"/>
    <w:rsid w:val="00017634"/>
    <w:rsid w:val="00017C33"/>
    <w:rsid w:val="00017FAD"/>
    <w:rsid w:val="000201DE"/>
    <w:rsid w:val="000204F0"/>
    <w:rsid w:val="00020AD8"/>
    <w:rsid w:val="00020D13"/>
    <w:rsid w:val="000213B6"/>
    <w:rsid w:val="00021891"/>
    <w:rsid w:val="00021990"/>
    <w:rsid w:val="00021DE4"/>
    <w:rsid w:val="00022810"/>
    <w:rsid w:val="000228BB"/>
    <w:rsid w:val="00022A77"/>
    <w:rsid w:val="00022C3F"/>
    <w:rsid w:val="00023487"/>
    <w:rsid w:val="00023543"/>
    <w:rsid w:val="000237D8"/>
    <w:rsid w:val="00023E55"/>
    <w:rsid w:val="00023F1D"/>
    <w:rsid w:val="00024271"/>
    <w:rsid w:val="00024853"/>
    <w:rsid w:val="00024ECD"/>
    <w:rsid w:val="00025D45"/>
    <w:rsid w:val="00025E0E"/>
    <w:rsid w:val="0002602A"/>
    <w:rsid w:val="000260E2"/>
    <w:rsid w:val="000261A3"/>
    <w:rsid w:val="0002626E"/>
    <w:rsid w:val="00026564"/>
    <w:rsid w:val="000267ED"/>
    <w:rsid w:val="00026C3A"/>
    <w:rsid w:val="0002765A"/>
    <w:rsid w:val="000277D9"/>
    <w:rsid w:val="0003080B"/>
    <w:rsid w:val="000308EE"/>
    <w:rsid w:val="0003098E"/>
    <w:rsid w:val="000318FE"/>
    <w:rsid w:val="00031AA8"/>
    <w:rsid w:val="00031CC9"/>
    <w:rsid w:val="00031D7C"/>
    <w:rsid w:val="000328A5"/>
    <w:rsid w:val="00032A56"/>
    <w:rsid w:val="00032BCA"/>
    <w:rsid w:val="00032C54"/>
    <w:rsid w:val="00032F9C"/>
    <w:rsid w:val="00033316"/>
    <w:rsid w:val="0003339C"/>
    <w:rsid w:val="0003345D"/>
    <w:rsid w:val="000335CA"/>
    <w:rsid w:val="00033718"/>
    <w:rsid w:val="00033B09"/>
    <w:rsid w:val="00033EA7"/>
    <w:rsid w:val="00034017"/>
    <w:rsid w:val="0003429E"/>
    <w:rsid w:val="00034438"/>
    <w:rsid w:val="000344DF"/>
    <w:rsid w:val="0003457A"/>
    <w:rsid w:val="000345D3"/>
    <w:rsid w:val="00034DF0"/>
    <w:rsid w:val="000353A5"/>
    <w:rsid w:val="000356D8"/>
    <w:rsid w:val="000357CD"/>
    <w:rsid w:val="0003586E"/>
    <w:rsid w:val="00035C9F"/>
    <w:rsid w:val="000360CE"/>
    <w:rsid w:val="0003617E"/>
    <w:rsid w:val="000361EA"/>
    <w:rsid w:val="0003626E"/>
    <w:rsid w:val="0003632C"/>
    <w:rsid w:val="00036810"/>
    <w:rsid w:val="00036ABD"/>
    <w:rsid w:val="00037322"/>
    <w:rsid w:val="000373B0"/>
    <w:rsid w:val="00037541"/>
    <w:rsid w:val="000375EE"/>
    <w:rsid w:val="00037690"/>
    <w:rsid w:val="00040414"/>
    <w:rsid w:val="000407B3"/>
    <w:rsid w:val="000413B3"/>
    <w:rsid w:val="00041D07"/>
    <w:rsid w:val="00041E93"/>
    <w:rsid w:val="00042733"/>
    <w:rsid w:val="000427C9"/>
    <w:rsid w:val="00042ADE"/>
    <w:rsid w:val="00042F04"/>
    <w:rsid w:val="00043239"/>
    <w:rsid w:val="00043981"/>
    <w:rsid w:val="0004398F"/>
    <w:rsid w:val="00043CB9"/>
    <w:rsid w:val="00044126"/>
    <w:rsid w:val="00044949"/>
    <w:rsid w:val="00044A13"/>
    <w:rsid w:val="00044DAB"/>
    <w:rsid w:val="0004540E"/>
    <w:rsid w:val="000456D1"/>
    <w:rsid w:val="00045A65"/>
    <w:rsid w:val="00045BEA"/>
    <w:rsid w:val="00045E9E"/>
    <w:rsid w:val="00046146"/>
    <w:rsid w:val="00046779"/>
    <w:rsid w:val="00046986"/>
    <w:rsid w:val="00046A92"/>
    <w:rsid w:val="00046C2F"/>
    <w:rsid w:val="00046DA1"/>
    <w:rsid w:val="000474B8"/>
    <w:rsid w:val="00047CAE"/>
    <w:rsid w:val="00050394"/>
    <w:rsid w:val="00050A33"/>
    <w:rsid w:val="00050C6C"/>
    <w:rsid w:val="00050D72"/>
    <w:rsid w:val="00051106"/>
    <w:rsid w:val="000513D6"/>
    <w:rsid w:val="0005191C"/>
    <w:rsid w:val="00051B5E"/>
    <w:rsid w:val="00051CA2"/>
    <w:rsid w:val="00051EA8"/>
    <w:rsid w:val="00052039"/>
    <w:rsid w:val="000528A5"/>
    <w:rsid w:val="00052936"/>
    <w:rsid w:val="00052C31"/>
    <w:rsid w:val="00052EA4"/>
    <w:rsid w:val="000534E9"/>
    <w:rsid w:val="000536D4"/>
    <w:rsid w:val="0005475B"/>
    <w:rsid w:val="00054A64"/>
    <w:rsid w:val="00054D3E"/>
    <w:rsid w:val="00054D66"/>
    <w:rsid w:val="00054DBF"/>
    <w:rsid w:val="00055154"/>
    <w:rsid w:val="00055C37"/>
    <w:rsid w:val="00056061"/>
    <w:rsid w:val="000561AA"/>
    <w:rsid w:val="00056665"/>
    <w:rsid w:val="00056BE0"/>
    <w:rsid w:val="00056C66"/>
    <w:rsid w:val="00057320"/>
    <w:rsid w:val="000579A7"/>
    <w:rsid w:val="000579EA"/>
    <w:rsid w:val="00057A0F"/>
    <w:rsid w:val="00057A4B"/>
    <w:rsid w:val="00060300"/>
    <w:rsid w:val="00060369"/>
    <w:rsid w:val="000603B4"/>
    <w:rsid w:val="00060A54"/>
    <w:rsid w:val="00060F51"/>
    <w:rsid w:val="00061148"/>
    <w:rsid w:val="00061BFD"/>
    <w:rsid w:val="00061D58"/>
    <w:rsid w:val="00061E11"/>
    <w:rsid w:val="00061EBD"/>
    <w:rsid w:val="00062147"/>
    <w:rsid w:val="000629AD"/>
    <w:rsid w:val="00062A21"/>
    <w:rsid w:val="00062B23"/>
    <w:rsid w:val="00062B49"/>
    <w:rsid w:val="00062B82"/>
    <w:rsid w:val="0006305A"/>
    <w:rsid w:val="0006356C"/>
    <w:rsid w:val="0006366F"/>
    <w:rsid w:val="00063ACB"/>
    <w:rsid w:val="000647B2"/>
    <w:rsid w:val="00064CD0"/>
    <w:rsid w:val="00064CDD"/>
    <w:rsid w:val="00064E6D"/>
    <w:rsid w:val="00064F93"/>
    <w:rsid w:val="000650CD"/>
    <w:rsid w:val="0006556C"/>
    <w:rsid w:val="00065B65"/>
    <w:rsid w:val="00065F42"/>
    <w:rsid w:val="0006638F"/>
    <w:rsid w:val="0006649B"/>
    <w:rsid w:val="000665EF"/>
    <w:rsid w:val="000673B3"/>
    <w:rsid w:val="00067C4A"/>
    <w:rsid w:val="00067D27"/>
    <w:rsid w:val="000702B7"/>
    <w:rsid w:val="0007067D"/>
    <w:rsid w:val="00070B59"/>
    <w:rsid w:val="00070D16"/>
    <w:rsid w:val="00070F58"/>
    <w:rsid w:val="00071615"/>
    <w:rsid w:val="00071AB5"/>
    <w:rsid w:val="00071B60"/>
    <w:rsid w:val="000727FF"/>
    <w:rsid w:val="00072A1F"/>
    <w:rsid w:val="00072A32"/>
    <w:rsid w:val="00072B95"/>
    <w:rsid w:val="00073174"/>
    <w:rsid w:val="000733BC"/>
    <w:rsid w:val="0007368B"/>
    <w:rsid w:val="00073A99"/>
    <w:rsid w:val="00073E73"/>
    <w:rsid w:val="00073EDA"/>
    <w:rsid w:val="00073F8A"/>
    <w:rsid w:val="0007401A"/>
    <w:rsid w:val="0007469B"/>
    <w:rsid w:val="00074F55"/>
    <w:rsid w:val="000751E3"/>
    <w:rsid w:val="00075262"/>
    <w:rsid w:val="0007589D"/>
    <w:rsid w:val="00075962"/>
    <w:rsid w:val="00075A85"/>
    <w:rsid w:val="00075BD0"/>
    <w:rsid w:val="00076423"/>
    <w:rsid w:val="000764FA"/>
    <w:rsid w:val="000766DD"/>
    <w:rsid w:val="00076D80"/>
    <w:rsid w:val="00076E5E"/>
    <w:rsid w:val="00077199"/>
    <w:rsid w:val="000773C3"/>
    <w:rsid w:val="00077915"/>
    <w:rsid w:val="00077FBB"/>
    <w:rsid w:val="00080370"/>
    <w:rsid w:val="0008044E"/>
    <w:rsid w:val="0008060E"/>
    <w:rsid w:val="00081D6B"/>
    <w:rsid w:val="00081DB5"/>
    <w:rsid w:val="000820D3"/>
    <w:rsid w:val="00082328"/>
    <w:rsid w:val="000825A8"/>
    <w:rsid w:val="0008294E"/>
    <w:rsid w:val="00082AD7"/>
    <w:rsid w:val="00082F32"/>
    <w:rsid w:val="00082FA8"/>
    <w:rsid w:val="00083030"/>
    <w:rsid w:val="000831D9"/>
    <w:rsid w:val="00083645"/>
    <w:rsid w:val="00083947"/>
    <w:rsid w:val="00083B2D"/>
    <w:rsid w:val="000841E6"/>
    <w:rsid w:val="00084457"/>
    <w:rsid w:val="000849AF"/>
    <w:rsid w:val="00085C27"/>
    <w:rsid w:val="00086527"/>
    <w:rsid w:val="0008677A"/>
    <w:rsid w:val="00086F1D"/>
    <w:rsid w:val="00087248"/>
    <w:rsid w:val="0008724D"/>
    <w:rsid w:val="00087974"/>
    <w:rsid w:val="00087AB5"/>
    <w:rsid w:val="00087B72"/>
    <w:rsid w:val="00087C4F"/>
    <w:rsid w:val="00087F3F"/>
    <w:rsid w:val="00090235"/>
    <w:rsid w:val="00090394"/>
    <w:rsid w:val="000906F1"/>
    <w:rsid w:val="000906F4"/>
    <w:rsid w:val="0009081C"/>
    <w:rsid w:val="00090EF3"/>
    <w:rsid w:val="0009118A"/>
    <w:rsid w:val="000911BD"/>
    <w:rsid w:val="000913F5"/>
    <w:rsid w:val="00091D14"/>
    <w:rsid w:val="00091D9E"/>
    <w:rsid w:val="00091DAD"/>
    <w:rsid w:val="00091F5F"/>
    <w:rsid w:val="00093537"/>
    <w:rsid w:val="0009394B"/>
    <w:rsid w:val="00094268"/>
    <w:rsid w:val="00094494"/>
    <w:rsid w:val="0009492F"/>
    <w:rsid w:val="00095248"/>
    <w:rsid w:val="00095BD8"/>
    <w:rsid w:val="00095FC2"/>
    <w:rsid w:val="0009623B"/>
    <w:rsid w:val="00096516"/>
    <w:rsid w:val="000967CF"/>
    <w:rsid w:val="00097455"/>
    <w:rsid w:val="00097A82"/>
    <w:rsid w:val="000A015D"/>
    <w:rsid w:val="000A040B"/>
    <w:rsid w:val="000A048C"/>
    <w:rsid w:val="000A0B02"/>
    <w:rsid w:val="000A0E1A"/>
    <w:rsid w:val="000A105F"/>
    <w:rsid w:val="000A1444"/>
    <w:rsid w:val="000A15A7"/>
    <w:rsid w:val="000A1E5F"/>
    <w:rsid w:val="000A1FF0"/>
    <w:rsid w:val="000A241E"/>
    <w:rsid w:val="000A25BF"/>
    <w:rsid w:val="000A2744"/>
    <w:rsid w:val="000A2CFE"/>
    <w:rsid w:val="000A3580"/>
    <w:rsid w:val="000A3673"/>
    <w:rsid w:val="000A36AD"/>
    <w:rsid w:val="000A37F9"/>
    <w:rsid w:val="000A394D"/>
    <w:rsid w:val="000A4B26"/>
    <w:rsid w:val="000A5343"/>
    <w:rsid w:val="000A555E"/>
    <w:rsid w:val="000A5694"/>
    <w:rsid w:val="000A5783"/>
    <w:rsid w:val="000A57A6"/>
    <w:rsid w:val="000A6520"/>
    <w:rsid w:val="000A6580"/>
    <w:rsid w:val="000A695F"/>
    <w:rsid w:val="000A6AF2"/>
    <w:rsid w:val="000A6B8D"/>
    <w:rsid w:val="000A7A40"/>
    <w:rsid w:val="000A7DCC"/>
    <w:rsid w:val="000B006E"/>
    <w:rsid w:val="000B00AB"/>
    <w:rsid w:val="000B062A"/>
    <w:rsid w:val="000B0735"/>
    <w:rsid w:val="000B076A"/>
    <w:rsid w:val="000B08BB"/>
    <w:rsid w:val="000B0A17"/>
    <w:rsid w:val="000B11E9"/>
    <w:rsid w:val="000B1D95"/>
    <w:rsid w:val="000B1D98"/>
    <w:rsid w:val="000B1F1D"/>
    <w:rsid w:val="000B21DF"/>
    <w:rsid w:val="000B27B0"/>
    <w:rsid w:val="000B2BE1"/>
    <w:rsid w:val="000B35D6"/>
    <w:rsid w:val="000B3D0E"/>
    <w:rsid w:val="000B410E"/>
    <w:rsid w:val="000B4334"/>
    <w:rsid w:val="000B4610"/>
    <w:rsid w:val="000B4684"/>
    <w:rsid w:val="000B4779"/>
    <w:rsid w:val="000B4834"/>
    <w:rsid w:val="000B4E11"/>
    <w:rsid w:val="000B5491"/>
    <w:rsid w:val="000B5C06"/>
    <w:rsid w:val="000B61D2"/>
    <w:rsid w:val="000B6221"/>
    <w:rsid w:val="000B6448"/>
    <w:rsid w:val="000B68A7"/>
    <w:rsid w:val="000B6CDB"/>
    <w:rsid w:val="000B6E40"/>
    <w:rsid w:val="000B76DA"/>
    <w:rsid w:val="000B7FD3"/>
    <w:rsid w:val="000C0570"/>
    <w:rsid w:val="000C0A21"/>
    <w:rsid w:val="000C10AE"/>
    <w:rsid w:val="000C13DF"/>
    <w:rsid w:val="000C179C"/>
    <w:rsid w:val="000C1A2C"/>
    <w:rsid w:val="000C2649"/>
    <w:rsid w:val="000C26A7"/>
    <w:rsid w:val="000C2907"/>
    <w:rsid w:val="000C29D4"/>
    <w:rsid w:val="000C2C4F"/>
    <w:rsid w:val="000C2E64"/>
    <w:rsid w:val="000C3095"/>
    <w:rsid w:val="000C3290"/>
    <w:rsid w:val="000C3780"/>
    <w:rsid w:val="000C3CF9"/>
    <w:rsid w:val="000C4083"/>
    <w:rsid w:val="000C419B"/>
    <w:rsid w:val="000C43E3"/>
    <w:rsid w:val="000C4615"/>
    <w:rsid w:val="000C4616"/>
    <w:rsid w:val="000C475D"/>
    <w:rsid w:val="000C47A8"/>
    <w:rsid w:val="000C4CDB"/>
    <w:rsid w:val="000C4DC3"/>
    <w:rsid w:val="000C561A"/>
    <w:rsid w:val="000C5D23"/>
    <w:rsid w:val="000C606D"/>
    <w:rsid w:val="000C6180"/>
    <w:rsid w:val="000C65BC"/>
    <w:rsid w:val="000C6B8F"/>
    <w:rsid w:val="000C6CB7"/>
    <w:rsid w:val="000C7C7F"/>
    <w:rsid w:val="000D0000"/>
    <w:rsid w:val="000D00E7"/>
    <w:rsid w:val="000D039C"/>
    <w:rsid w:val="000D03EF"/>
    <w:rsid w:val="000D0503"/>
    <w:rsid w:val="000D0913"/>
    <w:rsid w:val="000D16BF"/>
    <w:rsid w:val="000D1AD4"/>
    <w:rsid w:val="000D1FAC"/>
    <w:rsid w:val="000D205E"/>
    <w:rsid w:val="000D28FF"/>
    <w:rsid w:val="000D2D9C"/>
    <w:rsid w:val="000D2EC0"/>
    <w:rsid w:val="000D3510"/>
    <w:rsid w:val="000D3769"/>
    <w:rsid w:val="000D3D28"/>
    <w:rsid w:val="000D436F"/>
    <w:rsid w:val="000D50E4"/>
    <w:rsid w:val="000D52AE"/>
    <w:rsid w:val="000D556E"/>
    <w:rsid w:val="000D5859"/>
    <w:rsid w:val="000D59C5"/>
    <w:rsid w:val="000D605D"/>
    <w:rsid w:val="000D621F"/>
    <w:rsid w:val="000D6784"/>
    <w:rsid w:val="000D752A"/>
    <w:rsid w:val="000D756E"/>
    <w:rsid w:val="000E0840"/>
    <w:rsid w:val="000E0AF5"/>
    <w:rsid w:val="000E0BF3"/>
    <w:rsid w:val="000E0C64"/>
    <w:rsid w:val="000E0C8E"/>
    <w:rsid w:val="000E1820"/>
    <w:rsid w:val="000E1B63"/>
    <w:rsid w:val="000E2105"/>
    <w:rsid w:val="000E2529"/>
    <w:rsid w:val="000E2577"/>
    <w:rsid w:val="000E298C"/>
    <w:rsid w:val="000E2AD1"/>
    <w:rsid w:val="000E2F62"/>
    <w:rsid w:val="000E3710"/>
    <w:rsid w:val="000E373B"/>
    <w:rsid w:val="000E3EF2"/>
    <w:rsid w:val="000E442F"/>
    <w:rsid w:val="000E4A4E"/>
    <w:rsid w:val="000E4BF3"/>
    <w:rsid w:val="000E4EC1"/>
    <w:rsid w:val="000E4F4D"/>
    <w:rsid w:val="000E54B5"/>
    <w:rsid w:val="000E5716"/>
    <w:rsid w:val="000E574E"/>
    <w:rsid w:val="000E59B0"/>
    <w:rsid w:val="000E5AF9"/>
    <w:rsid w:val="000E5F32"/>
    <w:rsid w:val="000E61F7"/>
    <w:rsid w:val="000E670F"/>
    <w:rsid w:val="000E68D4"/>
    <w:rsid w:val="000E6A08"/>
    <w:rsid w:val="000E6CEE"/>
    <w:rsid w:val="000E6FC7"/>
    <w:rsid w:val="000E70EF"/>
    <w:rsid w:val="000E7327"/>
    <w:rsid w:val="000E76AC"/>
    <w:rsid w:val="000E78F3"/>
    <w:rsid w:val="000F01AE"/>
    <w:rsid w:val="000F0386"/>
    <w:rsid w:val="000F0828"/>
    <w:rsid w:val="000F0869"/>
    <w:rsid w:val="000F0BB8"/>
    <w:rsid w:val="000F0C89"/>
    <w:rsid w:val="000F0DE0"/>
    <w:rsid w:val="000F0FCE"/>
    <w:rsid w:val="000F0FEE"/>
    <w:rsid w:val="000F1295"/>
    <w:rsid w:val="000F1E4C"/>
    <w:rsid w:val="000F23F1"/>
    <w:rsid w:val="000F2731"/>
    <w:rsid w:val="000F29C0"/>
    <w:rsid w:val="000F2EFE"/>
    <w:rsid w:val="000F3331"/>
    <w:rsid w:val="000F3781"/>
    <w:rsid w:val="000F3D90"/>
    <w:rsid w:val="000F3F37"/>
    <w:rsid w:val="000F47A4"/>
    <w:rsid w:val="000F480F"/>
    <w:rsid w:val="000F4845"/>
    <w:rsid w:val="000F486F"/>
    <w:rsid w:val="000F4A6C"/>
    <w:rsid w:val="000F4AB7"/>
    <w:rsid w:val="000F51C8"/>
    <w:rsid w:val="000F524C"/>
    <w:rsid w:val="000F5E10"/>
    <w:rsid w:val="000F6848"/>
    <w:rsid w:val="000F6AC6"/>
    <w:rsid w:val="000F6C9E"/>
    <w:rsid w:val="000F6F6F"/>
    <w:rsid w:val="000F7093"/>
    <w:rsid w:val="000F713F"/>
    <w:rsid w:val="000F72A4"/>
    <w:rsid w:val="000F790F"/>
    <w:rsid w:val="000F7CC6"/>
    <w:rsid w:val="000F7FFD"/>
    <w:rsid w:val="00100118"/>
    <w:rsid w:val="00100288"/>
    <w:rsid w:val="00100299"/>
    <w:rsid w:val="001002C5"/>
    <w:rsid w:val="001005F2"/>
    <w:rsid w:val="00100D7C"/>
    <w:rsid w:val="00100E58"/>
    <w:rsid w:val="001011D5"/>
    <w:rsid w:val="0010147A"/>
    <w:rsid w:val="00101A76"/>
    <w:rsid w:val="00101C15"/>
    <w:rsid w:val="00101FB4"/>
    <w:rsid w:val="001020CD"/>
    <w:rsid w:val="00102195"/>
    <w:rsid w:val="001026C8"/>
    <w:rsid w:val="0010330E"/>
    <w:rsid w:val="0010334F"/>
    <w:rsid w:val="001038E3"/>
    <w:rsid w:val="00103911"/>
    <w:rsid w:val="00103B70"/>
    <w:rsid w:val="00103CD7"/>
    <w:rsid w:val="00103E59"/>
    <w:rsid w:val="00103F58"/>
    <w:rsid w:val="0010434C"/>
    <w:rsid w:val="001051D2"/>
    <w:rsid w:val="001054E2"/>
    <w:rsid w:val="001055D7"/>
    <w:rsid w:val="00105AD5"/>
    <w:rsid w:val="00105E53"/>
    <w:rsid w:val="00106BFC"/>
    <w:rsid w:val="00106D97"/>
    <w:rsid w:val="00106ED7"/>
    <w:rsid w:val="00107208"/>
    <w:rsid w:val="001073C7"/>
    <w:rsid w:val="00107771"/>
    <w:rsid w:val="001077A8"/>
    <w:rsid w:val="00107900"/>
    <w:rsid w:val="00107DAB"/>
    <w:rsid w:val="001102A2"/>
    <w:rsid w:val="00110AC8"/>
    <w:rsid w:val="00110AD8"/>
    <w:rsid w:val="00111A2C"/>
    <w:rsid w:val="00111D4C"/>
    <w:rsid w:val="00111DB3"/>
    <w:rsid w:val="00112145"/>
    <w:rsid w:val="0011224D"/>
    <w:rsid w:val="0011274A"/>
    <w:rsid w:val="00112875"/>
    <w:rsid w:val="00112CE9"/>
    <w:rsid w:val="001131A0"/>
    <w:rsid w:val="001135A8"/>
    <w:rsid w:val="001136D8"/>
    <w:rsid w:val="00113CC2"/>
    <w:rsid w:val="00114256"/>
    <w:rsid w:val="0011426F"/>
    <w:rsid w:val="00114459"/>
    <w:rsid w:val="0011452E"/>
    <w:rsid w:val="00114583"/>
    <w:rsid w:val="00114D18"/>
    <w:rsid w:val="001152D7"/>
    <w:rsid w:val="00115549"/>
    <w:rsid w:val="00115B04"/>
    <w:rsid w:val="001163F2"/>
    <w:rsid w:val="00116526"/>
    <w:rsid w:val="001165D7"/>
    <w:rsid w:val="00116BB7"/>
    <w:rsid w:val="00116E85"/>
    <w:rsid w:val="00117401"/>
    <w:rsid w:val="001174B7"/>
    <w:rsid w:val="00117B58"/>
    <w:rsid w:val="00117B72"/>
    <w:rsid w:val="00117E78"/>
    <w:rsid w:val="001201E1"/>
    <w:rsid w:val="0012073E"/>
    <w:rsid w:val="001207F7"/>
    <w:rsid w:val="00120E17"/>
    <w:rsid w:val="00120EF0"/>
    <w:rsid w:val="00120F4B"/>
    <w:rsid w:val="00121252"/>
    <w:rsid w:val="0012126C"/>
    <w:rsid w:val="00121727"/>
    <w:rsid w:val="00121AD5"/>
    <w:rsid w:val="00122036"/>
    <w:rsid w:val="001222FB"/>
    <w:rsid w:val="001224F5"/>
    <w:rsid w:val="00122577"/>
    <w:rsid w:val="001225DF"/>
    <w:rsid w:val="001231FC"/>
    <w:rsid w:val="00123318"/>
    <w:rsid w:val="00123AEE"/>
    <w:rsid w:val="0012429F"/>
    <w:rsid w:val="0012437D"/>
    <w:rsid w:val="001247CC"/>
    <w:rsid w:val="00124923"/>
    <w:rsid w:val="00124A90"/>
    <w:rsid w:val="00125429"/>
    <w:rsid w:val="001255DD"/>
    <w:rsid w:val="00125663"/>
    <w:rsid w:val="00125DEA"/>
    <w:rsid w:val="00126101"/>
    <w:rsid w:val="0012671B"/>
    <w:rsid w:val="001267BC"/>
    <w:rsid w:val="00126D4F"/>
    <w:rsid w:val="00127064"/>
    <w:rsid w:val="00127405"/>
    <w:rsid w:val="00127A0E"/>
    <w:rsid w:val="00127B5A"/>
    <w:rsid w:val="001300CB"/>
    <w:rsid w:val="00130177"/>
    <w:rsid w:val="001312C2"/>
    <w:rsid w:val="0013135E"/>
    <w:rsid w:val="0013171F"/>
    <w:rsid w:val="0013177C"/>
    <w:rsid w:val="0013182E"/>
    <w:rsid w:val="00131B81"/>
    <w:rsid w:val="00131C51"/>
    <w:rsid w:val="00131CD2"/>
    <w:rsid w:val="00132005"/>
    <w:rsid w:val="001322A8"/>
    <w:rsid w:val="00132392"/>
    <w:rsid w:val="001326AA"/>
    <w:rsid w:val="0013272B"/>
    <w:rsid w:val="001336AB"/>
    <w:rsid w:val="0013388F"/>
    <w:rsid w:val="00133B9D"/>
    <w:rsid w:val="001348EC"/>
    <w:rsid w:val="00134E16"/>
    <w:rsid w:val="00134FA5"/>
    <w:rsid w:val="001350B6"/>
    <w:rsid w:val="001357F8"/>
    <w:rsid w:val="00135DD6"/>
    <w:rsid w:val="0013687A"/>
    <w:rsid w:val="001370FE"/>
    <w:rsid w:val="00137174"/>
    <w:rsid w:val="0013782D"/>
    <w:rsid w:val="00137A9C"/>
    <w:rsid w:val="00137B64"/>
    <w:rsid w:val="00137B65"/>
    <w:rsid w:val="00137F91"/>
    <w:rsid w:val="0014048C"/>
    <w:rsid w:val="00140976"/>
    <w:rsid w:val="00140EBA"/>
    <w:rsid w:val="0014105A"/>
    <w:rsid w:val="0014105B"/>
    <w:rsid w:val="0014129D"/>
    <w:rsid w:val="001412A8"/>
    <w:rsid w:val="00141302"/>
    <w:rsid w:val="001417F2"/>
    <w:rsid w:val="00141B3C"/>
    <w:rsid w:val="00141D6A"/>
    <w:rsid w:val="00142002"/>
    <w:rsid w:val="001423BC"/>
    <w:rsid w:val="0014251E"/>
    <w:rsid w:val="00142980"/>
    <w:rsid w:val="0014299B"/>
    <w:rsid w:val="00142B06"/>
    <w:rsid w:val="00142E66"/>
    <w:rsid w:val="00143063"/>
    <w:rsid w:val="00143500"/>
    <w:rsid w:val="001439C1"/>
    <w:rsid w:val="00143DFE"/>
    <w:rsid w:val="00144535"/>
    <w:rsid w:val="00144732"/>
    <w:rsid w:val="001449F1"/>
    <w:rsid w:val="00144BB3"/>
    <w:rsid w:val="00145212"/>
    <w:rsid w:val="001452A1"/>
    <w:rsid w:val="00145702"/>
    <w:rsid w:val="00145D00"/>
    <w:rsid w:val="00145D36"/>
    <w:rsid w:val="00145FE5"/>
    <w:rsid w:val="00146536"/>
    <w:rsid w:val="00146C40"/>
    <w:rsid w:val="00146ED0"/>
    <w:rsid w:val="0014721E"/>
    <w:rsid w:val="001472F9"/>
    <w:rsid w:val="00147350"/>
    <w:rsid w:val="0014743E"/>
    <w:rsid w:val="00147563"/>
    <w:rsid w:val="00147D9F"/>
    <w:rsid w:val="0015008D"/>
    <w:rsid w:val="00150528"/>
    <w:rsid w:val="001508E3"/>
    <w:rsid w:val="00150E23"/>
    <w:rsid w:val="00151442"/>
    <w:rsid w:val="00151513"/>
    <w:rsid w:val="00151AD6"/>
    <w:rsid w:val="00152392"/>
    <w:rsid w:val="00152708"/>
    <w:rsid w:val="001528C3"/>
    <w:rsid w:val="00152EEA"/>
    <w:rsid w:val="00152EFB"/>
    <w:rsid w:val="0015340F"/>
    <w:rsid w:val="001535CE"/>
    <w:rsid w:val="00153655"/>
    <w:rsid w:val="00153EE5"/>
    <w:rsid w:val="00154192"/>
    <w:rsid w:val="00154A8C"/>
    <w:rsid w:val="00154FE1"/>
    <w:rsid w:val="0015597D"/>
    <w:rsid w:val="00155B20"/>
    <w:rsid w:val="00155B70"/>
    <w:rsid w:val="00155CDE"/>
    <w:rsid w:val="00156276"/>
    <w:rsid w:val="0015629C"/>
    <w:rsid w:val="00156896"/>
    <w:rsid w:val="00156CF1"/>
    <w:rsid w:val="00156D3B"/>
    <w:rsid w:val="0015720F"/>
    <w:rsid w:val="00157860"/>
    <w:rsid w:val="001578EC"/>
    <w:rsid w:val="001579C8"/>
    <w:rsid w:val="00157B2C"/>
    <w:rsid w:val="00157CBF"/>
    <w:rsid w:val="00157D45"/>
    <w:rsid w:val="001601CF"/>
    <w:rsid w:val="001601E3"/>
    <w:rsid w:val="00160330"/>
    <w:rsid w:val="001618FD"/>
    <w:rsid w:val="001619B0"/>
    <w:rsid w:val="00161B17"/>
    <w:rsid w:val="00161CF0"/>
    <w:rsid w:val="00161DC9"/>
    <w:rsid w:val="001620F2"/>
    <w:rsid w:val="00162156"/>
    <w:rsid w:val="00162981"/>
    <w:rsid w:val="00162A10"/>
    <w:rsid w:val="00162A5C"/>
    <w:rsid w:val="00162B31"/>
    <w:rsid w:val="00162BC3"/>
    <w:rsid w:val="001630F0"/>
    <w:rsid w:val="001631FB"/>
    <w:rsid w:val="001638E9"/>
    <w:rsid w:val="00163B60"/>
    <w:rsid w:val="0016419A"/>
    <w:rsid w:val="00164F22"/>
    <w:rsid w:val="0016502F"/>
    <w:rsid w:val="00165561"/>
    <w:rsid w:val="0016567F"/>
    <w:rsid w:val="001658FA"/>
    <w:rsid w:val="0016653B"/>
    <w:rsid w:val="0016682A"/>
    <w:rsid w:val="00166A5A"/>
    <w:rsid w:val="00166F4E"/>
    <w:rsid w:val="00167657"/>
    <w:rsid w:val="001702D5"/>
    <w:rsid w:val="00170C56"/>
    <w:rsid w:val="00170CA6"/>
    <w:rsid w:val="00170CDF"/>
    <w:rsid w:val="00170D58"/>
    <w:rsid w:val="0017185E"/>
    <w:rsid w:val="001719F2"/>
    <w:rsid w:val="00171AA3"/>
    <w:rsid w:val="00171AA4"/>
    <w:rsid w:val="00171E6C"/>
    <w:rsid w:val="001720C0"/>
    <w:rsid w:val="00172215"/>
    <w:rsid w:val="001722BC"/>
    <w:rsid w:val="001723CF"/>
    <w:rsid w:val="001725B4"/>
    <w:rsid w:val="00172DB5"/>
    <w:rsid w:val="00172FFB"/>
    <w:rsid w:val="00173239"/>
    <w:rsid w:val="00173428"/>
    <w:rsid w:val="001737E7"/>
    <w:rsid w:val="001743B2"/>
    <w:rsid w:val="001743B7"/>
    <w:rsid w:val="0017447D"/>
    <w:rsid w:val="00174538"/>
    <w:rsid w:val="00174785"/>
    <w:rsid w:val="0017493D"/>
    <w:rsid w:val="00174BF8"/>
    <w:rsid w:val="001755E1"/>
    <w:rsid w:val="00175B89"/>
    <w:rsid w:val="00175B91"/>
    <w:rsid w:val="00175CC8"/>
    <w:rsid w:val="00176188"/>
    <w:rsid w:val="001762F5"/>
    <w:rsid w:val="001765B8"/>
    <w:rsid w:val="00176717"/>
    <w:rsid w:val="00176C27"/>
    <w:rsid w:val="00177263"/>
    <w:rsid w:val="001774FE"/>
    <w:rsid w:val="001775FB"/>
    <w:rsid w:val="0017761D"/>
    <w:rsid w:val="00177D2A"/>
    <w:rsid w:val="00177E7E"/>
    <w:rsid w:val="0018009A"/>
    <w:rsid w:val="00180576"/>
    <w:rsid w:val="001807B0"/>
    <w:rsid w:val="00180A9B"/>
    <w:rsid w:val="00180D5D"/>
    <w:rsid w:val="00180ED9"/>
    <w:rsid w:val="0018181B"/>
    <w:rsid w:val="001819F9"/>
    <w:rsid w:val="00181D9A"/>
    <w:rsid w:val="00182208"/>
    <w:rsid w:val="001823CE"/>
    <w:rsid w:val="00182B53"/>
    <w:rsid w:val="001833F5"/>
    <w:rsid w:val="00183AF9"/>
    <w:rsid w:val="00183CE5"/>
    <w:rsid w:val="00183DE7"/>
    <w:rsid w:val="00183EA6"/>
    <w:rsid w:val="00184859"/>
    <w:rsid w:val="001853DD"/>
    <w:rsid w:val="0018595D"/>
    <w:rsid w:val="00185A4B"/>
    <w:rsid w:val="00185A50"/>
    <w:rsid w:val="0018635A"/>
    <w:rsid w:val="00186513"/>
    <w:rsid w:val="0018678D"/>
    <w:rsid w:val="001868EC"/>
    <w:rsid w:val="001869DB"/>
    <w:rsid w:val="00187189"/>
    <w:rsid w:val="00187456"/>
    <w:rsid w:val="00187511"/>
    <w:rsid w:val="001877AC"/>
    <w:rsid w:val="00187982"/>
    <w:rsid w:val="00187A33"/>
    <w:rsid w:val="00187D86"/>
    <w:rsid w:val="0019026A"/>
    <w:rsid w:val="001911A0"/>
    <w:rsid w:val="00191462"/>
    <w:rsid w:val="00191BD2"/>
    <w:rsid w:val="00191E9B"/>
    <w:rsid w:val="00191FF4"/>
    <w:rsid w:val="00191FF9"/>
    <w:rsid w:val="00191FFB"/>
    <w:rsid w:val="00192163"/>
    <w:rsid w:val="00192CED"/>
    <w:rsid w:val="00192DCD"/>
    <w:rsid w:val="00192FC5"/>
    <w:rsid w:val="00193254"/>
    <w:rsid w:val="001932D9"/>
    <w:rsid w:val="00193504"/>
    <w:rsid w:val="001936A2"/>
    <w:rsid w:val="00193956"/>
    <w:rsid w:val="00193A59"/>
    <w:rsid w:val="00193ABA"/>
    <w:rsid w:val="001941EF"/>
    <w:rsid w:val="001941FE"/>
    <w:rsid w:val="0019426F"/>
    <w:rsid w:val="001945A9"/>
    <w:rsid w:val="001947C7"/>
    <w:rsid w:val="00194842"/>
    <w:rsid w:val="00194961"/>
    <w:rsid w:val="00195140"/>
    <w:rsid w:val="0019517E"/>
    <w:rsid w:val="00195331"/>
    <w:rsid w:val="001957E1"/>
    <w:rsid w:val="001958D7"/>
    <w:rsid w:val="00195A65"/>
    <w:rsid w:val="00195C42"/>
    <w:rsid w:val="00196346"/>
    <w:rsid w:val="00196513"/>
    <w:rsid w:val="00196657"/>
    <w:rsid w:val="00196BF3"/>
    <w:rsid w:val="00196E26"/>
    <w:rsid w:val="0019706E"/>
    <w:rsid w:val="00197632"/>
    <w:rsid w:val="00197991"/>
    <w:rsid w:val="001A0284"/>
    <w:rsid w:val="001A0576"/>
    <w:rsid w:val="001A0B22"/>
    <w:rsid w:val="001A0F2D"/>
    <w:rsid w:val="001A0F7D"/>
    <w:rsid w:val="001A102E"/>
    <w:rsid w:val="001A10B2"/>
    <w:rsid w:val="001A13D7"/>
    <w:rsid w:val="001A1B18"/>
    <w:rsid w:val="001A1D2B"/>
    <w:rsid w:val="001A2303"/>
    <w:rsid w:val="001A254B"/>
    <w:rsid w:val="001A2B58"/>
    <w:rsid w:val="001A2E42"/>
    <w:rsid w:val="001A3227"/>
    <w:rsid w:val="001A3753"/>
    <w:rsid w:val="001A3A7F"/>
    <w:rsid w:val="001A3D8C"/>
    <w:rsid w:val="001A3EF1"/>
    <w:rsid w:val="001A3FF1"/>
    <w:rsid w:val="001A4422"/>
    <w:rsid w:val="001A52FF"/>
    <w:rsid w:val="001A5786"/>
    <w:rsid w:val="001A5942"/>
    <w:rsid w:val="001A5C13"/>
    <w:rsid w:val="001A5F35"/>
    <w:rsid w:val="001A5FDF"/>
    <w:rsid w:val="001A6378"/>
    <w:rsid w:val="001A67C9"/>
    <w:rsid w:val="001A6A96"/>
    <w:rsid w:val="001A6C6D"/>
    <w:rsid w:val="001A6D0A"/>
    <w:rsid w:val="001A7245"/>
    <w:rsid w:val="001A72F2"/>
    <w:rsid w:val="001A74C3"/>
    <w:rsid w:val="001A7598"/>
    <w:rsid w:val="001A75C2"/>
    <w:rsid w:val="001A7617"/>
    <w:rsid w:val="001A7ADD"/>
    <w:rsid w:val="001A7BA1"/>
    <w:rsid w:val="001B0238"/>
    <w:rsid w:val="001B09ED"/>
    <w:rsid w:val="001B12F5"/>
    <w:rsid w:val="001B14AD"/>
    <w:rsid w:val="001B174B"/>
    <w:rsid w:val="001B181E"/>
    <w:rsid w:val="001B1C2E"/>
    <w:rsid w:val="001B1EC4"/>
    <w:rsid w:val="001B1FBF"/>
    <w:rsid w:val="001B21A9"/>
    <w:rsid w:val="001B2489"/>
    <w:rsid w:val="001B2566"/>
    <w:rsid w:val="001B26C7"/>
    <w:rsid w:val="001B28A3"/>
    <w:rsid w:val="001B2953"/>
    <w:rsid w:val="001B2ACF"/>
    <w:rsid w:val="001B2AD3"/>
    <w:rsid w:val="001B3085"/>
    <w:rsid w:val="001B36B2"/>
    <w:rsid w:val="001B3EBA"/>
    <w:rsid w:val="001B413A"/>
    <w:rsid w:val="001B42D7"/>
    <w:rsid w:val="001B435C"/>
    <w:rsid w:val="001B4678"/>
    <w:rsid w:val="001B4762"/>
    <w:rsid w:val="001B4FF3"/>
    <w:rsid w:val="001B53E2"/>
    <w:rsid w:val="001B5415"/>
    <w:rsid w:val="001B556F"/>
    <w:rsid w:val="001B58BD"/>
    <w:rsid w:val="001B5923"/>
    <w:rsid w:val="001B5C50"/>
    <w:rsid w:val="001B5D52"/>
    <w:rsid w:val="001B621E"/>
    <w:rsid w:val="001B6680"/>
    <w:rsid w:val="001B6745"/>
    <w:rsid w:val="001B676B"/>
    <w:rsid w:val="001B744E"/>
    <w:rsid w:val="001B78E6"/>
    <w:rsid w:val="001B7F5D"/>
    <w:rsid w:val="001C00DF"/>
    <w:rsid w:val="001C04F0"/>
    <w:rsid w:val="001C05CD"/>
    <w:rsid w:val="001C0E72"/>
    <w:rsid w:val="001C1755"/>
    <w:rsid w:val="001C196E"/>
    <w:rsid w:val="001C1BE0"/>
    <w:rsid w:val="001C1D4A"/>
    <w:rsid w:val="001C2367"/>
    <w:rsid w:val="001C2570"/>
    <w:rsid w:val="001C2BEF"/>
    <w:rsid w:val="001C2ED3"/>
    <w:rsid w:val="001C3550"/>
    <w:rsid w:val="001C41EC"/>
    <w:rsid w:val="001C4876"/>
    <w:rsid w:val="001C4ECE"/>
    <w:rsid w:val="001C50A7"/>
    <w:rsid w:val="001C5302"/>
    <w:rsid w:val="001C53BD"/>
    <w:rsid w:val="001C5582"/>
    <w:rsid w:val="001C5A5A"/>
    <w:rsid w:val="001C5B0B"/>
    <w:rsid w:val="001C5C7A"/>
    <w:rsid w:val="001C60CA"/>
    <w:rsid w:val="001C61BB"/>
    <w:rsid w:val="001C6BB9"/>
    <w:rsid w:val="001C6DE1"/>
    <w:rsid w:val="001C7088"/>
    <w:rsid w:val="001C7293"/>
    <w:rsid w:val="001C734F"/>
    <w:rsid w:val="001C7600"/>
    <w:rsid w:val="001C776B"/>
    <w:rsid w:val="001D01A9"/>
    <w:rsid w:val="001D0336"/>
    <w:rsid w:val="001D044C"/>
    <w:rsid w:val="001D067E"/>
    <w:rsid w:val="001D06D2"/>
    <w:rsid w:val="001D0FDA"/>
    <w:rsid w:val="001D12BD"/>
    <w:rsid w:val="001D159B"/>
    <w:rsid w:val="001D1D07"/>
    <w:rsid w:val="001D1DCA"/>
    <w:rsid w:val="001D1E64"/>
    <w:rsid w:val="001D2239"/>
    <w:rsid w:val="001D282B"/>
    <w:rsid w:val="001D28CC"/>
    <w:rsid w:val="001D2930"/>
    <w:rsid w:val="001D3099"/>
    <w:rsid w:val="001D30C8"/>
    <w:rsid w:val="001D35EE"/>
    <w:rsid w:val="001D38CA"/>
    <w:rsid w:val="001D3AE2"/>
    <w:rsid w:val="001D41E0"/>
    <w:rsid w:val="001D4208"/>
    <w:rsid w:val="001D4CCD"/>
    <w:rsid w:val="001D52A3"/>
    <w:rsid w:val="001D57F2"/>
    <w:rsid w:val="001D5A44"/>
    <w:rsid w:val="001D5B61"/>
    <w:rsid w:val="001D5D30"/>
    <w:rsid w:val="001D606D"/>
    <w:rsid w:val="001D632C"/>
    <w:rsid w:val="001D6350"/>
    <w:rsid w:val="001D6462"/>
    <w:rsid w:val="001D69B4"/>
    <w:rsid w:val="001D6C48"/>
    <w:rsid w:val="001D7065"/>
    <w:rsid w:val="001D73E6"/>
    <w:rsid w:val="001D76B1"/>
    <w:rsid w:val="001D7C26"/>
    <w:rsid w:val="001E05B7"/>
    <w:rsid w:val="001E1AD5"/>
    <w:rsid w:val="001E24AA"/>
    <w:rsid w:val="001E26E6"/>
    <w:rsid w:val="001E2F79"/>
    <w:rsid w:val="001E3272"/>
    <w:rsid w:val="001E3552"/>
    <w:rsid w:val="001E39E4"/>
    <w:rsid w:val="001E3E9B"/>
    <w:rsid w:val="001E4030"/>
    <w:rsid w:val="001E4CD0"/>
    <w:rsid w:val="001E4DA3"/>
    <w:rsid w:val="001E4ECA"/>
    <w:rsid w:val="001E514D"/>
    <w:rsid w:val="001E5211"/>
    <w:rsid w:val="001E56A1"/>
    <w:rsid w:val="001E59C8"/>
    <w:rsid w:val="001E5CE9"/>
    <w:rsid w:val="001E6564"/>
    <w:rsid w:val="001E67C8"/>
    <w:rsid w:val="001E6F4F"/>
    <w:rsid w:val="001E7099"/>
    <w:rsid w:val="001E70D1"/>
    <w:rsid w:val="001E7210"/>
    <w:rsid w:val="001E7438"/>
    <w:rsid w:val="001E7B1A"/>
    <w:rsid w:val="001E7E67"/>
    <w:rsid w:val="001F0059"/>
    <w:rsid w:val="001F02F6"/>
    <w:rsid w:val="001F07C2"/>
    <w:rsid w:val="001F08D0"/>
    <w:rsid w:val="001F08E0"/>
    <w:rsid w:val="001F09DE"/>
    <w:rsid w:val="001F0FDC"/>
    <w:rsid w:val="001F15AE"/>
    <w:rsid w:val="001F18FD"/>
    <w:rsid w:val="001F1C45"/>
    <w:rsid w:val="001F21B9"/>
    <w:rsid w:val="001F2485"/>
    <w:rsid w:val="001F2567"/>
    <w:rsid w:val="001F2576"/>
    <w:rsid w:val="001F2A91"/>
    <w:rsid w:val="001F2CA4"/>
    <w:rsid w:val="001F2DFB"/>
    <w:rsid w:val="001F3154"/>
    <w:rsid w:val="001F31DD"/>
    <w:rsid w:val="001F3EB9"/>
    <w:rsid w:val="001F3F6F"/>
    <w:rsid w:val="001F419C"/>
    <w:rsid w:val="001F4FE7"/>
    <w:rsid w:val="001F516E"/>
    <w:rsid w:val="001F539F"/>
    <w:rsid w:val="001F5814"/>
    <w:rsid w:val="001F5B3C"/>
    <w:rsid w:val="001F5BCA"/>
    <w:rsid w:val="001F6894"/>
    <w:rsid w:val="001F6DE6"/>
    <w:rsid w:val="001F6F5A"/>
    <w:rsid w:val="001F70EA"/>
    <w:rsid w:val="001F7DF3"/>
    <w:rsid w:val="001F7E9E"/>
    <w:rsid w:val="001F7F0A"/>
    <w:rsid w:val="00200099"/>
    <w:rsid w:val="002003A5"/>
    <w:rsid w:val="0020063C"/>
    <w:rsid w:val="002008B5"/>
    <w:rsid w:val="00200A59"/>
    <w:rsid w:val="002011DB"/>
    <w:rsid w:val="00201789"/>
    <w:rsid w:val="00201886"/>
    <w:rsid w:val="002018B4"/>
    <w:rsid w:val="00201B87"/>
    <w:rsid w:val="00201BE0"/>
    <w:rsid w:val="00201C13"/>
    <w:rsid w:val="00201E5E"/>
    <w:rsid w:val="00202D7A"/>
    <w:rsid w:val="0020321C"/>
    <w:rsid w:val="00203777"/>
    <w:rsid w:val="002037F3"/>
    <w:rsid w:val="00203859"/>
    <w:rsid w:val="00203A87"/>
    <w:rsid w:val="00203C6E"/>
    <w:rsid w:val="00203CE7"/>
    <w:rsid w:val="00203E18"/>
    <w:rsid w:val="00203F13"/>
    <w:rsid w:val="0020430C"/>
    <w:rsid w:val="0020465B"/>
    <w:rsid w:val="002049B7"/>
    <w:rsid w:val="00204F71"/>
    <w:rsid w:val="002054FB"/>
    <w:rsid w:val="00205532"/>
    <w:rsid w:val="00205CB2"/>
    <w:rsid w:val="00206016"/>
    <w:rsid w:val="00206461"/>
    <w:rsid w:val="00206743"/>
    <w:rsid w:val="00206901"/>
    <w:rsid w:val="00206B26"/>
    <w:rsid w:val="00207360"/>
    <w:rsid w:val="0020762C"/>
    <w:rsid w:val="00207B67"/>
    <w:rsid w:val="0021058B"/>
    <w:rsid w:val="00210A3D"/>
    <w:rsid w:val="00210FB5"/>
    <w:rsid w:val="00210FD2"/>
    <w:rsid w:val="002110E8"/>
    <w:rsid w:val="00212261"/>
    <w:rsid w:val="0021246E"/>
    <w:rsid w:val="00212B63"/>
    <w:rsid w:val="00212D2F"/>
    <w:rsid w:val="00213289"/>
    <w:rsid w:val="002133F3"/>
    <w:rsid w:val="002137C5"/>
    <w:rsid w:val="00213CB7"/>
    <w:rsid w:val="00213E11"/>
    <w:rsid w:val="002147FF"/>
    <w:rsid w:val="0021494F"/>
    <w:rsid w:val="00214A30"/>
    <w:rsid w:val="00214D47"/>
    <w:rsid w:val="00214E04"/>
    <w:rsid w:val="00215160"/>
    <w:rsid w:val="0021519E"/>
    <w:rsid w:val="00215201"/>
    <w:rsid w:val="002155DB"/>
    <w:rsid w:val="00215631"/>
    <w:rsid w:val="00215D5D"/>
    <w:rsid w:val="00215D9E"/>
    <w:rsid w:val="00216470"/>
    <w:rsid w:val="00216893"/>
    <w:rsid w:val="002169B7"/>
    <w:rsid w:val="00216A2B"/>
    <w:rsid w:val="00216B3E"/>
    <w:rsid w:val="00216D65"/>
    <w:rsid w:val="002170FF"/>
    <w:rsid w:val="00217D57"/>
    <w:rsid w:val="002201B0"/>
    <w:rsid w:val="00220990"/>
    <w:rsid w:val="002211A4"/>
    <w:rsid w:val="00221960"/>
    <w:rsid w:val="00222736"/>
    <w:rsid w:val="00222782"/>
    <w:rsid w:val="002227D7"/>
    <w:rsid w:val="00222A06"/>
    <w:rsid w:val="00222A6E"/>
    <w:rsid w:val="00223228"/>
    <w:rsid w:val="00223288"/>
    <w:rsid w:val="00223426"/>
    <w:rsid w:val="0022392F"/>
    <w:rsid w:val="002239B6"/>
    <w:rsid w:val="00223C5B"/>
    <w:rsid w:val="00223DA3"/>
    <w:rsid w:val="00223EBC"/>
    <w:rsid w:val="00224675"/>
    <w:rsid w:val="0022483C"/>
    <w:rsid w:val="00224852"/>
    <w:rsid w:val="00224AA9"/>
    <w:rsid w:val="002251E0"/>
    <w:rsid w:val="002252C8"/>
    <w:rsid w:val="00225397"/>
    <w:rsid w:val="00225B19"/>
    <w:rsid w:val="00225B7F"/>
    <w:rsid w:val="0022604D"/>
    <w:rsid w:val="0022689C"/>
    <w:rsid w:val="00226947"/>
    <w:rsid w:val="00226C19"/>
    <w:rsid w:val="0022755E"/>
    <w:rsid w:val="002275FE"/>
    <w:rsid w:val="00227F82"/>
    <w:rsid w:val="0023060B"/>
    <w:rsid w:val="0023101E"/>
    <w:rsid w:val="00231024"/>
    <w:rsid w:val="002319B5"/>
    <w:rsid w:val="00231F8C"/>
    <w:rsid w:val="002324B5"/>
    <w:rsid w:val="002327AA"/>
    <w:rsid w:val="002329A3"/>
    <w:rsid w:val="00232D66"/>
    <w:rsid w:val="002330C0"/>
    <w:rsid w:val="002332D6"/>
    <w:rsid w:val="00233614"/>
    <w:rsid w:val="00233708"/>
    <w:rsid w:val="00234428"/>
    <w:rsid w:val="0023567C"/>
    <w:rsid w:val="002356E7"/>
    <w:rsid w:val="002359A0"/>
    <w:rsid w:val="0023612A"/>
    <w:rsid w:val="002361F8"/>
    <w:rsid w:val="00236801"/>
    <w:rsid w:val="002369E8"/>
    <w:rsid w:val="00236A4B"/>
    <w:rsid w:val="0024029A"/>
    <w:rsid w:val="002403EA"/>
    <w:rsid w:val="00240A6C"/>
    <w:rsid w:val="00240AA5"/>
    <w:rsid w:val="00240E5C"/>
    <w:rsid w:val="00240FFE"/>
    <w:rsid w:val="00241160"/>
    <w:rsid w:val="00241649"/>
    <w:rsid w:val="002419A8"/>
    <w:rsid w:val="00241B1F"/>
    <w:rsid w:val="00241BB4"/>
    <w:rsid w:val="00241C07"/>
    <w:rsid w:val="00241E39"/>
    <w:rsid w:val="002420CD"/>
    <w:rsid w:val="002427D4"/>
    <w:rsid w:val="002427E6"/>
    <w:rsid w:val="00242E6B"/>
    <w:rsid w:val="00243176"/>
    <w:rsid w:val="00243284"/>
    <w:rsid w:val="00243313"/>
    <w:rsid w:val="002437A1"/>
    <w:rsid w:val="002437FD"/>
    <w:rsid w:val="0024397E"/>
    <w:rsid w:val="002439DC"/>
    <w:rsid w:val="00243E0F"/>
    <w:rsid w:val="00243E90"/>
    <w:rsid w:val="0024496B"/>
    <w:rsid w:val="00244BF9"/>
    <w:rsid w:val="00244C40"/>
    <w:rsid w:val="0024504E"/>
    <w:rsid w:val="002450F9"/>
    <w:rsid w:val="00245593"/>
    <w:rsid w:val="00245A34"/>
    <w:rsid w:val="002468B8"/>
    <w:rsid w:val="00246BC1"/>
    <w:rsid w:val="00246E21"/>
    <w:rsid w:val="00247723"/>
    <w:rsid w:val="002477F5"/>
    <w:rsid w:val="00247877"/>
    <w:rsid w:val="00247CFB"/>
    <w:rsid w:val="00250091"/>
    <w:rsid w:val="002500F7"/>
    <w:rsid w:val="00250792"/>
    <w:rsid w:val="00250CAA"/>
    <w:rsid w:val="00250EF8"/>
    <w:rsid w:val="00251199"/>
    <w:rsid w:val="0025136B"/>
    <w:rsid w:val="00251749"/>
    <w:rsid w:val="00251C05"/>
    <w:rsid w:val="00251E33"/>
    <w:rsid w:val="00251FE8"/>
    <w:rsid w:val="0025299C"/>
    <w:rsid w:val="00252A95"/>
    <w:rsid w:val="00253324"/>
    <w:rsid w:val="002535BC"/>
    <w:rsid w:val="002538E8"/>
    <w:rsid w:val="0025391E"/>
    <w:rsid w:val="002542B8"/>
    <w:rsid w:val="0025434F"/>
    <w:rsid w:val="002544D9"/>
    <w:rsid w:val="00254B6C"/>
    <w:rsid w:val="00254FBC"/>
    <w:rsid w:val="00255D14"/>
    <w:rsid w:val="002568F5"/>
    <w:rsid w:val="002569F3"/>
    <w:rsid w:val="00256A1E"/>
    <w:rsid w:val="00256A2A"/>
    <w:rsid w:val="00256EE5"/>
    <w:rsid w:val="00256F9C"/>
    <w:rsid w:val="00256FAB"/>
    <w:rsid w:val="0025798D"/>
    <w:rsid w:val="00257CE6"/>
    <w:rsid w:val="00257D0A"/>
    <w:rsid w:val="00260AF3"/>
    <w:rsid w:val="00261199"/>
    <w:rsid w:val="00261A89"/>
    <w:rsid w:val="002624BC"/>
    <w:rsid w:val="00263D22"/>
    <w:rsid w:val="00264270"/>
    <w:rsid w:val="0026465E"/>
    <w:rsid w:val="00264C84"/>
    <w:rsid w:val="00264E53"/>
    <w:rsid w:val="0026518C"/>
    <w:rsid w:val="002651A6"/>
    <w:rsid w:val="00265D33"/>
    <w:rsid w:val="00265F71"/>
    <w:rsid w:val="0026670E"/>
    <w:rsid w:val="00266768"/>
    <w:rsid w:val="002667E3"/>
    <w:rsid w:val="00266A39"/>
    <w:rsid w:val="00266B8B"/>
    <w:rsid w:val="00266CBB"/>
    <w:rsid w:val="00267995"/>
    <w:rsid w:val="00270123"/>
    <w:rsid w:val="00270A21"/>
    <w:rsid w:val="00270CB2"/>
    <w:rsid w:val="00270E4F"/>
    <w:rsid w:val="00270F6C"/>
    <w:rsid w:val="00271A6E"/>
    <w:rsid w:val="00271C8E"/>
    <w:rsid w:val="002721F1"/>
    <w:rsid w:val="00272536"/>
    <w:rsid w:val="0027263C"/>
    <w:rsid w:val="00272A20"/>
    <w:rsid w:val="00272D47"/>
    <w:rsid w:val="002735F7"/>
    <w:rsid w:val="002738A4"/>
    <w:rsid w:val="00273914"/>
    <w:rsid w:val="0027399A"/>
    <w:rsid w:val="00273AF7"/>
    <w:rsid w:val="00274373"/>
    <w:rsid w:val="00274AAE"/>
    <w:rsid w:val="00274BCB"/>
    <w:rsid w:val="00274BE0"/>
    <w:rsid w:val="00274D3A"/>
    <w:rsid w:val="00275255"/>
    <w:rsid w:val="00275351"/>
    <w:rsid w:val="002761E3"/>
    <w:rsid w:val="002768DF"/>
    <w:rsid w:val="00276916"/>
    <w:rsid w:val="00276B89"/>
    <w:rsid w:val="00276C91"/>
    <w:rsid w:val="00277017"/>
    <w:rsid w:val="002770D0"/>
    <w:rsid w:val="0027727C"/>
    <w:rsid w:val="0027787F"/>
    <w:rsid w:val="00277A6C"/>
    <w:rsid w:val="00277E33"/>
    <w:rsid w:val="0028077E"/>
    <w:rsid w:val="0028080B"/>
    <w:rsid w:val="00280A5C"/>
    <w:rsid w:val="00280C7A"/>
    <w:rsid w:val="00280D63"/>
    <w:rsid w:val="002816C6"/>
    <w:rsid w:val="00282302"/>
    <w:rsid w:val="002823A6"/>
    <w:rsid w:val="002823CC"/>
    <w:rsid w:val="002824D9"/>
    <w:rsid w:val="00282651"/>
    <w:rsid w:val="002829CE"/>
    <w:rsid w:val="00282B0B"/>
    <w:rsid w:val="0028316F"/>
    <w:rsid w:val="0028333B"/>
    <w:rsid w:val="0028364C"/>
    <w:rsid w:val="00283674"/>
    <w:rsid w:val="00283AD7"/>
    <w:rsid w:val="00284002"/>
    <w:rsid w:val="00284274"/>
    <w:rsid w:val="0028436E"/>
    <w:rsid w:val="00284450"/>
    <w:rsid w:val="002844B3"/>
    <w:rsid w:val="002846E4"/>
    <w:rsid w:val="00284743"/>
    <w:rsid w:val="00284BA2"/>
    <w:rsid w:val="00284DD6"/>
    <w:rsid w:val="002851FE"/>
    <w:rsid w:val="00285320"/>
    <w:rsid w:val="002853D9"/>
    <w:rsid w:val="002859AD"/>
    <w:rsid w:val="00285A47"/>
    <w:rsid w:val="00285EC2"/>
    <w:rsid w:val="0028634B"/>
    <w:rsid w:val="002866BC"/>
    <w:rsid w:val="00286AB1"/>
    <w:rsid w:val="00286F65"/>
    <w:rsid w:val="00287B12"/>
    <w:rsid w:val="00290AD9"/>
    <w:rsid w:val="00290AF1"/>
    <w:rsid w:val="00290C26"/>
    <w:rsid w:val="00291B17"/>
    <w:rsid w:val="00291C26"/>
    <w:rsid w:val="00291E72"/>
    <w:rsid w:val="00292339"/>
    <w:rsid w:val="00292E04"/>
    <w:rsid w:val="00293187"/>
    <w:rsid w:val="0029351C"/>
    <w:rsid w:val="00293541"/>
    <w:rsid w:val="00293871"/>
    <w:rsid w:val="00293B0E"/>
    <w:rsid w:val="00294CEF"/>
    <w:rsid w:val="00294E06"/>
    <w:rsid w:val="002958CF"/>
    <w:rsid w:val="00295B5D"/>
    <w:rsid w:val="00295BF6"/>
    <w:rsid w:val="00295D28"/>
    <w:rsid w:val="00296221"/>
    <w:rsid w:val="00296DA3"/>
    <w:rsid w:val="00297526"/>
    <w:rsid w:val="00297C90"/>
    <w:rsid w:val="00297F41"/>
    <w:rsid w:val="00297FB3"/>
    <w:rsid w:val="002A001B"/>
    <w:rsid w:val="002A00AB"/>
    <w:rsid w:val="002A023D"/>
    <w:rsid w:val="002A0297"/>
    <w:rsid w:val="002A047A"/>
    <w:rsid w:val="002A07E9"/>
    <w:rsid w:val="002A1C98"/>
    <w:rsid w:val="002A2739"/>
    <w:rsid w:val="002A2DA0"/>
    <w:rsid w:val="002A34CE"/>
    <w:rsid w:val="002A3673"/>
    <w:rsid w:val="002A3674"/>
    <w:rsid w:val="002A3775"/>
    <w:rsid w:val="002A381D"/>
    <w:rsid w:val="002A38C5"/>
    <w:rsid w:val="002A3DDF"/>
    <w:rsid w:val="002A4385"/>
    <w:rsid w:val="002A4681"/>
    <w:rsid w:val="002A4D82"/>
    <w:rsid w:val="002A4E22"/>
    <w:rsid w:val="002A4FA7"/>
    <w:rsid w:val="002A54B6"/>
    <w:rsid w:val="002A5723"/>
    <w:rsid w:val="002A57CD"/>
    <w:rsid w:val="002A5B9C"/>
    <w:rsid w:val="002A679C"/>
    <w:rsid w:val="002A7667"/>
    <w:rsid w:val="002A766F"/>
    <w:rsid w:val="002A7901"/>
    <w:rsid w:val="002A7D88"/>
    <w:rsid w:val="002B0068"/>
    <w:rsid w:val="002B02DE"/>
    <w:rsid w:val="002B030A"/>
    <w:rsid w:val="002B0CC5"/>
    <w:rsid w:val="002B1046"/>
    <w:rsid w:val="002B1119"/>
    <w:rsid w:val="002B132D"/>
    <w:rsid w:val="002B1376"/>
    <w:rsid w:val="002B1394"/>
    <w:rsid w:val="002B19AF"/>
    <w:rsid w:val="002B1E66"/>
    <w:rsid w:val="002B240B"/>
    <w:rsid w:val="002B2603"/>
    <w:rsid w:val="002B27E8"/>
    <w:rsid w:val="002B2CC7"/>
    <w:rsid w:val="002B2E85"/>
    <w:rsid w:val="002B3447"/>
    <w:rsid w:val="002B3627"/>
    <w:rsid w:val="002B3BCE"/>
    <w:rsid w:val="002B43C4"/>
    <w:rsid w:val="002B4F07"/>
    <w:rsid w:val="002B5479"/>
    <w:rsid w:val="002B58EF"/>
    <w:rsid w:val="002B5DBC"/>
    <w:rsid w:val="002B646E"/>
    <w:rsid w:val="002B684F"/>
    <w:rsid w:val="002B6C4E"/>
    <w:rsid w:val="002B6CC8"/>
    <w:rsid w:val="002B6DF9"/>
    <w:rsid w:val="002B7160"/>
    <w:rsid w:val="002B7CC1"/>
    <w:rsid w:val="002B7F40"/>
    <w:rsid w:val="002C0228"/>
    <w:rsid w:val="002C0690"/>
    <w:rsid w:val="002C073B"/>
    <w:rsid w:val="002C130A"/>
    <w:rsid w:val="002C147F"/>
    <w:rsid w:val="002C1694"/>
    <w:rsid w:val="002C1B4D"/>
    <w:rsid w:val="002C1BD6"/>
    <w:rsid w:val="002C1E20"/>
    <w:rsid w:val="002C1E42"/>
    <w:rsid w:val="002C2AEC"/>
    <w:rsid w:val="002C2E1F"/>
    <w:rsid w:val="002C33FB"/>
    <w:rsid w:val="002C34B5"/>
    <w:rsid w:val="002C3511"/>
    <w:rsid w:val="002C3CD8"/>
    <w:rsid w:val="002C4196"/>
    <w:rsid w:val="002C4A55"/>
    <w:rsid w:val="002C4E6D"/>
    <w:rsid w:val="002C55A4"/>
    <w:rsid w:val="002C5626"/>
    <w:rsid w:val="002C5710"/>
    <w:rsid w:val="002C57C7"/>
    <w:rsid w:val="002C57E8"/>
    <w:rsid w:val="002C59BB"/>
    <w:rsid w:val="002C5B40"/>
    <w:rsid w:val="002C5C27"/>
    <w:rsid w:val="002C60B2"/>
    <w:rsid w:val="002C636D"/>
    <w:rsid w:val="002C6EA6"/>
    <w:rsid w:val="002C6F4C"/>
    <w:rsid w:val="002C7158"/>
    <w:rsid w:val="002C7688"/>
    <w:rsid w:val="002C7858"/>
    <w:rsid w:val="002C7BFA"/>
    <w:rsid w:val="002C7C47"/>
    <w:rsid w:val="002C7D56"/>
    <w:rsid w:val="002C7EC2"/>
    <w:rsid w:val="002C7FDC"/>
    <w:rsid w:val="002D0251"/>
    <w:rsid w:val="002D13D1"/>
    <w:rsid w:val="002D1824"/>
    <w:rsid w:val="002D1B14"/>
    <w:rsid w:val="002D1F01"/>
    <w:rsid w:val="002D228F"/>
    <w:rsid w:val="002D2448"/>
    <w:rsid w:val="002D2A35"/>
    <w:rsid w:val="002D30D5"/>
    <w:rsid w:val="002D341F"/>
    <w:rsid w:val="002D3A00"/>
    <w:rsid w:val="002D3DFB"/>
    <w:rsid w:val="002D49C9"/>
    <w:rsid w:val="002D55A6"/>
    <w:rsid w:val="002D5760"/>
    <w:rsid w:val="002D7091"/>
    <w:rsid w:val="002D7262"/>
    <w:rsid w:val="002D7266"/>
    <w:rsid w:val="002D72B9"/>
    <w:rsid w:val="002D7954"/>
    <w:rsid w:val="002E000E"/>
    <w:rsid w:val="002E0464"/>
    <w:rsid w:val="002E096B"/>
    <w:rsid w:val="002E10D9"/>
    <w:rsid w:val="002E12AC"/>
    <w:rsid w:val="002E135D"/>
    <w:rsid w:val="002E154D"/>
    <w:rsid w:val="002E15A6"/>
    <w:rsid w:val="002E1641"/>
    <w:rsid w:val="002E164C"/>
    <w:rsid w:val="002E1729"/>
    <w:rsid w:val="002E18AD"/>
    <w:rsid w:val="002E1BBD"/>
    <w:rsid w:val="002E1D3A"/>
    <w:rsid w:val="002E21B5"/>
    <w:rsid w:val="002E24F6"/>
    <w:rsid w:val="002E2C0E"/>
    <w:rsid w:val="002E2DB9"/>
    <w:rsid w:val="002E3072"/>
    <w:rsid w:val="002E3127"/>
    <w:rsid w:val="002E3425"/>
    <w:rsid w:val="002E3565"/>
    <w:rsid w:val="002E37BD"/>
    <w:rsid w:val="002E3E11"/>
    <w:rsid w:val="002E4263"/>
    <w:rsid w:val="002E44B1"/>
    <w:rsid w:val="002E46E5"/>
    <w:rsid w:val="002E4B52"/>
    <w:rsid w:val="002E4FCC"/>
    <w:rsid w:val="002E5878"/>
    <w:rsid w:val="002E593D"/>
    <w:rsid w:val="002E5B21"/>
    <w:rsid w:val="002E5E02"/>
    <w:rsid w:val="002E68CC"/>
    <w:rsid w:val="002E6A5E"/>
    <w:rsid w:val="002E6BE6"/>
    <w:rsid w:val="002E6F59"/>
    <w:rsid w:val="002E72EB"/>
    <w:rsid w:val="002E746C"/>
    <w:rsid w:val="002E7824"/>
    <w:rsid w:val="002E7B04"/>
    <w:rsid w:val="002E7C34"/>
    <w:rsid w:val="002F0541"/>
    <w:rsid w:val="002F05B0"/>
    <w:rsid w:val="002F076A"/>
    <w:rsid w:val="002F095A"/>
    <w:rsid w:val="002F0A0E"/>
    <w:rsid w:val="002F13F5"/>
    <w:rsid w:val="002F159B"/>
    <w:rsid w:val="002F1646"/>
    <w:rsid w:val="002F1CA2"/>
    <w:rsid w:val="002F1CFC"/>
    <w:rsid w:val="002F1F90"/>
    <w:rsid w:val="002F317C"/>
    <w:rsid w:val="002F3235"/>
    <w:rsid w:val="002F36C0"/>
    <w:rsid w:val="002F3EEA"/>
    <w:rsid w:val="002F42BE"/>
    <w:rsid w:val="002F459E"/>
    <w:rsid w:val="002F46CC"/>
    <w:rsid w:val="002F480E"/>
    <w:rsid w:val="002F487C"/>
    <w:rsid w:val="002F4A9D"/>
    <w:rsid w:val="002F4EA1"/>
    <w:rsid w:val="002F52B9"/>
    <w:rsid w:val="002F56BA"/>
    <w:rsid w:val="002F645C"/>
    <w:rsid w:val="002F655B"/>
    <w:rsid w:val="002F6D09"/>
    <w:rsid w:val="002F6F7B"/>
    <w:rsid w:val="002F749A"/>
    <w:rsid w:val="002F787E"/>
    <w:rsid w:val="002F7E43"/>
    <w:rsid w:val="00300065"/>
    <w:rsid w:val="003003D6"/>
    <w:rsid w:val="00300440"/>
    <w:rsid w:val="0030084A"/>
    <w:rsid w:val="00300D30"/>
    <w:rsid w:val="00300F5E"/>
    <w:rsid w:val="003016DF"/>
    <w:rsid w:val="003019C7"/>
    <w:rsid w:val="0030207B"/>
    <w:rsid w:val="00302472"/>
    <w:rsid w:val="00302619"/>
    <w:rsid w:val="003029BB"/>
    <w:rsid w:val="00302F0A"/>
    <w:rsid w:val="00303958"/>
    <w:rsid w:val="00303B10"/>
    <w:rsid w:val="00303D74"/>
    <w:rsid w:val="00303F16"/>
    <w:rsid w:val="00303FA0"/>
    <w:rsid w:val="00304045"/>
    <w:rsid w:val="003040CA"/>
    <w:rsid w:val="0030451B"/>
    <w:rsid w:val="00304552"/>
    <w:rsid w:val="00304A9E"/>
    <w:rsid w:val="00304C2B"/>
    <w:rsid w:val="00304C7B"/>
    <w:rsid w:val="00304E54"/>
    <w:rsid w:val="003053EA"/>
    <w:rsid w:val="00305604"/>
    <w:rsid w:val="00305A13"/>
    <w:rsid w:val="00305AAA"/>
    <w:rsid w:val="00305F23"/>
    <w:rsid w:val="00305F46"/>
    <w:rsid w:val="00306192"/>
    <w:rsid w:val="003066B3"/>
    <w:rsid w:val="00306A4C"/>
    <w:rsid w:val="00306DDE"/>
    <w:rsid w:val="00307B80"/>
    <w:rsid w:val="00307CE8"/>
    <w:rsid w:val="00307CEA"/>
    <w:rsid w:val="0031009A"/>
    <w:rsid w:val="003102D1"/>
    <w:rsid w:val="00310806"/>
    <w:rsid w:val="00310BF3"/>
    <w:rsid w:val="00310E41"/>
    <w:rsid w:val="00310EAA"/>
    <w:rsid w:val="003115E3"/>
    <w:rsid w:val="003117EA"/>
    <w:rsid w:val="0031180C"/>
    <w:rsid w:val="00311FA9"/>
    <w:rsid w:val="003130BF"/>
    <w:rsid w:val="003131A4"/>
    <w:rsid w:val="003131E3"/>
    <w:rsid w:val="003134C2"/>
    <w:rsid w:val="00313505"/>
    <w:rsid w:val="00313755"/>
    <w:rsid w:val="0031395F"/>
    <w:rsid w:val="00313A16"/>
    <w:rsid w:val="00313E7E"/>
    <w:rsid w:val="00314059"/>
    <w:rsid w:val="0031484B"/>
    <w:rsid w:val="00314C4E"/>
    <w:rsid w:val="00315129"/>
    <w:rsid w:val="003152E6"/>
    <w:rsid w:val="00315635"/>
    <w:rsid w:val="003156E0"/>
    <w:rsid w:val="003158F0"/>
    <w:rsid w:val="00315DBD"/>
    <w:rsid w:val="00316011"/>
    <w:rsid w:val="00316234"/>
    <w:rsid w:val="003167FE"/>
    <w:rsid w:val="00316C93"/>
    <w:rsid w:val="00316D24"/>
    <w:rsid w:val="00317148"/>
    <w:rsid w:val="00317665"/>
    <w:rsid w:val="00317962"/>
    <w:rsid w:val="00317D28"/>
    <w:rsid w:val="00317D93"/>
    <w:rsid w:val="00317FC8"/>
    <w:rsid w:val="00320A37"/>
    <w:rsid w:val="00320E76"/>
    <w:rsid w:val="003210A6"/>
    <w:rsid w:val="003210EC"/>
    <w:rsid w:val="0032120A"/>
    <w:rsid w:val="00321CED"/>
    <w:rsid w:val="00322201"/>
    <w:rsid w:val="003222E4"/>
    <w:rsid w:val="003223ED"/>
    <w:rsid w:val="00322A53"/>
    <w:rsid w:val="00322E10"/>
    <w:rsid w:val="00322F3F"/>
    <w:rsid w:val="003234D5"/>
    <w:rsid w:val="0032352F"/>
    <w:rsid w:val="003236D8"/>
    <w:rsid w:val="00323B70"/>
    <w:rsid w:val="00323E67"/>
    <w:rsid w:val="00323E92"/>
    <w:rsid w:val="00324313"/>
    <w:rsid w:val="0032483B"/>
    <w:rsid w:val="00324EF3"/>
    <w:rsid w:val="003258B9"/>
    <w:rsid w:val="00325BB1"/>
    <w:rsid w:val="0032602B"/>
    <w:rsid w:val="0032628A"/>
    <w:rsid w:val="003268DC"/>
    <w:rsid w:val="00326B54"/>
    <w:rsid w:val="00326E56"/>
    <w:rsid w:val="00326E7F"/>
    <w:rsid w:val="00327A24"/>
    <w:rsid w:val="00327AD1"/>
    <w:rsid w:val="003303F8"/>
    <w:rsid w:val="00330C74"/>
    <w:rsid w:val="00330CF7"/>
    <w:rsid w:val="00330DBE"/>
    <w:rsid w:val="00331043"/>
    <w:rsid w:val="003314C7"/>
    <w:rsid w:val="00331520"/>
    <w:rsid w:val="00331AEB"/>
    <w:rsid w:val="00331D86"/>
    <w:rsid w:val="00331F92"/>
    <w:rsid w:val="0033253B"/>
    <w:rsid w:val="00332A3C"/>
    <w:rsid w:val="00332A88"/>
    <w:rsid w:val="00332ED9"/>
    <w:rsid w:val="00332F8F"/>
    <w:rsid w:val="00333027"/>
    <w:rsid w:val="00333446"/>
    <w:rsid w:val="00333587"/>
    <w:rsid w:val="00333908"/>
    <w:rsid w:val="00333C52"/>
    <w:rsid w:val="00333EFA"/>
    <w:rsid w:val="0033417F"/>
    <w:rsid w:val="003348EE"/>
    <w:rsid w:val="00334EDE"/>
    <w:rsid w:val="003350FE"/>
    <w:rsid w:val="0033514A"/>
    <w:rsid w:val="00335572"/>
    <w:rsid w:val="003357AC"/>
    <w:rsid w:val="0033586A"/>
    <w:rsid w:val="00335E4B"/>
    <w:rsid w:val="00335FFF"/>
    <w:rsid w:val="0033607E"/>
    <w:rsid w:val="0033609C"/>
    <w:rsid w:val="003361E9"/>
    <w:rsid w:val="00336344"/>
    <w:rsid w:val="00336676"/>
    <w:rsid w:val="0033683D"/>
    <w:rsid w:val="003368E6"/>
    <w:rsid w:val="00336D09"/>
    <w:rsid w:val="003400C3"/>
    <w:rsid w:val="00340162"/>
    <w:rsid w:val="003403A7"/>
    <w:rsid w:val="003403C1"/>
    <w:rsid w:val="003406C5"/>
    <w:rsid w:val="00340FF1"/>
    <w:rsid w:val="00341336"/>
    <w:rsid w:val="003414FD"/>
    <w:rsid w:val="003417AB"/>
    <w:rsid w:val="00341B94"/>
    <w:rsid w:val="00342031"/>
    <w:rsid w:val="003422AA"/>
    <w:rsid w:val="003422EA"/>
    <w:rsid w:val="00342319"/>
    <w:rsid w:val="0034238D"/>
    <w:rsid w:val="0034268D"/>
    <w:rsid w:val="00342FC3"/>
    <w:rsid w:val="00342FE6"/>
    <w:rsid w:val="00343616"/>
    <w:rsid w:val="00343903"/>
    <w:rsid w:val="00343BF8"/>
    <w:rsid w:val="00343EB8"/>
    <w:rsid w:val="0034465D"/>
    <w:rsid w:val="003447FE"/>
    <w:rsid w:val="0034504C"/>
    <w:rsid w:val="0034528E"/>
    <w:rsid w:val="00345A7B"/>
    <w:rsid w:val="00345C0B"/>
    <w:rsid w:val="00345E1B"/>
    <w:rsid w:val="003461DC"/>
    <w:rsid w:val="0034646A"/>
    <w:rsid w:val="003464D5"/>
    <w:rsid w:val="0034661F"/>
    <w:rsid w:val="00346D5B"/>
    <w:rsid w:val="00346F75"/>
    <w:rsid w:val="003470B8"/>
    <w:rsid w:val="0034778C"/>
    <w:rsid w:val="00347899"/>
    <w:rsid w:val="003502E9"/>
    <w:rsid w:val="0035032A"/>
    <w:rsid w:val="00350581"/>
    <w:rsid w:val="0035087E"/>
    <w:rsid w:val="00350C53"/>
    <w:rsid w:val="00350CBB"/>
    <w:rsid w:val="00350E71"/>
    <w:rsid w:val="00350E90"/>
    <w:rsid w:val="00351230"/>
    <w:rsid w:val="003516D7"/>
    <w:rsid w:val="003518D5"/>
    <w:rsid w:val="00351A4D"/>
    <w:rsid w:val="00351B9E"/>
    <w:rsid w:val="003526A5"/>
    <w:rsid w:val="003528E9"/>
    <w:rsid w:val="00353154"/>
    <w:rsid w:val="00353621"/>
    <w:rsid w:val="003537D5"/>
    <w:rsid w:val="00353964"/>
    <w:rsid w:val="00353A47"/>
    <w:rsid w:val="00353AAA"/>
    <w:rsid w:val="00353ADA"/>
    <w:rsid w:val="00353C7E"/>
    <w:rsid w:val="003543B8"/>
    <w:rsid w:val="00354780"/>
    <w:rsid w:val="0035485A"/>
    <w:rsid w:val="003548B9"/>
    <w:rsid w:val="00354AC5"/>
    <w:rsid w:val="0035587C"/>
    <w:rsid w:val="003558BC"/>
    <w:rsid w:val="00355DA9"/>
    <w:rsid w:val="003560C9"/>
    <w:rsid w:val="0035621E"/>
    <w:rsid w:val="00356758"/>
    <w:rsid w:val="003568E4"/>
    <w:rsid w:val="0035692B"/>
    <w:rsid w:val="00357CFB"/>
    <w:rsid w:val="00357D7F"/>
    <w:rsid w:val="003600DB"/>
    <w:rsid w:val="00361798"/>
    <w:rsid w:val="003618A2"/>
    <w:rsid w:val="00361B64"/>
    <w:rsid w:val="0036230F"/>
    <w:rsid w:val="003623B0"/>
    <w:rsid w:val="003627BD"/>
    <w:rsid w:val="00362AF7"/>
    <w:rsid w:val="00362BF0"/>
    <w:rsid w:val="00362D13"/>
    <w:rsid w:val="00362FAB"/>
    <w:rsid w:val="003630CB"/>
    <w:rsid w:val="0036385B"/>
    <w:rsid w:val="0036426F"/>
    <w:rsid w:val="003642D3"/>
    <w:rsid w:val="0036468A"/>
    <w:rsid w:val="00364735"/>
    <w:rsid w:val="00365101"/>
    <w:rsid w:val="00365D21"/>
    <w:rsid w:val="0036646E"/>
    <w:rsid w:val="00366478"/>
    <w:rsid w:val="00366684"/>
    <w:rsid w:val="00366AC3"/>
    <w:rsid w:val="00366C20"/>
    <w:rsid w:val="00367D2A"/>
    <w:rsid w:val="00367D37"/>
    <w:rsid w:val="00367E1D"/>
    <w:rsid w:val="00367E58"/>
    <w:rsid w:val="00370841"/>
    <w:rsid w:val="00370DEF"/>
    <w:rsid w:val="00371460"/>
    <w:rsid w:val="003715CE"/>
    <w:rsid w:val="003715FC"/>
    <w:rsid w:val="00371E17"/>
    <w:rsid w:val="00372431"/>
    <w:rsid w:val="00372549"/>
    <w:rsid w:val="003726AE"/>
    <w:rsid w:val="00372950"/>
    <w:rsid w:val="00372CBB"/>
    <w:rsid w:val="00372DDA"/>
    <w:rsid w:val="003733C1"/>
    <w:rsid w:val="00373744"/>
    <w:rsid w:val="003740A7"/>
    <w:rsid w:val="003742AB"/>
    <w:rsid w:val="00374521"/>
    <w:rsid w:val="00374C64"/>
    <w:rsid w:val="003753CE"/>
    <w:rsid w:val="0037551C"/>
    <w:rsid w:val="00375B8B"/>
    <w:rsid w:val="003764BC"/>
    <w:rsid w:val="00376619"/>
    <w:rsid w:val="00377034"/>
    <w:rsid w:val="0037749C"/>
    <w:rsid w:val="003777A3"/>
    <w:rsid w:val="003777A4"/>
    <w:rsid w:val="00377940"/>
    <w:rsid w:val="00377CF3"/>
    <w:rsid w:val="00380397"/>
    <w:rsid w:val="003803E1"/>
    <w:rsid w:val="0038090A"/>
    <w:rsid w:val="00380F85"/>
    <w:rsid w:val="00381539"/>
    <w:rsid w:val="00381B19"/>
    <w:rsid w:val="00381F48"/>
    <w:rsid w:val="003820AF"/>
    <w:rsid w:val="003826A1"/>
    <w:rsid w:val="003829E0"/>
    <w:rsid w:val="00382C8A"/>
    <w:rsid w:val="00382D18"/>
    <w:rsid w:val="00383296"/>
    <w:rsid w:val="003836D9"/>
    <w:rsid w:val="0038370F"/>
    <w:rsid w:val="003837C1"/>
    <w:rsid w:val="00383A87"/>
    <w:rsid w:val="00383B12"/>
    <w:rsid w:val="00383D81"/>
    <w:rsid w:val="00384103"/>
    <w:rsid w:val="00384133"/>
    <w:rsid w:val="00384A12"/>
    <w:rsid w:val="00385A19"/>
    <w:rsid w:val="00385ADB"/>
    <w:rsid w:val="003864C5"/>
    <w:rsid w:val="003867F7"/>
    <w:rsid w:val="00386A90"/>
    <w:rsid w:val="00386AD9"/>
    <w:rsid w:val="00386E14"/>
    <w:rsid w:val="00386E84"/>
    <w:rsid w:val="00387030"/>
    <w:rsid w:val="003873C4"/>
    <w:rsid w:val="003877C5"/>
    <w:rsid w:val="003879CE"/>
    <w:rsid w:val="00387A69"/>
    <w:rsid w:val="003903BA"/>
    <w:rsid w:val="003904B6"/>
    <w:rsid w:val="003908E2"/>
    <w:rsid w:val="00390C74"/>
    <w:rsid w:val="00390CCC"/>
    <w:rsid w:val="00390D7C"/>
    <w:rsid w:val="00391212"/>
    <w:rsid w:val="0039134A"/>
    <w:rsid w:val="003913DC"/>
    <w:rsid w:val="0039144E"/>
    <w:rsid w:val="0039170C"/>
    <w:rsid w:val="0039199F"/>
    <w:rsid w:val="00391A00"/>
    <w:rsid w:val="00391AB6"/>
    <w:rsid w:val="00391D51"/>
    <w:rsid w:val="00392072"/>
    <w:rsid w:val="0039282A"/>
    <w:rsid w:val="00392B21"/>
    <w:rsid w:val="00393440"/>
    <w:rsid w:val="003937C5"/>
    <w:rsid w:val="00393B9D"/>
    <w:rsid w:val="003943DF"/>
    <w:rsid w:val="00394A8D"/>
    <w:rsid w:val="00394E07"/>
    <w:rsid w:val="0039505C"/>
    <w:rsid w:val="00395556"/>
    <w:rsid w:val="00395D86"/>
    <w:rsid w:val="003960A2"/>
    <w:rsid w:val="00396184"/>
    <w:rsid w:val="003962F2"/>
    <w:rsid w:val="00396E7C"/>
    <w:rsid w:val="00396F87"/>
    <w:rsid w:val="003972AC"/>
    <w:rsid w:val="00397A76"/>
    <w:rsid w:val="00397DA8"/>
    <w:rsid w:val="003A0143"/>
    <w:rsid w:val="003A07B7"/>
    <w:rsid w:val="003A12D3"/>
    <w:rsid w:val="003A182D"/>
    <w:rsid w:val="003A19B7"/>
    <w:rsid w:val="003A1E6B"/>
    <w:rsid w:val="003A2E14"/>
    <w:rsid w:val="003A309A"/>
    <w:rsid w:val="003A3778"/>
    <w:rsid w:val="003A407A"/>
    <w:rsid w:val="003A4B02"/>
    <w:rsid w:val="003A4DED"/>
    <w:rsid w:val="003A504F"/>
    <w:rsid w:val="003A54A3"/>
    <w:rsid w:val="003A5B3E"/>
    <w:rsid w:val="003A5FA9"/>
    <w:rsid w:val="003A61BD"/>
    <w:rsid w:val="003A686F"/>
    <w:rsid w:val="003A68B0"/>
    <w:rsid w:val="003A69F8"/>
    <w:rsid w:val="003A6A5A"/>
    <w:rsid w:val="003A6F72"/>
    <w:rsid w:val="003A778F"/>
    <w:rsid w:val="003A7D92"/>
    <w:rsid w:val="003B006D"/>
    <w:rsid w:val="003B0411"/>
    <w:rsid w:val="003B083E"/>
    <w:rsid w:val="003B0AB0"/>
    <w:rsid w:val="003B0E52"/>
    <w:rsid w:val="003B103E"/>
    <w:rsid w:val="003B10D1"/>
    <w:rsid w:val="003B15EA"/>
    <w:rsid w:val="003B1869"/>
    <w:rsid w:val="003B1A4A"/>
    <w:rsid w:val="003B22D8"/>
    <w:rsid w:val="003B22E5"/>
    <w:rsid w:val="003B2A42"/>
    <w:rsid w:val="003B2B53"/>
    <w:rsid w:val="003B2E4A"/>
    <w:rsid w:val="003B35D5"/>
    <w:rsid w:val="003B35E8"/>
    <w:rsid w:val="003B3DBD"/>
    <w:rsid w:val="003B3E2D"/>
    <w:rsid w:val="003B3FB4"/>
    <w:rsid w:val="003B404D"/>
    <w:rsid w:val="003B49E6"/>
    <w:rsid w:val="003B4CB8"/>
    <w:rsid w:val="003B526A"/>
    <w:rsid w:val="003B5325"/>
    <w:rsid w:val="003B5840"/>
    <w:rsid w:val="003B5AD5"/>
    <w:rsid w:val="003B5E45"/>
    <w:rsid w:val="003B63FD"/>
    <w:rsid w:val="003B64EB"/>
    <w:rsid w:val="003B67BD"/>
    <w:rsid w:val="003B6814"/>
    <w:rsid w:val="003B7459"/>
    <w:rsid w:val="003B790B"/>
    <w:rsid w:val="003B7C22"/>
    <w:rsid w:val="003C01C4"/>
    <w:rsid w:val="003C0478"/>
    <w:rsid w:val="003C05E5"/>
    <w:rsid w:val="003C0AC3"/>
    <w:rsid w:val="003C11E9"/>
    <w:rsid w:val="003C137F"/>
    <w:rsid w:val="003C13C3"/>
    <w:rsid w:val="003C14C5"/>
    <w:rsid w:val="003C15BD"/>
    <w:rsid w:val="003C17BA"/>
    <w:rsid w:val="003C19F6"/>
    <w:rsid w:val="003C21AB"/>
    <w:rsid w:val="003C237B"/>
    <w:rsid w:val="003C2556"/>
    <w:rsid w:val="003C2AA0"/>
    <w:rsid w:val="003C2B19"/>
    <w:rsid w:val="003C3376"/>
    <w:rsid w:val="003C3419"/>
    <w:rsid w:val="003C391E"/>
    <w:rsid w:val="003C39B2"/>
    <w:rsid w:val="003C3BA3"/>
    <w:rsid w:val="003C3C9D"/>
    <w:rsid w:val="003C3CA7"/>
    <w:rsid w:val="003C41B6"/>
    <w:rsid w:val="003C44FB"/>
    <w:rsid w:val="003C46AE"/>
    <w:rsid w:val="003C4B5F"/>
    <w:rsid w:val="003C526E"/>
    <w:rsid w:val="003C53C0"/>
    <w:rsid w:val="003C5B3D"/>
    <w:rsid w:val="003C5D7B"/>
    <w:rsid w:val="003C5D95"/>
    <w:rsid w:val="003C6133"/>
    <w:rsid w:val="003C6D98"/>
    <w:rsid w:val="003C6FD0"/>
    <w:rsid w:val="003C70FF"/>
    <w:rsid w:val="003C7AF5"/>
    <w:rsid w:val="003D03B6"/>
    <w:rsid w:val="003D0A8A"/>
    <w:rsid w:val="003D0B3A"/>
    <w:rsid w:val="003D0B72"/>
    <w:rsid w:val="003D0CD0"/>
    <w:rsid w:val="003D12E6"/>
    <w:rsid w:val="003D28BC"/>
    <w:rsid w:val="003D2976"/>
    <w:rsid w:val="003D2B67"/>
    <w:rsid w:val="003D2C05"/>
    <w:rsid w:val="003D2CB4"/>
    <w:rsid w:val="003D2E1C"/>
    <w:rsid w:val="003D30B1"/>
    <w:rsid w:val="003D3AB6"/>
    <w:rsid w:val="003D3D9E"/>
    <w:rsid w:val="003D3E19"/>
    <w:rsid w:val="003D448C"/>
    <w:rsid w:val="003D46AF"/>
    <w:rsid w:val="003D4A14"/>
    <w:rsid w:val="003D4D57"/>
    <w:rsid w:val="003D536A"/>
    <w:rsid w:val="003D539B"/>
    <w:rsid w:val="003D54A4"/>
    <w:rsid w:val="003D555E"/>
    <w:rsid w:val="003D55CD"/>
    <w:rsid w:val="003D56BB"/>
    <w:rsid w:val="003D57D6"/>
    <w:rsid w:val="003D57E4"/>
    <w:rsid w:val="003D5D0D"/>
    <w:rsid w:val="003D5D1C"/>
    <w:rsid w:val="003D5FAF"/>
    <w:rsid w:val="003D62E6"/>
    <w:rsid w:val="003D6403"/>
    <w:rsid w:val="003D6497"/>
    <w:rsid w:val="003D6AEC"/>
    <w:rsid w:val="003D728D"/>
    <w:rsid w:val="003D7443"/>
    <w:rsid w:val="003D76C7"/>
    <w:rsid w:val="003D7728"/>
    <w:rsid w:val="003D7D6E"/>
    <w:rsid w:val="003D7FE3"/>
    <w:rsid w:val="003E047B"/>
    <w:rsid w:val="003E0819"/>
    <w:rsid w:val="003E0F59"/>
    <w:rsid w:val="003E118B"/>
    <w:rsid w:val="003E159D"/>
    <w:rsid w:val="003E160A"/>
    <w:rsid w:val="003E1A13"/>
    <w:rsid w:val="003E1C91"/>
    <w:rsid w:val="003E1E57"/>
    <w:rsid w:val="003E21AE"/>
    <w:rsid w:val="003E2505"/>
    <w:rsid w:val="003E27C0"/>
    <w:rsid w:val="003E305F"/>
    <w:rsid w:val="003E3607"/>
    <w:rsid w:val="003E38E2"/>
    <w:rsid w:val="003E3D7B"/>
    <w:rsid w:val="003E49AC"/>
    <w:rsid w:val="003E4A9C"/>
    <w:rsid w:val="003E4F6D"/>
    <w:rsid w:val="003E4FA0"/>
    <w:rsid w:val="003E5401"/>
    <w:rsid w:val="003E64AB"/>
    <w:rsid w:val="003E673A"/>
    <w:rsid w:val="003E6911"/>
    <w:rsid w:val="003E721C"/>
    <w:rsid w:val="003E76ED"/>
    <w:rsid w:val="003E779A"/>
    <w:rsid w:val="003E7AB8"/>
    <w:rsid w:val="003E7C4C"/>
    <w:rsid w:val="003E7F6B"/>
    <w:rsid w:val="003E7FF0"/>
    <w:rsid w:val="003F0113"/>
    <w:rsid w:val="003F03C8"/>
    <w:rsid w:val="003F0452"/>
    <w:rsid w:val="003F0A5C"/>
    <w:rsid w:val="003F0A67"/>
    <w:rsid w:val="003F1056"/>
    <w:rsid w:val="003F1485"/>
    <w:rsid w:val="003F15FE"/>
    <w:rsid w:val="003F21ED"/>
    <w:rsid w:val="003F2650"/>
    <w:rsid w:val="003F34B8"/>
    <w:rsid w:val="003F3A03"/>
    <w:rsid w:val="003F3FFD"/>
    <w:rsid w:val="003F4935"/>
    <w:rsid w:val="003F5141"/>
    <w:rsid w:val="003F54BD"/>
    <w:rsid w:val="003F6DCC"/>
    <w:rsid w:val="003F6F89"/>
    <w:rsid w:val="003F7A98"/>
    <w:rsid w:val="004001E0"/>
    <w:rsid w:val="0040025D"/>
    <w:rsid w:val="00400674"/>
    <w:rsid w:val="00400CD7"/>
    <w:rsid w:val="00400CDE"/>
    <w:rsid w:val="0040146A"/>
    <w:rsid w:val="0040158A"/>
    <w:rsid w:val="0040158F"/>
    <w:rsid w:val="004019AB"/>
    <w:rsid w:val="004023A2"/>
    <w:rsid w:val="004023E5"/>
    <w:rsid w:val="00402671"/>
    <w:rsid w:val="00403124"/>
    <w:rsid w:val="00403457"/>
    <w:rsid w:val="00403ACC"/>
    <w:rsid w:val="00403D11"/>
    <w:rsid w:val="00404457"/>
    <w:rsid w:val="0040469F"/>
    <w:rsid w:val="004048D9"/>
    <w:rsid w:val="00404945"/>
    <w:rsid w:val="00404B0C"/>
    <w:rsid w:val="00404C27"/>
    <w:rsid w:val="00405595"/>
    <w:rsid w:val="0040571A"/>
    <w:rsid w:val="0040578D"/>
    <w:rsid w:val="0040591E"/>
    <w:rsid w:val="00405B4F"/>
    <w:rsid w:val="00405BEE"/>
    <w:rsid w:val="00405DC5"/>
    <w:rsid w:val="00406085"/>
    <w:rsid w:val="00406727"/>
    <w:rsid w:val="004067AF"/>
    <w:rsid w:val="00406B0B"/>
    <w:rsid w:val="00406B1F"/>
    <w:rsid w:val="004077D3"/>
    <w:rsid w:val="00407C8E"/>
    <w:rsid w:val="00407DF7"/>
    <w:rsid w:val="00410203"/>
    <w:rsid w:val="004105FC"/>
    <w:rsid w:val="0041070B"/>
    <w:rsid w:val="00410775"/>
    <w:rsid w:val="00410A32"/>
    <w:rsid w:val="00410BCF"/>
    <w:rsid w:val="00411467"/>
    <w:rsid w:val="004116CC"/>
    <w:rsid w:val="00411D42"/>
    <w:rsid w:val="00411FC5"/>
    <w:rsid w:val="00412888"/>
    <w:rsid w:val="004129E1"/>
    <w:rsid w:val="00412D69"/>
    <w:rsid w:val="00412FD1"/>
    <w:rsid w:val="00413051"/>
    <w:rsid w:val="00413392"/>
    <w:rsid w:val="00413565"/>
    <w:rsid w:val="00413927"/>
    <w:rsid w:val="00413CBC"/>
    <w:rsid w:val="00414332"/>
    <w:rsid w:val="004143BA"/>
    <w:rsid w:val="00414A37"/>
    <w:rsid w:val="0041516E"/>
    <w:rsid w:val="004156D7"/>
    <w:rsid w:val="0041590F"/>
    <w:rsid w:val="00415975"/>
    <w:rsid w:val="00415BDC"/>
    <w:rsid w:val="00415F8E"/>
    <w:rsid w:val="0041622B"/>
    <w:rsid w:val="00416257"/>
    <w:rsid w:val="00416DE6"/>
    <w:rsid w:val="00416EE2"/>
    <w:rsid w:val="0041733B"/>
    <w:rsid w:val="00417411"/>
    <w:rsid w:val="00417814"/>
    <w:rsid w:val="00417DEF"/>
    <w:rsid w:val="00420273"/>
    <w:rsid w:val="00420675"/>
    <w:rsid w:val="00420862"/>
    <w:rsid w:val="00420BB7"/>
    <w:rsid w:val="004212FF"/>
    <w:rsid w:val="00421365"/>
    <w:rsid w:val="004219A4"/>
    <w:rsid w:val="0042275D"/>
    <w:rsid w:val="00422996"/>
    <w:rsid w:val="004229FE"/>
    <w:rsid w:val="00422D5F"/>
    <w:rsid w:val="004235C3"/>
    <w:rsid w:val="0042441B"/>
    <w:rsid w:val="004246B9"/>
    <w:rsid w:val="0042492B"/>
    <w:rsid w:val="00424CFF"/>
    <w:rsid w:val="00425483"/>
    <w:rsid w:val="0042552A"/>
    <w:rsid w:val="0042572A"/>
    <w:rsid w:val="00425852"/>
    <w:rsid w:val="0042613F"/>
    <w:rsid w:val="00426883"/>
    <w:rsid w:val="00426DE8"/>
    <w:rsid w:val="00426E99"/>
    <w:rsid w:val="00426F74"/>
    <w:rsid w:val="00427131"/>
    <w:rsid w:val="00427C0C"/>
    <w:rsid w:val="00427D21"/>
    <w:rsid w:val="00430216"/>
    <w:rsid w:val="004306BA"/>
    <w:rsid w:val="00430AE4"/>
    <w:rsid w:val="00430D2A"/>
    <w:rsid w:val="00430E36"/>
    <w:rsid w:val="00430FD9"/>
    <w:rsid w:val="00431031"/>
    <w:rsid w:val="00431594"/>
    <w:rsid w:val="004316DF"/>
    <w:rsid w:val="004318B3"/>
    <w:rsid w:val="00431A0D"/>
    <w:rsid w:val="0043217C"/>
    <w:rsid w:val="0043220E"/>
    <w:rsid w:val="0043278C"/>
    <w:rsid w:val="004329A8"/>
    <w:rsid w:val="00432E79"/>
    <w:rsid w:val="00432F24"/>
    <w:rsid w:val="00432F80"/>
    <w:rsid w:val="0043332F"/>
    <w:rsid w:val="004334ED"/>
    <w:rsid w:val="004339B7"/>
    <w:rsid w:val="0043406D"/>
    <w:rsid w:val="00434633"/>
    <w:rsid w:val="00434CA8"/>
    <w:rsid w:val="00434CBB"/>
    <w:rsid w:val="00434DE0"/>
    <w:rsid w:val="00435B02"/>
    <w:rsid w:val="00435CA8"/>
    <w:rsid w:val="0043614D"/>
    <w:rsid w:val="00436186"/>
    <w:rsid w:val="0043670D"/>
    <w:rsid w:val="004367F4"/>
    <w:rsid w:val="004368B6"/>
    <w:rsid w:val="00436946"/>
    <w:rsid w:val="00436983"/>
    <w:rsid w:val="00436D85"/>
    <w:rsid w:val="00437F80"/>
    <w:rsid w:val="00440625"/>
    <w:rsid w:val="00440E31"/>
    <w:rsid w:val="00441624"/>
    <w:rsid w:val="00442129"/>
    <w:rsid w:val="0044260F"/>
    <w:rsid w:val="00442A99"/>
    <w:rsid w:val="00442BB7"/>
    <w:rsid w:val="004432C9"/>
    <w:rsid w:val="00443CDA"/>
    <w:rsid w:val="00443E3C"/>
    <w:rsid w:val="00443F79"/>
    <w:rsid w:val="00443FA2"/>
    <w:rsid w:val="004440F2"/>
    <w:rsid w:val="004447E5"/>
    <w:rsid w:val="004448B9"/>
    <w:rsid w:val="00444A8C"/>
    <w:rsid w:val="00444D12"/>
    <w:rsid w:val="00445211"/>
    <w:rsid w:val="00445333"/>
    <w:rsid w:val="004453FD"/>
    <w:rsid w:val="004456F0"/>
    <w:rsid w:val="00445784"/>
    <w:rsid w:val="004459AF"/>
    <w:rsid w:val="004461F7"/>
    <w:rsid w:val="004463CD"/>
    <w:rsid w:val="00446DED"/>
    <w:rsid w:val="00446EDF"/>
    <w:rsid w:val="00447181"/>
    <w:rsid w:val="0044719B"/>
    <w:rsid w:val="004473C3"/>
    <w:rsid w:val="004479BD"/>
    <w:rsid w:val="00447BEC"/>
    <w:rsid w:val="00447CF1"/>
    <w:rsid w:val="00447EE1"/>
    <w:rsid w:val="0045019D"/>
    <w:rsid w:val="00450325"/>
    <w:rsid w:val="00450CE0"/>
    <w:rsid w:val="00450D34"/>
    <w:rsid w:val="0045140F"/>
    <w:rsid w:val="00451421"/>
    <w:rsid w:val="0045180A"/>
    <w:rsid w:val="00451F35"/>
    <w:rsid w:val="004523F8"/>
    <w:rsid w:val="00452828"/>
    <w:rsid w:val="00452B35"/>
    <w:rsid w:val="00453B8A"/>
    <w:rsid w:val="00453F9C"/>
    <w:rsid w:val="004542CB"/>
    <w:rsid w:val="0045437C"/>
    <w:rsid w:val="00454727"/>
    <w:rsid w:val="0045484F"/>
    <w:rsid w:val="00454C75"/>
    <w:rsid w:val="00455306"/>
    <w:rsid w:val="00455799"/>
    <w:rsid w:val="004557F1"/>
    <w:rsid w:val="0045584C"/>
    <w:rsid w:val="00456142"/>
    <w:rsid w:val="004563EF"/>
    <w:rsid w:val="00456788"/>
    <w:rsid w:val="004568E0"/>
    <w:rsid w:val="00456BFD"/>
    <w:rsid w:val="00456C23"/>
    <w:rsid w:val="00456D59"/>
    <w:rsid w:val="00457002"/>
    <w:rsid w:val="00457701"/>
    <w:rsid w:val="00457801"/>
    <w:rsid w:val="004578A2"/>
    <w:rsid w:val="00457DC6"/>
    <w:rsid w:val="00457F06"/>
    <w:rsid w:val="00460552"/>
    <w:rsid w:val="0046059C"/>
    <w:rsid w:val="00460859"/>
    <w:rsid w:val="00460B46"/>
    <w:rsid w:val="00460CF6"/>
    <w:rsid w:val="00460DD2"/>
    <w:rsid w:val="00461926"/>
    <w:rsid w:val="00461CC1"/>
    <w:rsid w:val="0046264E"/>
    <w:rsid w:val="004626A3"/>
    <w:rsid w:val="004632DC"/>
    <w:rsid w:val="00463A1D"/>
    <w:rsid w:val="00463EE0"/>
    <w:rsid w:val="004641E7"/>
    <w:rsid w:val="00464265"/>
    <w:rsid w:val="004648B6"/>
    <w:rsid w:val="00464917"/>
    <w:rsid w:val="00465003"/>
    <w:rsid w:val="00465042"/>
    <w:rsid w:val="0046521D"/>
    <w:rsid w:val="00465271"/>
    <w:rsid w:val="00465467"/>
    <w:rsid w:val="00465ACE"/>
    <w:rsid w:val="00465B82"/>
    <w:rsid w:val="00465BC9"/>
    <w:rsid w:val="00465D78"/>
    <w:rsid w:val="00466AE0"/>
    <w:rsid w:val="00466FD2"/>
    <w:rsid w:val="00467335"/>
    <w:rsid w:val="004674E2"/>
    <w:rsid w:val="00467CB2"/>
    <w:rsid w:val="00470372"/>
    <w:rsid w:val="004708B5"/>
    <w:rsid w:val="00470AD1"/>
    <w:rsid w:val="00470E63"/>
    <w:rsid w:val="00470FB7"/>
    <w:rsid w:val="0047113A"/>
    <w:rsid w:val="004716F5"/>
    <w:rsid w:val="004725DB"/>
    <w:rsid w:val="00472756"/>
    <w:rsid w:val="00472847"/>
    <w:rsid w:val="00473521"/>
    <w:rsid w:val="004735D7"/>
    <w:rsid w:val="004738B8"/>
    <w:rsid w:val="00473DE9"/>
    <w:rsid w:val="00473E4A"/>
    <w:rsid w:val="00473F06"/>
    <w:rsid w:val="004744D1"/>
    <w:rsid w:val="00474B04"/>
    <w:rsid w:val="0047530D"/>
    <w:rsid w:val="0047532B"/>
    <w:rsid w:val="00475A86"/>
    <w:rsid w:val="00475A91"/>
    <w:rsid w:val="00475E6F"/>
    <w:rsid w:val="00475F77"/>
    <w:rsid w:val="0047650A"/>
    <w:rsid w:val="00476633"/>
    <w:rsid w:val="00476820"/>
    <w:rsid w:val="00476909"/>
    <w:rsid w:val="004769AB"/>
    <w:rsid w:val="00476FFC"/>
    <w:rsid w:val="004773C5"/>
    <w:rsid w:val="00477821"/>
    <w:rsid w:val="00477936"/>
    <w:rsid w:val="0048010B"/>
    <w:rsid w:val="0048030E"/>
    <w:rsid w:val="0048050C"/>
    <w:rsid w:val="0048065C"/>
    <w:rsid w:val="0048083A"/>
    <w:rsid w:val="0048094F"/>
    <w:rsid w:val="00480CAE"/>
    <w:rsid w:val="004812D7"/>
    <w:rsid w:val="00481FE3"/>
    <w:rsid w:val="00482500"/>
    <w:rsid w:val="004825B4"/>
    <w:rsid w:val="00482738"/>
    <w:rsid w:val="0048277A"/>
    <w:rsid w:val="00482C6C"/>
    <w:rsid w:val="00482DA3"/>
    <w:rsid w:val="004830A1"/>
    <w:rsid w:val="004837EC"/>
    <w:rsid w:val="00483E36"/>
    <w:rsid w:val="00484746"/>
    <w:rsid w:val="004848E8"/>
    <w:rsid w:val="00484DDC"/>
    <w:rsid w:val="004858E7"/>
    <w:rsid w:val="00485A8B"/>
    <w:rsid w:val="00485D0C"/>
    <w:rsid w:val="00485F6E"/>
    <w:rsid w:val="0048629D"/>
    <w:rsid w:val="00486553"/>
    <w:rsid w:val="004868E3"/>
    <w:rsid w:val="0048746C"/>
    <w:rsid w:val="00487582"/>
    <w:rsid w:val="00487788"/>
    <w:rsid w:val="00490068"/>
    <w:rsid w:val="00490335"/>
    <w:rsid w:val="00490369"/>
    <w:rsid w:val="004909D7"/>
    <w:rsid w:val="00491277"/>
    <w:rsid w:val="00491753"/>
    <w:rsid w:val="004917B0"/>
    <w:rsid w:val="00491A7A"/>
    <w:rsid w:val="00492682"/>
    <w:rsid w:val="004928C5"/>
    <w:rsid w:val="00492900"/>
    <w:rsid w:val="00492A35"/>
    <w:rsid w:val="00493590"/>
    <w:rsid w:val="004935A7"/>
    <w:rsid w:val="0049373D"/>
    <w:rsid w:val="00493791"/>
    <w:rsid w:val="0049386E"/>
    <w:rsid w:val="00493EAC"/>
    <w:rsid w:val="004941DC"/>
    <w:rsid w:val="00494665"/>
    <w:rsid w:val="00494EA6"/>
    <w:rsid w:val="004952FA"/>
    <w:rsid w:val="00496957"/>
    <w:rsid w:val="00496AD3"/>
    <w:rsid w:val="00496F6F"/>
    <w:rsid w:val="00497392"/>
    <w:rsid w:val="004973E5"/>
    <w:rsid w:val="00497731"/>
    <w:rsid w:val="004A04FA"/>
    <w:rsid w:val="004A0708"/>
    <w:rsid w:val="004A0919"/>
    <w:rsid w:val="004A110D"/>
    <w:rsid w:val="004A172F"/>
    <w:rsid w:val="004A1AEB"/>
    <w:rsid w:val="004A1C61"/>
    <w:rsid w:val="004A20C2"/>
    <w:rsid w:val="004A25A3"/>
    <w:rsid w:val="004A29E0"/>
    <w:rsid w:val="004A2C76"/>
    <w:rsid w:val="004A2F30"/>
    <w:rsid w:val="004A305F"/>
    <w:rsid w:val="004A33F7"/>
    <w:rsid w:val="004A3DAE"/>
    <w:rsid w:val="004A3EB5"/>
    <w:rsid w:val="004A472C"/>
    <w:rsid w:val="004A5199"/>
    <w:rsid w:val="004A522C"/>
    <w:rsid w:val="004A567A"/>
    <w:rsid w:val="004A56D1"/>
    <w:rsid w:val="004A5F17"/>
    <w:rsid w:val="004A5F3B"/>
    <w:rsid w:val="004A60F0"/>
    <w:rsid w:val="004A619D"/>
    <w:rsid w:val="004A6313"/>
    <w:rsid w:val="004A6B7B"/>
    <w:rsid w:val="004A6D4F"/>
    <w:rsid w:val="004A7EEA"/>
    <w:rsid w:val="004B01DF"/>
    <w:rsid w:val="004B029D"/>
    <w:rsid w:val="004B0A50"/>
    <w:rsid w:val="004B0C3F"/>
    <w:rsid w:val="004B0D03"/>
    <w:rsid w:val="004B12B3"/>
    <w:rsid w:val="004B18AC"/>
    <w:rsid w:val="004B2933"/>
    <w:rsid w:val="004B2B9E"/>
    <w:rsid w:val="004B3151"/>
    <w:rsid w:val="004B395E"/>
    <w:rsid w:val="004B42C0"/>
    <w:rsid w:val="004B42D6"/>
    <w:rsid w:val="004B4347"/>
    <w:rsid w:val="004B4485"/>
    <w:rsid w:val="004B4C90"/>
    <w:rsid w:val="004B4F98"/>
    <w:rsid w:val="004B4FE2"/>
    <w:rsid w:val="004B522A"/>
    <w:rsid w:val="004B5B15"/>
    <w:rsid w:val="004B5BE0"/>
    <w:rsid w:val="004B6380"/>
    <w:rsid w:val="004B642C"/>
    <w:rsid w:val="004B6834"/>
    <w:rsid w:val="004B6A8E"/>
    <w:rsid w:val="004B6BD7"/>
    <w:rsid w:val="004B7F2A"/>
    <w:rsid w:val="004C0152"/>
    <w:rsid w:val="004C023A"/>
    <w:rsid w:val="004C0AB0"/>
    <w:rsid w:val="004C0D89"/>
    <w:rsid w:val="004C0DFE"/>
    <w:rsid w:val="004C1B9B"/>
    <w:rsid w:val="004C1BE1"/>
    <w:rsid w:val="004C202F"/>
    <w:rsid w:val="004C20D6"/>
    <w:rsid w:val="004C2333"/>
    <w:rsid w:val="004C24C4"/>
    <w:rsid w:val="004C2A11"/>
    <w:rsid w:val="004C2B8F"/>
    <w:rsid w:val="004C2CFB"/>
    <w:rsid w:val="004C3311"/>
    <w:rsid w:val="004C34BF"/>
    <w:rsid w:val="004C3A7A"/>
    <w:rsid w:val="004C3B26"/>
    <w:rsid w:val="004C3C6D"/>
    <w:rsid w:val="004C3DAE"/>
    <w:rsid w:val="004C3E18"/>
    <w:rsid w:val="004C4000"/>
    <w:rsid w:val="004C430C"/>
    <w:rsid w:val="004C452A"/>
    <w:rsid w:val="004C4BC4"/>
    <w:rsid w:val="004C5071"/>
    <w:rsid w:val="004C5866"/>
    <w:rsid w:val="004C604F"/>
    <w:rsid w:val="004C6521"/>
    <w:rsid w:val="004C6629"/>
    <w:rsid w:val="004C6A57"/>
    <w:rsid w:val="004C6B41"/>
    <w:rsid w:val="004C74EF"/>
    <w:rsid w:val="004C7733"/>
    <w:rsid w:val="004C7C32"/>
    <w:rsid w:val="004D018C"/>
    <w:rsid w:val="004D03E6"/>
    <w:rsid w:val="004D044A"/>
    <w:rsid w:val="004D0ABA"/>
    <w:rsid w:val="004D0C63"/>
    <w:rsid w:val="004D0E95"/>
    <w:rsid w:val="004D11B5"/>
    <w:rsid w:val="004D1804"/>
    <w:rsid w:val="004D1CED"/>
    <w:rsid w:val="004D1E28"/>
    <w:rsid w:val="004D1F6C"/>
    <w:rsid w:val="004D2502"/>
    <w:rsid w:val="004D2558"/>
    <w:rsid w:val="004D25CA"/>
    <w:rsid w:val="004D2886"/>
    <w:rsid w:val="004D2B45"/>
    <w:rsid w:val="004D2DAD"/>
    <w:rsid w:val="004D34F7"/>
    <w:rsid w:val="004D37B8"/>
    <w:rsid w:val="004D3BAF"/>
    <w:rsid w:val="004D3CEE"/>
    <w:rsid w:val="004D3FF4"/>
    <w:rsid w:val="004D4CF5"/>
    <w:rsid w:val="004D4EC1"/>
    <w:rsid w:val="004D5426"/>
    <w:rsid w:val="004D549A"/>
    <w:rsid w:val="004D55FA"/>
    <w:rsid w:val="004D5922"/>
    <w:rsid w:val="004D5BD2"/>
    <w:rsid w:val="004D5C43"/>
    <w:rsid w:val="004D5D36"/>
    <w:rsid w:val="004D5FF3"/>
    <w:rsid w:val="004D63FE"/>
    <w:rsid w:val="004D6AE1"/>
    <w:rsid w:val="004D74CD"/>
    <w:rsid w:val="004D7589"/>
    <w:rsid w:val="004D76CC"/>
    <w:rsid w:val="004D7EAD"/>
    <w:rsid w:val="004E06EF"/>
    <w:rsid w:val="004E0DF8"/>
    <w:rsid w:val="004E1282"/>
    <w:rsid w:val="004E15B0"/>
    <w:rsid w:val="004E16A5"/>
    <w:rsid w:val="004E1FF0"/>
    <w:rsid w:val="004E209A"/>
    <w:rsid w:val="004E20D5"/>
    <w:rsid w:val="004E21F8"/>
    <w:rsid w:val="004E2221"/>
    <w:rsid w:val="004E250C"/>
    <w:rsid w:val="004E2518"/>
    <w:rsid w:val="004E28DA"/>
    <w:rsid w:val="004E290E"/>
    <w:rsid w:val="004E2CA8"/>
    <w:rsid w:val="004E3098"/>
    <w:rsid w:val="004E3674"/>
    <w:rsid w:val="004E3862"/>
    <w:rsid w:val="004E3C88"/>
    <w:rsid w:val="004E4025"/>
    <w:rsid w:val="004E4145"/>
    <w:rsid w:val="004E4228"/>
    <w:rsid w:val="004E451D"/>
    <w:rsid w:val="004E4810"/>
    <w:rsid w:val="004E48E0"/>
    <w:rsid w:val="004E4F66"/>
    <w:rsid w:val="004E4FAF"/>
    <w:rsid w:val="004E4FB3"/>
    <w:rsid w:val="004E51E2"/>
    <w:rsid w:val="004E562B"/>
    <w:rsid w:val="004E58FB"/>
    <w:rsid w:val="004E596E"/>
    <w:rsid w:val="004E59A2"/>
    <w:rsid w:val="004E5B8A"/>
    <w:rsid w:val="004E6040"/>
    <w:rsid w:val="004E64B6"/>
    <w:rsid w:val="004E6867"/>
    <w:rsid w:val="004E6A5A"/>
    <w:rsid w:val="004E7CB0"/>
    <w:rsid w:val="004E7DE8"/>
    <w:rsid w:val="004F01A2"/>
    <w:rsid w:val="004F0381"/>
    <w:rsid w:val="004F095F"/>
    <w:rsid w:val="004F0A2C"/>
    <w:rsid w:val="004F1335"/>
    <w:rsid w:val="004F16E1"/>
    <w:rsid w:val="004F1A05"/>
    <w:rsid w:val="004F1ABA"/>
    <w:rsid w:val="004F1FC9"/>
    <w:rsid w:val="004F2360"/>
    <w:rsid w:val="004F251D"/>
    <w:rsid w:val="004F25D5"/>
    <w:rsid w:val="004F263C"/>
    <w:rsid w:val="004F2782"/>
    <w:rsid w:val="004F288A"/>
    <w:rsid w:val="004F323A"/>
    <w:rsid w:val="004F3475"/>
    <w:rsid w:val="004F39AA"/>
    <w:rsid w:val="004F3B39"/>
    <w:rsid w:val="004F3E91"/>
    <w:rsid w:val="004F408B"/>
    <w:rsid w:val="004F4707"/>
    <w:rsid w:val="004F4916"/>
    <w:rsid w:val="004F4C51"/>
    <w:rsid w:val="004F5933"/>
    <w:rsid w:val="004F5DAB"/>
    <w:rsid w:val="004F60B8"/>
    <w:rsid w:val="004F6425"/>
    <w:rsid w:val="004F66BD"/>
    <w:rsid w:val="004F6BC4"/>
    <w:rsid w:val="004F6D50"/>
    <w:rsid w:val="004F733E"/>
    <w:rsid w:val="004F751B"/>
    <w:rsid w:val="004F7880"/>
    <w:rsid w:val="004F79E6"/>
    <w:rsid w:val="0050010F"/>
    <w:rsid w:val="00500A95"/>
    <w:rsid w:val="00500F56"/>
    <w:rsid w:val="005013D1"/>
    <w:rsid w:val="00501659"/>
    <w:rsid w:val="0050188E"/>
    <w:rsid w:val="00501927"/>
    <w:rsid w:val="005021A2"/>
    <w:rsid w:val="005022E5"/>
    <w:rsid w:val="00502668"/>
    <w:rsid w:val="00502C69"/>
    <w:rsid w:val="00502FFB"/>
    <w:rsid w:val="005031F6"/>
    <w:rsid w:val="005033A1"/>
    <w:rsid w:val="00503891"/>
    <w:rsid w:val="00503BFE"/>
    <w:rsid w:val="00504616"/>
    <w:rsid w:val="00504895"/>
    <w:rsid w:val="005049BB"/>
    <w:rsid w:val="00504DE6"/>
    <w:rsid w:val="00504EB4"/>
    <w:rsid w:val="00505225"/>
    <w:rsid w:val="00505333"/>
    <w:rsid w:val="00505466"/>
    <w:rsid w:val="0050570D"/>
    <w:rsid w:val="00505963"/>
    <w:rsid w:val="00505B93"/>
    <w:rsid w:val="00506286"/>
    <w:rsid w:val="00506460"/>
    <w:rsid w:val="005064BF"/>
    <w:rsid w:val="00506C23"/>
    <w:rsid w:val="00506DE1"/>
    <w:rsid w:val="00506FE0"/>
    <w:rsid w:val="005073C4"/>
    <w:rsid w:val="00507960"/>
    <w:rsid w:val="00507998"/>
    <w:rsid w:val="00507A48"/>
    <w:rsid w:val="00507ED3"/>
    <w:rsid w:val="00507F76"/>
    <w:rsid w:val="005109B1"/>
    <w:rsid w:val="00510A5B"/>
    <w:rsid w:val="00511495"/>
    <w:rsid w:val="00511C5D"/>
    <w:rsid w:val="00512432"/>
    <w:rsid w:val="00512D5E"/>
    <w:rsid w:val="00512E98"/>
    <w:rsid w:val="00512F4F"/>
    <w:rsid w:val="00513014"/>
    <w:rsid w:val="00513180"/>
    <w:rsid w:val="00513691"/>
    <w:rsid w:val="00513E89"/>
    <w:rsid w:val="00514019"/>
    <w:rsid w:val="005140CD"/>
    <w:rsid w:val="00514185"/>
    <w:rsid w:val="0051438D"/>
    <w:rsid w:val="005148AA"/>
    <w:rsid w:val="00514DA1"/>
    <w:rsid w:val="00514DD9"/>
    <w:rsid w:val="00514F6B"/>
    <w:rsid w:val="00515502"/>
    <w:rsid w:val="00515510"/>
    <w:rsid w:val="005158B8"/>
    <w:rsid w:val="00515B16"/>
    <w:rsid w:val="00515B61"/>
    <w:rsid w:val="00515C97"/>
    <w:rsid w:val="00515D0C"/>
    <w:rsid w:val="0051666F"/>
    <w:rsid w:val="00516C44"/>
    <w:rsid w:val="00516CB2"/>
    <w:rsid w:val="00517132"/>
    <w:rsid w:val="0051731E"/>
    <w:rsid w:val="005174EF"/>
    <w:rsid w:val="00517DC9"/>
    <w:rsid w:val="00517F51"/>
    <w:rsid w:val="00520170"/>
    <w:rsid w:val="0052039F"/>
    <w:rsid w:val="00520843"/>
    <w:rsid w:val="00520FC3"/>
    <w:rsid w:val="005210E2"/>
    <w:rsid w:val="005211DB"/>
    <w:rsid w:val="00521393"/>
    <w:rsid w:val="00521608"/>
    <w:rsid w:val="005219C0"/>
    <w:rsid w:val="00521BB4"/>
    <w:rsid w:val="00521F7F"/>
    <w:rsid w:val="005220D5"/>
    <w:rsid w:val="00522875"/>
    <w:rsid w:val="00523040"/>
    <w:rsid w:val="00523393"/>
    <w:rsid w:val="00523C08"/>
    <w:rsid w:val="00523EFC"/>
    <w:rsid w:val="00524056"/>
    <w:rsid w:val="0052422F"/>
    <w:rsid w:val="005248BB"/>
    <w:rsid w:val="00524AC4"/>
    <w:rsid w:val="00524CCB"/>
    <w:rsid w:val="00524DF9"/>
    <w:rsid w:val="00524E8E"/>
    <w:rsid w:val="00525297"/>
    <w:rsid w:val="0052545E"/>
    <w:rsid w:val="0052549C"/>
    <w:rsid w:val="005254A3"/>
    <w:rsid w:val="00525A72"/>
    <w:rsid w:val="00525ADE"/>
    <w:rsid w:val="00525DA5"/>
    <w:rsid w:val="005260D5"/>
    <w:rsid w:val="00526AFA"/>
    <w:rsid w:val="00526C91"/>
    <w:rsid w:val="00526D6A"/>
    <w:rsid w:val="00526F34"/>
    <w:rsid w:val="00526FB1"/>
    <w:rsid w:val="00526FFC"/>
    <w:rsid w:val="005271C4"/>
    <w:rsid w:val="00527265"/>
    <w:rsid w:val="005279E2"/>
    <w:rsid w:val="00527BF3"/>
    <w:rsid w:val="00527D1D"/>
    <w:rsid w:val="00530318"/>
    <w:rsid w:val="005303FC"/>
    <w:rsid w:val="00530573"/>
    <w:rsid w:val="00530590"/>
    <w:rsid w:val="00530748"/>
    <w:rsid w:val="00531495"/>
    <w:rsid w:val="005315B2"/>
    <w:rsid w:val="00531A9D"/>
    <w:rsid w:val="00531D73"/>
    <w:rsid w:val="00532380"/>
    <w:rsid w:val="00532393"/>
    <w:rsid w:val="005323F7"/>
    <w:rsid w:val="0053257E"/>
    <w:rsid w:val="005327A5"/>
    <w:rsid w:val="00532E6B"/>
    <w:rsid w:val="005333D8"/>
    <w:rsid w:val="005334C7"/>
    <w:rsid w:val="005340AA"/>
    <w:rsid w:val="0053410D"/>
    <w:rsid w:val="0053494D"/>
    <w:rsid w:val="00534A01"/>
    <w:rsid w:val="00535202"/>
    <w:rsid w:val="00535377"/>
    <w:rsid w:val="005357E8"/>
    <w:rsid w:val="00535A4B"/>
    <w:rsid w:val="00535D55"/>
    <w:rsid w:val="0053647F"/>
    <w:rsid w:val="005364C2"/>
    <w:rsid w:val="00536559"/>
    <w:rsid w:val="0053717C"/>
    <w:rsid w:val="00537407"/>
    <w:rsid w:val="005379F3"/>
    <w:rsid w:val="00537A64"/>
    <w:rsid w:val="0054014D"/>
    <w:rsid w:val="005409B4"/>
    <w:rsid w:val="00540A32"/>
    <w:rsid w:val="00540ABE"/>
    <w:rsid w:val="00540CF8"/>
    <w:rsid w:val="00541077"/>
    <w:rsid w:val="0054173A"/>
    <w:rsid w:val="00541CC2"/>
    <w:rsid w:val="00541DB8"/>
    <w:rsid w:val="0054213D"/>
    <w:rsid w:val="00542160"/>
    <w:rsid w:val="00542663"/>
    <w:rsid w:val="00542A8E"/>
    <w:rsid w:val="00542D33"/>
    <w:rsid w:val="00542F60"/>
    <w:rsid w:val="00543297"/>
    <w:rsid w:val="0054349D"/>
    <w:rsid w:val="00543C9B"/>
    <w:rsid w:val="00544751"/>
    <w:rsid w:val="00545683"/>
    <w:rsid w:val="00545F4C"/>
    <w:rsid w:val="00546DF3"/>
    <w:rsid w:val="00546EFE"/>
    <w:rsid w:val="00546FB7"/>
    <w:rsid w:val="005471B8"/>
    <w:rsid w:val="0054783D"/>
    <w:rsid w:val="0054796E"/>
    <w:rsid w:val="00547A56"/>
    <w:rsid w:val="00547B78"/>
    <w:rsid w:val="005503AD"/>
    <w:rsid w:val="00550524"/>
    <w:rsid w:val="00550A50"/>
    <w:rsid w:val="00551309"/>
    <w:rsid w:val="00551314"/>
    <w:rsid w:val="00552334"/>
    <w:rsid w:val="005523F2"/>
    <w:rsid w:val="00552680"/>
    <w:rsid w:val="00552700"/>
    <w:rsid w:val="00552FDC"/>
    <w:rsid w:val="005534FE"/>
    <w:rsid w:val="005536BC"/>
    <w:rsid w:val="00553EAB"/>
    <w:rsid w:val="005542C9"/>
    <w:rsid w:val="00554683"/>
    <w:rsid w:val="005546A8"/>
    <w:rsid w:val="00554750"/>
    <w:rsid w:val="00554B9E"/>
    <w:rsid w:val="00554BA3"/>
    <w:rsid w:val="00554C24"/>
    <w:rsid w:val="005552C5"/>
    <w:rsid w:val="00555D1A"/>
    <w:rsid w:val="005560F5"/>
    <w:rsid w:val="00556212"/>
    <w:rsid w:val="005563AC"/>
    <w:rsid w:val="00556481"/>
    <w:rsid w:val="005569FA"/>
    <w:rsid w:val="005574C2"/>
    <w:rsid w:val="00557653"/>
    <w:rsid w:val="00557693"/>
    <w:rsid w:val="005576B6"/>
    <w:rsid w:val="00557D2F"/>
    <w:rsid w:val="00557FB9"/>
    <w:rsid w:val="0056027E"/>
    <w:rsid w:val="0056077C"/>
    <w:rsid w:val="00560A7E"/>
    <w:rsid w:val="00560C4D"/>
    <w:rsid w:val="00561A34"/>
    <w:rsid w:val="00562689"/>
    <w:rsid w:val="00562865"/>
    <w:rsid w:val="005633F0"/>
    <w:rsid w:val="00563633"/>
    <w:rsid w:val="005638A0"/>
    <w:rsid w:val="00563D2A"/>
    <w:rsid w:val="00564079"/>
    <w:rsid w:val="005640D4"/>
    <w:rsid w:val="00564131"/>
    <w:rsid w:val="005646EA"/>
    <w:rsid w:val="00564940"/>
    <w:rsid w:val="00564ED8"/>
    <w:rsid w:val="00565874"/>
    <w:rsid w:val="00565CE6"/>
    <w:rsid w:val="00565F7C"/>
    <w:rsid w:val="00566305"/>
    <w:rsid w:val="005664FC"/>
    <w:rsid w:val="00566D9C"/>
    <w:rsid w:val="00567153"/>
    <w:rsid w:val="00567196"/>
    <w:rsid w:val="0056751E"/>
    <w:rsid w:val="00567579"/>
    <w:rsid w:val="00567A2C"/>
    <w:rsid w:val="00567C07"/>
    <w:rsid w:val="00567D71"/>
    <w:rsid w:val="005704B3"/>
    <w:rsid w:val="00570A8C"/>
    <w:rsid w:val="00570D3F"/>
    <w:rsid w:val="00570E84"/>
    <w:rsid w:val="00571374"/>
    <w:rsid w:val="005717EA"/>
    <w:rsid w:val="00571850"/>
    <w:rsid w:val="005730EB"/>
    <w:rsid w:val="005732D1"/>
    <w:rsid w:val="005732F3"/>
    <w:rsid w:val="0057374A"/>
    <w:rsid w:val="00573A8D"/>
    <w:rsid w:val="00573B48"/>
    <w:rsid w:val="00573D77"/>
    <w:rsid w:val="00573EA6"/>
    <w:rsid w:val="00574021"/>
    <w:rsid w:val="005746D3"/>
    <w:rsid w:val="00574A06"/>
    <w:rsid w:val="005752A4"/>
    <w:rsid w:val="00575685"/>
    <w:rsid w:val="005760AC"/>
    <w:rsid w:val="0057691E"/>
    <w:rsid w:val="00576EBE"/>
    <w:rsid w:val="00577234"/>
    <w:rsid w:val="00577789"/>
    <w:rsid w:val="005778CB"/>
    <w:rsid w:val="00577E5B"/>
    <w:rsid w:val="00577E7F"/>
    <w:rsid w:val="005806A7"/>
    <w:rsid w:val="00580968"/>
    <w:rsid w:val="00580AAB"/>
    <w:rsid w:val="00581417"/>
    <w:rsid w:val="00581BE2"/>
    <w:rsid w:val="005822AF"/>
    <w:rsid w:val="00582380"/>
    <w:rsid w:val="00582403"/>
    <w:rsid w:val="005824B1"/>
    <w:rsid w:val="00582BED"/>
    <w:rsid w:val="00582DFA"/>
    <w:rsid w:val="00583369"/>
    <w:rsid w:val="0058362D"/>
    <w:rsid w:val="0058387D"/>
    <w:rsid w:val="00583E37"/>
    <w:rsid w:val="00584049"/>
    <w:rsid w:val="0058425C"/>
    <w:rsid w:val="00584C30"/>
    <w:rsid w:val="00584CA8"/>
    <w:rsid w:val="00584E42"/>
    <w:rsid w:val="00585190"/>
    <w:rsid w:val="005852F5"/>
    <w:rsid w:val="005853ED"/>
    <w:rsid w:val="00585832"/>
    <w:rsid w:val="0058596B"/>
    <w:rsid w:val="00585B18"/>
    <w:rsid w:val="00585D68"/>
    <w:rsid w:val="00586132"/>
    <w:rsid w:val="005861DC"/>
    <w:rsid w:val="005871F5"/>
    <w:rsid w:val="005876A2"/>
    <w:rsid w:val="00587ADE"/>
    <w:rsid w:val="00590001"/>
    <w:rsid w:val="00590ABC"/>
    <w:rsid w:val="00590BF3"/>
    <w:rsid w:val="00590E20"/>
    <w:rsid w:val="00591379"/>
    <w:rsid w:val="00591675"/>
    <w:rsid w:val="00591A9D"/>
    <w:rsid w:val="00591DE9"/>
    <w:rsid w:val="0059279F"/>
    <w:rsid w:val="00592A12"/>
    <w:rsid w:val="00592CD6"/>
    <w:rsid w:val="00592F49"/>
    <w:rsid w:val="005931A3"/>
    <w:rsid w:val="005940C0"/>
    <w:rsid w:val="00594140"/>
    <w:rsid w:val="005941CF"/>
    <w:rsid w:val="0059451E"/>
    <w:rsid w:val="00594574"/>
    <w:rsid w:val="00594DA0"/>
    <w:rsid w:val="00594FD3"/>
    <w:rsid w:val="00595CA7"/>
    <w:rsid w:val="00596BF8"/>
    <w:rsid w:val="005972FD"/>
    <w:rsid w:val="00597828"/>
    <w:rsid w:val="00597EF9"/>
    <w:rsid w:val="00597FC8"/>
    <w:rsid w:val="005A03A4"/>
    <w:rsid w:val="005A0641"/>
    <w:rsid w:val="005A086F"/>
    <w:rsid w:val="005A08B3"/>
    <w:rsid w:val="005A090C"/>
    <w:rsid w:val="005A0F51"/>
    <w:rsid w:val="005A1008"/>
    <w:rsid w:val="005A11CA"/>
    <w:rsid w:val="005A138F"/>
    <w:rsid w:val="005A190C"/>
    <w:rsid w:val="005A1967"/>
    <w:rsid w:val="005A19E4"/>
    <w:rsid w:val="005A2046"/>
    <w:rsid w:val="005A2A78"/>
    <w:rsid w:val="005A2D3D"/>
    <w:rsid w:val="005A360F"/>
    <w:rsid w:val="005A3A4A"/>
    <w:rsid w:val="005A3C3E"/>
    <w:rsid w:val="005A3CD0"/>
    <w:rsid w:val="005A450B"/>
    <w:rsid w:val="005A4FBC"/>
    <w:rsid w:val="005A5167"/>
    <w:rsid w:val="005A528A"/>
    <w:rsid w:val="005A5BA7"/>
    <w:rsid w:val="005A5DA8"/>
    <w:rsid w:val="005A62D7"/>
    <w:rsid w:val="005A65DA"/>
    <w:rsid w:val="005A6723"/>
    <w:rsid w:val="005A6D7D"/>
    <w:rsid w:val="005A6EA4"/>
    <w:rsid w:val="005A77CF"/>
    <w:rsid w:val="005A7988"/>
    <w:rsid w:val="005A7DA8"/>
    <w:rsid w:val="005B07C4"/>
    <w:rsid w:val="005B0953"/>
    <w:rsid w:val="005B0C7C"/>
    <w:rsid w:val="005B0E03"/>
    <w:rsid w:val="005B0FCB"/>
    <w:rsid w:val="005B13B0"/>
    <w:rsid w:val="005B13CD"/>
    <w:rsid w:val="005B195F"/>
    <w:rsid w:val="005B1A52"/>
    <w:rsid w:val="005B1AD7"/>
    <w:rsid w:val="005B1DD8"/>
    <w:rsid w:val="005B2415"/>
    <w:rsid w:val="005B2442"/>
    <w:rsid w:val="005B276E"/>
    <w:rsid w:val="005B2788"/>
    <w:rsid w:val="005B2AB4"/>
    <w:rsid w:val="005B2C3F"/>
    <w:rsid w:val="005B2E96"/>
    <w:rsid w:val="005B33AE"/>
    <w:rsid w:val="005B37EE"/>
    <w:rsid w:val="005B3A69"/>
    <w:rsid w:val="005B3C3D"/>
    <w:rsid w:val="005B3D82"/>
    <w:rsid w:val="005B3DD0"/>
    <w:rsid w:val="005B42EB"/>
    <w:rsid w:val="005B47A4"/>
    <w:rsid w:val="005B4E1C"/>
    <w:rsid w:val="005B500B"/>
    <w:rsid w:val="005B5051"/>
    <w:rsid w:val="005B5C60"/>
    <w:rsid w:val="005B5C8A"/>
    <w:rsid w:val="005B6405"/>
    <w:rsid w:val="005B65DE"/>
    <w:rsid w:val="005B6843"/>
    <w:rsid w:val="005B68C0"/>
    <w:rsid w:val="005B70ED"/>
    <w:rsid w:val="005B7196"/>
    <w:rsid w:val="005B74C6"/>
    <w:rsid w:val="005B7D4A"/>
    <w:rsid w:val="005C008D"/>
    <w:rsid w:val="005C019A"/>
    <w:rsid w:val="005C0278"/>
    <w:rsid w:val="005C0480"/>
    <w:rsid w:val="005C0A62"/>
    <w:rsid w:val="005C0B9D"/>
    <w:rsid w:val="005C0BF6"/>
    <w:rsid w:val="005C0CBC"/>
    <w:rsid w:val="005C12D2"/>
    <w:rsid w:val="005C144F"/>
    <w:rsid w:val="005C20A7"/>
    <w:rsid w:val="005C210D"/>
    <w:rsid w:val="005C2114"/>
    <w:rsid w:val="005C2575"/>
    <w:rsid w:val="005C27AF"/>
    <w:rsid w:val="005C282C"/>
    <w:rsid w:val="005C2C2F"/>
    <w:rsid w:val="005C308A"/>
    <w:rsid w:val="005C32B1"/>
    <w:rsid w:val="005C32DE"/>
    <w:rsid w:val="005C37FC"/>
    <w:rsid w:val="005C383C"/>
    <w:rsid w:val="005C38EA"/>
    <w:rsid w:val="005C3A0C"/>
    <w:rsid w:val="005C40CA"/>
    <w:rsid w:val="005C413D"/>
    <w:rsid w:val="005C4395"/>
    <w:rsid w:val="005C46D9"/>
    <w:rsid w:val="005C47A5"/>
    <w:rsid w:val="005C47B6"/>
    <w:rsid w:val="005C4BBB"/>
    <w:rsid w:val="005C4BF2"/>
    <w:rsid w:val="005C4D13"/>
    <w:rsid w:val="005C51BB"/>
    <w:rsid w:val="005C5EDA"/>
    <w:rsid w:val="005C65E0"/>
    <w:rsid w:val="005C7C8A"/>
    <w:rsid w:val="005C7E9A"/>
    <w:rsid w:val="005C7EF0"/>
    <w:rsid w:val="005D01FD"/>
    <w:rsid w:val="005D05B8"/>
    <w:rsid w:val="005D0617"/>
    <w:rsid w:val="005D097C"/>
    <w:rsid w:val="005D10FA"/>
    <w:rsid w:val="005D11BE"/>
    <w:rsid w:val="005D19E0"/>
    <w:rsid w:val="005D1C7F"/>
    <w:rsid w:val="005D2011"/>
    <w:rsid w:val="005D20A7"/>
    <w:rsid w:val="005D2DC9"/>
    <w:rsid w:val="005D2E3B"/>
    <w:rsid w:val="005D2E90"/>
    <w:rsid w:val="005D37AA"/>
    <w:rsid w:val="005D3BFD"/>
    <w:rsid w:val="005D42A5"/>
    <w:rsid w:val="005D4B3D"/>
    <w:rsid w:val="005D4B4D"/>
    <w:rsid w:val="005D4DFD"/>
    <w:rsid w:val="005D57DB"/>
    <w:rsid w:val="005D5A53"/>
    <w:rsid w:val="005D5A60"/>
    <w:rsid w:val="005D5B4C"/>
    <w:rsid w:val="005D5CAC"/>
    <w:rsid w:val="005D6052"/>
    <w:rsid w:val="005D7249"/>
    <w:rsid w:val="005D7EE4"/>
    <w:rsid w:val="005E0A23"/>
    <w:rsid w:val="005E0F4D"/>
    <w:rsid w:val="005E1309"/>
    <w:rsid w:val="005E1B0F"/>
    <w:rsid w:val="005E1E35"/>
    <w:rsid w:val="005E2244"/>
    <w:rsid w:val="005E271A"/>
    <w:rsid w:val="005E2B61"/>
    <w:rsid w:val="005E2F61"/>
    <w:rsid w:val="005E377B"/>
    <w:rsid w:val="005E3D05"/>
    <w:rsid w:val="005E3F3C"/>
    <w:rsid w:val="005E3F85"/>
    <w:rsid w:val="005E409B"/>
    <w:rsid w:val="005E479A"/>
    <w:rsid w:val="005E47BA"/>
    <w:rsid w:val="005E49F9"/>
    <w:rsid w:val="005E4B4C"/>
    <w:rsid w:val="005E4DFC"/>
    <w:rsid w:val="005E4ECE"/>
    <w:rsid w:val="005E4F0B"/>
    <w:rsid w:val="005E5530"/>
    <w:rsid w:val="005E560B"/>
    <w:rsid w:val="005E59B3"/>
    <w:rsid w:val="005E6373"/>
    <w:rsid w:val="005E6734"/>
    <w:rsid w:val="005E7374"/>
    <w:rsid w:val="005E76AF"/>
    <w:rsid w:val="005E78D0"/>
    <w:rsid w:val="005F045B"/>
    <w:rsid w:val="005F04CC"/>
    <w:rsid w:val="005F087F"/>
    <w:rsid w:val="005F08D9"/>
    <w:rsid w:val="005F0FF8"/>
    <w:rsid w:val="005F1184"/>
    <w:rsid w:val="005F1728"/>
    <w:rsid w:val="005F17BD"/>
    <w:rsid w:val="005F1921"/>
    <w:rsid w:val="005F21A4"/>
    <w:rsid w:val="005F24D0"/>
    <w:rsid w:val="005F2968"/>
    <w:rsid w:val="005F29B1"/>
    <w:rsid w:val="005F3005"/>
    <w:rsid w:val="005F319E"/>
    <w:rsid w:val="005F3830"/>
    <w:rsid w:val="005F395C"/>
    <w:rsid w:val="005F3AA2"/>
    <w:rsid w:val="005F417B"/>
    <w:rsid w:val="005F4362"/>
    <w:rsid w:val="005F492B"/>
    <w:rsid w:val="005F4D1E"/>
    <w:rsid w:val="005F4EC8"/>
    <w:rsid w:val="005F51D5"/>
    <w:rsid w:val="005F5EC4"/>
    <w:rsid w:val="005F6039"/>
    <w:rsid w:val="005F63E2"/>
    <w:rsid w:val="005F65B1"/>
    <w:rsid w:val="005F69EA"/>
    <w:rsid w:val="005F6B40"/>
    <w:rsid w:val="005F6C50"/>
    <w:rsid w:val="005F7916"/>
    <w:rsid w:val="006000DE"/>
    <w:rsid w:val="0060074C"/>
    <w:rsid w:val="00600840"/>
    <w:rsid w:val="0060093C"/>
    <w:rsid w:val="0060103C"/>
    <w:rsid w:val="00601271"/>
    <w:rsid w:val="00601277"/>
    <w:rsid w:val="00601FD9"/>
    <w:rsid w:val="00602692"/>
    <w:rsid w:val="006027FF"/>
    <w:rsid w:val="006028AE"/>
    <w:rsid w:val="006028F5"/>
    <w:rsid w:val="00602A08"/>
    <w:rsid w:val="00602B7E"/>
    <w:rsid w:val="00602DC2"/>
    <w:rsid w:val="00603184"/>
    <w:rsid w:val="0060358B"/>
    <w:rsid w:val="00603624"/>
    <w:rsid w:val="006037FD"/>
    <w:rsid w:val="00603AAB"/>
    <w:rsid w:val="00603B05"/>
    <w:rsid w:val="006040F8"/>
    <w:rsid w:val="006045DB"/>
    <w:rsid w:val="006046F2"/>
    <w:rsid w:val="006047F2"/>
    <w:rsid w:val="00604A51"/>
    <w:rsid w:val="006050A6"/>
    <w:rsid w:val="0060561C"/>
    <w:rsid w:val="00605858"/>
    <w:rsid w:val="006060A9"/>
    <w:rsid w:val="006066F3"/>
    <w:rsid w:val="00606881"/>
    <w:rsid w:val="00606CDD"/>
    <w:rsid w:val="00606E8D"/>
    <w:rsid w:val="0060751D"/>
    <w:rsid w:val="00607658"/>
    <w:rsid w:val="00607771"/>
    <w:rsid w:val="00607A12"/>
    <w:rsid w:val="00607B81"/>
    <w:rsid w:val="00610498"/>
    <w:rsid w:val="006106A6"/>
    <w:rsid w:val="0061118E"/>
    <w:rsid w:val="006115C2"/>
    <w:rsid w:val="00611C09"/>
    <w:rsid w:val="006124A3"/>
    <w:rsid w:val="0061275E"/>
    <w:rsid w:val="00612AC2"/>
    <w:rsid w:val="006135A9"/>
    <w:rsid w:val="00613AD3"/>
    <w:rsid w:val="00613DA1"/>
    <w:rsid w:val="00614312"/>
    <w:rsid w:val="0061440F"/>
    <w:rsid w:val="006148CA"/>
    <w:rsid w:val="006148E4"/>
    <w:rsid w:val="00614F4B"/>
    <w:rsid w:val="006155E3"/>
    <w:rsid w:val="006157B1"/>
    <w:rsid w:val="00615E39"/>
    <w:rsid w:val="00616A82"/>
    <w:rsid w:val="00616C7F"/>
    <w:rsid w:val="006175D9"/>
    <w:rsid w:val="006176C5"/>
    <w:rsid w:val="00617966"/>
    <w:rsid w:val="00620217"/>
    <w:rsid w:val="0062022B"/>
    <w:rsid w:val="006203CE"/>
    <w:rsid w:val="00620462"/>
    <w:rsid w:val="00620543"/>
    <w:rsid w:val="006206BE"/>
    <w:rsid w:val="0062083C"/>
    <w:rsid w:val="00620D71"/>
    <w:rsid w:val="006210E0"/>
    <w:rsid w:val="00621119"/>
    <w:rsid w:val="00621574"/>
    <w:rsid w:val="00621706"/>
    <w:rsid w:val="006217B0"/>
    <w:rsid w:val="00621868"/>
    <w:rsid w:val="00621DB2"/>
    <w:rsid w:val="00621E78"/>
    <w:rsid w:val="0062233E"/>
    <w:rsid w:val="00622558"/>
    <w:rsid w:val="0062264F"/>
    <w:rsid w:val="00622DE0"/>
    <w:rsid w:val="0062348B"/>
    <w:rsid w:val="00623657"/>
    <w:rsid w:val="00623BB1"/>
    <w:rsid w:val="00623E1C"/>
    <w:rsid w:val="00623FF0"/>
    <w:rsid w:val="00624702"/>
    <w:rsid w:val="006248F3"/>
    <w:rsid w:val="0062495D"/>
    <w:rsid w:val="00624F2B"/>
    <w:rsid w:val="006255B1"/>
    <w:rsid w:val="0062568D"/>
    <w:rsid w:val="0062653F"/>
    <w:rsid w:val="006275D5"/>
    <w:rsid w:val="00627834"/>
    <w:rsid w:val="00627DFE"/>
    <w:rsid w:val="00630127"/>
    <w:rsid w:val="006302B3"/>
    <w:rsid w:val="00630996"/>
    <w:rsid w:val="00630CD3"/>
    <w:rsid w:val="0063134E"/>
    <w:rsid w:val="00631726"/>
    <w:rsid w:val="00631881"/>
    <w:rsid w:val="00631FD5"/>
    <w:rsid w:val="00632388"/>
    <w:rsid w:val="00632515"/>
    <w:rsid w:val="00632861"/>
    <w:rsid w:val="00632869"/>
    <w:rsid w:val="00633139"/>
    <w:rsid w:val="0063317C"/>
    <w:rsid w:val="0063348E"/>
    <w:rsid w:val="006338D1"/>
    <w:rsid w:val="00633A93"/>
    <w:rsid w:val="00633BDD"/>
    <w:rsid w:val="0063414E"/>
    <w:rsid w:val="00634758"/>
    <w:rsid w:val="00634993"/>
    <w:rsid w:val="006349A8"/>
    <w:rsid w:val="0063505A"/>
    <w:rsid w:val="00635C9F"/>
    <w:rsid w:val="00635FD1"/>
    <w:rsid w:val="0063617A"/>
    <w:rsid w:val="00636216"/>
    <w:rsid w:val="006366F3"/>
    <w:rsid w:val="00636B32"/>
    <w:rsid w:val="00636B96"/>
    <w:rsid w:val="00636F32"/>
    <w:rsid w:val="00637109"/>
    <w:rsid w:val="006378A5"/>
    <w:rsid w:val="00637B2C"/>
    <w:rsid w:val="00640088"/>
    <w:rsid w:val="006402EE"/>
    <w:rsid w:val="00640384"/>
    <w:rsid w:val="0064065F"/>
    <w:rsid w:val="00640899"/>
    <w:rsid w:val="006408E2"/>
    <w:rsid w:val="006409D2"/>
    <w:rsid w:val="00640D2F"/>
    <w:rsid w:val="0064166B"/>
    <w:rsid w:val="00641A5C"/>
    <w:rsid w:val="00641BD9"/>
    <w:rsid w:val="006428EC"/>
    <w:rsid w:val="00642DDD"/>
    <w:rsid w:val="00642FE5"/>
    <w:rsid w:val="00643296"/>
    <w:rsid w:val="006435A0"/>
    <w:rsid w:val="006439D6"/>
    <w:rsid w:val="00644659"/>
    <w:rsid w:val="00644B9F"/>
    <w:rsid w:val="00644D5A"/>
    <w:rsid w:val="00644E71"/>
    <w:rsid w:val="006453C2"/>
    <w:rsid w:val="0064562C"/>
    <w:rsid w:val="00645976"/>
    <w:rsid w:val="006467B4"/>
    <w:rsid w:val="006467DF"/>
    <w:rsid w:val="00646A6D"/>
    <w:rsid w:val="00646B23"/>
    <w:rsid w:val="00646EFB"/>
    <w:rsid w:val="00647213"/>
    <w:rsid w:val="00647469"/>
    <w:rsid w:val="00647839"/>
    <w:rsid w:val="00647F42"/>
    <w:rsid w:val="00647F66"/>
    <w:rsid w:val="00650A81"/>
    <w:rsid w:val="00651857"/>
    <w:rsid w:val="00651933"/>
    <w:rsid w:val="00651AE7"/>
    <w:rsid w:val="00651BC6"/>
    <w:rsid w:val="00651CCE"/>
    <w:rsid w:val="00651F5F"/>
    <w:rsid w:val="00651FFF"/>
    <w:rsid w:val="006521E3"/>
    <w:rsid w:val="00652898"/>
    <w:rsid w:val="00652A0E"/>
    <w:rsid w:val="00652E61"/>
    <w:rsid w:val="006531D7"/>
    <w:rsid w:val="006539A4"/>
    <w:rsid w:val="00653AB1"/>
    <w:rsid w:val="00653E0A"/>
    <w:rsid w:val="0065411A"/>
    <w:rsid w:val="006542D6"/>
    <w:rsid w:val="00654523"/>
    <w:rsid w:val="00654595"/>
    <w:rsid w:val="00654A30"/>
    <w:rsid w:val="00655601"/>
    <w:rsid w:val="00655C6A"/>
    <w:rsid w:val="00655CE1"/>
    <w:rsid w:val="00656E2A"/>
    <w:rsid w:val="00656F94"/>
    <w:rsid w:val="00657307"/>
    <w:rsid w:val="00657736"/>
    <w:rsid w:val="00657737"/>
    <w:rsid w:val="00657C87"/>
    <w:rsid w:val="00660079"/>
    <w:rsid w:val="006601FC"/>
    <w:rsid w:val="0066021E"/>
    <w:rsid w:val="0066050B"/>
    <w:rsid w:val="00660813"/>
    <w:rsid w:val="0066120B"/>
    <w:rsid w:val="0066144B"/>
    <w:rsid w:val="00661664"/>
    <w:rsid w:val="006621DE"/>
    <w:rsid w:val="00662541"/>
    <w:rsid w:val="00662D42"/>
    <w:rsid w:val="00662D65"/>
    <w:rsid w:val="00662EFC"/>
    <w:rsid w:val="00662F34"/>
    <w:rsid w:val="006632C9"/>
    <w:rsid w:val="0066343B"/>
    <w:rsid w:val="006634D8"/>
    <w:rsid w:val="00663563"/>
    <w:rsid w:val="00663B8D"/>
    <w:rsid w:val="00664546"/>
    <w:rsid w:val="00664FCB"/>
    <w:rsid w:val="0066501F"/>
    <w:rsid w:val="00665075"/>
    <w:rsid w:val="006651CE"/>
    <w:rsid w:val="0066520D"/>
    <w:rsid w:val="00665510"/>
    <w:rsid w:val="006657EA"/>
    <w:rsid w:val="00665A77"/>
    <w:rsid w:val="00666028"/>
    <w:rsid w:val="00666042"/>
    <w:rsid w:val="00666225"/>
    <w:rsid w:val="0066639B"/>
    <w:rsid w:val="006666CA"/>
    <w:rsid w:val="006667D3"/>
    <w:rsid w:val="006668AB"/>
    <w:rsid w:val="0066698D"/>
    <w:rsid w:val="00666A0F"/>
    <w:rsid w:val="00666E12"/>
    <w:rsid w:val="00666F14"/>
    <w:rsid w:val="00666FC5"/>
    <w:rsid w:val="006673DE"/>
    <w:rsid w:val="00667A10"/>
    <w:rsid w:val="00667B20"/>
    <w:rsid w:val="0067031F"/>
    <w:rsid w:val="00670774"/>
    <w:rsid w:val="006707F5"/>
    <w:rsid w:val="006709DE"/>
    <w:rsid w:val="00670C8A"/>
    <w:rsid w:val="00671054"/>
    <w:rsid w:val="006713DC"/>
    <w:rsid w:val="00671941"/>
    <w:rsid w:val="00671A45"/>
    <w:rsid w:val="00671E75"/>
    <w:rsid w:val="0067242C"/>
    <w:rsid w:val="006724AE"/>
    <w:rsid w:val="0067257F"/>
    <w:rsid w:val="00672CA7"/>
    <w:rsid w:val="00673D2D"/>
    <w:rsid w:val="00674A55"/>
    <w:rsid w:val="00674DE7"/>
    <w:rsid w:val="00675110"/>
    <w:rsid w:val="006751E1"/>
    <w:rsid w:val="0067547B"/>
    <w:rsid w:val="00675AB6"/>
    <w:rsid w:val="00676350"/>
    <w:rsid w:val="00676455"/>
    <w:rsid w:val="0067770F"/>
    <w:rsid w:val="0067781E"/>
    <w:rsid w:val="006779FA"/>
    <w:rsid w:val="0068048E"/>
    <w:rsid w:val="006809E7"/>
    <w:rsid w:val="00681C16"/>
    <w:rsid w:val="00681C4E"/>
    <w:rsid w:val="00681D8A"/>
    <w:rsid w:val="00681FCF"/>
    <w:rsid w:val="0068244E"/>
    <w:rsid w:val="00682A07"/>
    <w:rsid w:val="0068355A"/>
    <w:rsid w:val="00683877"/>
    <w:rsid w:val="006838B4"/>
    <w:rsid w:val="00683D7D"/>
    <w:rsid w:val="00683D97"/>
    <w:rsid w:val="0068455D"/>
    <w:rsid w:val="00684A1D"/>
    <w:rsid w:val="00684EA9"/>
    <w:rsid w:val="00684F40"/>
    <w:rsid w:val="0068512E"/>
    <w:rsid w:val="0068526E"/>
    <w:rsid w:val="00685549"/>
    <w:rsid w:val="00685767"/>
    <w:rsid w:val="00685F10"/>
    <w:rsid w:val="006861CD"/>
    <w:rsid w:val="00686686"/>
    <w:rsid w:val="00686AAA"/>
    <w:rsid w:val="00687AAA"/>
    <w:rsid w:val="00687CCE"/>
    <w:rsid w:val="00687E52"/>
    <w:rsid w:val="006902D5"/>
    <w:rsid w:val="00690451"/>
    <w:rsid w:val="00690776"/>
    <w:rsid w:val="00690AB8"/>
    <w:rsid w:val="00690BAB"/>
    <w:rsid w:val="00690C8A"/>
    <w:rsid w:val="00690CD1"/>
    <w:rsid w:val="00690FC4"/>
    <w:rsid w:val="006913BE"/>
    <w:rsid w:val="00691CB1"/>
    <w:rsid w:val="00692489"/>
    <w:rsid w:val="006935FF"/>
    <w:rsid w:val="006938AD"/>
    <w:rsid w:val="00693A4F"/>
    <w:rsid w:val="00693BA1"/>
    <w:rsid w:val="006942EA"/>
    <w:rsid w:val="006944B0"/>
    <w:rsid w:val="00694686"/>
    <w:rsid w:val="006951C4"/>
    <w:rsid w:val="006957BF"/>
    <w:rsid w:val="00695834"/>
    <w:rsid w:val="00695CD7"/>
    <w:rsid w:val="006968F2"/>
    <w:rsid w:val="00696D3A"/>
    <w:rsid w:val="00696E6D"/>
    <w:rsid w:val="006972D4"/>
    <w:rsid w:val="006974A6"/>
    <w:rsid w:val="006A00CF"/>
    <w:rsid w:val="006A0835"/>
    <w:rsid w:val="006A0D68"/>
    <w:rsid w:val="006A129B"/>
    <w:rsid w:val="006A17DB"/>
    <w:rsid w:val="006A2BA1"/>
    <w:rsid w:val="006A2C46"/>
    <w:rsid w:val="006A4343"/>
    <w:rsid w:val="006A498A"/>
    <w:rsid w:val="006A5A79"/>
    <w:rsid w:val="006A668F"/>
    <w:rsid w:val="006A696D"/>
    <w:rsid w:val="006A6971"/>
    <w:rsid w:val="006A6BB1"/>
    <w:rsid w:val="006A6DE4"/>
    <w:rsid w:val="006A6EAB"/>
    <w:rsid w:val="006A73B0"/>
    <w:rsid w:val="006A74E9"/>
    <w:rsid w:val="006A76C2"/>
    <w:rsid w:val="006A789D"/>
    <w:rsid w:val="006A7C31"/>
    <w:rsid w:val="006B004D"/>
    <w:rsid w:val="006B0490"/>
    <w:rsid w:val="006B079B"/>
    <w:rsid w:val="006B07E8"/>
    <w:rsid w:val="006B083F"/>
    <w:rsid w:val="006B09C8"/>
    <w:rsid w:val="006B0C9A"/>
    <w:rsid w:val="006B0DEF"/>
    <w:rsid w:val="006B11BE"/>
    <w:rsid w:val="006B174A"/>
    <w:rsid w:val="006B1F6A"/>
    <w:rsid w:val="006B26ED"/>
    <w:rsid w:val="006B2920"/>
    <w:rsid w:val="006B2C67"/>
    <w:rsid w:val="006B3551"/>
    <w:rsid w:val="006B3AE4"/>
    <w:rsid w:val="006B3BED"/>
    <w:rsid w:val="006B41B8"/>
    <w:rsid w:val="006B4544"/>
    <w:rsid w:val="006B4F40"/>
    <w:rsid w:val="006B52F3"/>
    <w:rsid w:val="006B55B8"/>
    <w:rsid w:val="006B561D"/>
    <w:rsid w:val="006B5EC1"/>
    <w:rsid w:val="006B6145"/>
    <w:rsid w:val="006B6295"/>
    <w:rsid w:val="006B6468"/>
    <w:rsid w:val="006B65C7"/>
    <w:rsid w:val="006B68D6"/>
    <w:rsid w:val="006B6C5E"/>
    <w:rsid w:val="006B6C9D"/>
    <w:rsid w:val="006B7A42"/>
    <w:rsid w:val="006C0441"/>
    <w:rsid w:val="006C070C"/>
    <w:rsid w:val="006C072A"/>
    <w:rsid w:val="006C0B1B"/>
    <w:rsid w:val="006C0B58"/>
    <w:rsid w:val="006C0E2A"/>
    <w:rsid w:val="006C1535"/>
    <w:rsid w:val="006C1C96"/>
    <w:rsid w:val="006C1ED5"/>
    <w:rsid w:val="006C22C8"/>
    <w:rsid w:val="006C2330"/>
    <w:rsid w:val="006C2697"/>
    <w:rsid w:val="006C28BE"/>
    <w:rsid w:val="006C2BC5"/>
    <w:rsid w:val="006C31D5"/>
    <w:rsid w:val="006C3654"/>
    <w:rsid w:val="006C3F66"/>
    <w:rsid w:val="006C3F85"/>
    <w:rsid w:val="006C40BC"/>
    <w:rsid w:val="006C41DD"/>
    <w:rsid w:val="006C471E"/>
    <w:rsid w:val="006C50F9"/>
    <w:rsid w:val="006C55F3"/>
    <w:rsid w:val="006C560F"/>
    <w:rsid w:val="006C6329"/>
    <w:rsid w:val="006C64FC"/>
    <w:rsid w:val="006C68BD"/>
    <w:rsid w:val="006C6BCF"/>
    <w:rsid w:val="006C7BA2"/>
    <w:rsid w:val="006D01F6"/>
    <w:rsid w:val="006D07DD"/>
    <w:rsid w:val="006D07FC"/>
    <w:rsid w:val="006D0839"/>
    <w:rsid w:val="006D099F"/>
    <w:rsid w:val="006D106C"/>
    <w:rsid w:val="006D11C3"/>
    <w:rsid w:val="006D124D"/>
    <w:rsid w:val="006D16A3"/>
    <w:rsid w:val="006D175A"/>
    <w:rsid w:val="006D1C74"/>
    <w:rsid w:val="006D1F1D"/>
    <w:rsid w:val="006D215B"/>
    <w:rsid w:val="006D2AE0"/>
    <w:rsid w:val="006D2F7E"/>
    <w:rsid w:val="006D38FC"/>
    <w:rsid w:val="006D393C"/>
    <w:rsid w:val="006D4167"/>
    <w:rsid w:val="006D42CC"/>
    <w:rsid w:val="006D48A6"/>
    <w:rsid w:val="006D5296"/>
    <w:rsid w:val="006D53ED"/>
    <w:rsid w:val="006D55D4"/>
    <w:rsid w:val="006D5733"/>
    <w:rsid w:val="006D5747"/>
    <w:rsid w:val="006D58EB"/>
    <w:rsid w:val="006D5959"/>
    <w:rsid w:val="006D5A8A"/>
    <w:rsid w:val="006D627E"/>
    <w:rsid w:val="006D6413"/>
    <w:rsid w:val="006D66F8"/>
    <w:rsid w:val="006D7075"/>
    <w:rsid w:val="006D78C5"/>
    <w:rsid w:val="006D7A4C"/>
    <w:rsid w:val="006E04B6"/>
    <w:rsid w:val="006E091D"/>
    <w:rsid w:val="006E0FC3"/>
    <w:rsid w:val="006E104F"/>
    <w:rsid w:val="006E15EB"/>
    <w:rsid w:val="006E1AC6"/>
    <w:rsid w:val="006E1B68"/>
    <w:rsid w:val="006E20D9"/>
    <w:rsid w:val="006E27EB"/>
    <w:rsid w:val="006E3076"/>
    <w:rsid w:val="006E32F7"/>
    <w:rsid w:val="006E458C"/>
    <w:rsid w:val="006E496B"/>
    <w:rsid w:val="006E4BE4"/>
    <w:rsid w:val="006E4BFD"/>
    <w:rsid w:val="006E51D5"/>
    <w:rsid w:val="006E5C87"/>
    <w:rsid w:val="006E7BAF"/>
    <w:rsid w:val="006E7BC8"/>
    <w:rsid w:val="006F0200"/>
    <w:rsid w:val="006F0440"/>
    <w:rsid w:val="006F0473"/>
    <w:rsid w:val="006F06DE"/>
    <w:rsid w:val="006F09D3"/>
    <w:rsid w:val="006F0DCC"/>
    <w:rsid w:val="006F15C3"/>
    <w:rsid w:val="006F1611"/>
    <w:rsid w:val="006F16B5"/>
    <w:rsid w:val="006F1AE4"/>
    <w:rsid w:val="006F22B6"/>
    <w:rsid w:val="006F22CA"/>
    <w:rsid w:val="006F230A"/>
    <w:rsid w:val="006F2861"/>
    <w:rsid w:val="006F3820"/>
    <w:rsid w:val="006F387B"/>
    <w:rsid w:val="006F38C2"/>
    <w:rsid w:val="006F3A0C"/>
    <w:rsid w:val="006F41DC"/>
    <w:rsid w:val="006F41E7"/>
    <w:rsid w:val="006F496C"/>
    <w:rsid w:val="006F4985"/>
    <w:rsid w:val="006F4D17"/>
    <w:rsid w:val="006F4E1B"/>
    <w:rsid w:val="006F4EFB"/>
    <w:rsid w:val="006F55FE"/>
    <w:rsid w:val="006F5653"/>
    <w:rsid w:val="006F58E0"/>
    <w:rsid w:val="006F5D24"/>
    <w:rsid w:val="006F5F52"/>
    <w:rsid w:val="006F669F"/>
    <w:rsid w:val="006F6D9C"/>
    <w:rsid w:val="006F6DCE"/>
    <w:rsid w:val="006F6F9D"/>
    <w:rsid w:val="006F7931"/>
    <w:rsid w:val="006F7DCE"/>
    <w:rsid w:val="00700155"/>
    <w:rsid w:val="007001F0"/>
    <w:rsid w:val="0070046E"/>
    <w:rsid w:val="00700F67"/>
    <w:rsid w:val="00701054"/>
    <w:rsid w:val="007017F3"/>
    <w:rsid w:val="00701A4C"/>
    <w:rsid w:val="00701C28"/>
    <w:rsid w:val="00701E61"/>
    <w:rsid w:val="007021B9"/>
    <w:rsid w:val="007021FD"/>
    <w:rsid w:val="007024D5"/>
    <w:rsid w:val="00702A28"/>
    <w:rsid w:val="00702A46"/>
    <w:rsid w:val="00702BA1"/>
    <w:rsid w:val="00702BE3"/>
    <w:rsid w:val="00702D30"/>
    <w:rsid w:val="00702D6F"/>
    <w:rsid w:val="00702EF6"/>
    <w:rsid w:val="00702F9D"/>
    <w:rsid w:val="007035C3"/>
    <w:rsid w:val="00703A08"/>
    <w:rsid w:val="00703BB4"/>
    <w:rsid w:val="00703D77"/>
    <w:rsid w:val="007041DA"/>
    <w:rsid w:val="0070438C"/>
    <w:rsid w:val="007044A3"/>
    <w:rsid w:val="00704693"/>
    <w:rsid w:val="00705122"/>
    <w:rsid w:val="00705B0F"/>
    <w:rsid w:val="00705D05"/>
    <w:rsid w:val="00705D60"/>
    <w:rsid w:val="0070614F"/>
    <w:rsid w:val="007061CF"/>
    <w:rsid w:val="007064AA"/>
    <w:rsid w:val="00707582"/>
    <w:rsid w:val="00707F3D"/>
    <w:rsid w:val="007101C0"/>
    <w:rsid w:val="007102C9"/>
    <w:rsid w:val="00710937"/>
    <w:rsid w:val="00710D0A"/>
    <w:rsid w:val="00710ED9"/>
    <w:rsid w:val="007110F6"/>
    <w:rsid w:val="007113B5"/>
    <w:rsid w:val="0071176E"/>
    <w:rsid w:val="00711ADB"/>
    <w:rsid w:val="007120B5"/>
    <w:rsid w:val="0071213C"/>
    <w:rsid w:val="0071237C"/>
    <w:rsid w:val="00712419"/>
    <w:rsid w:val="007125DD"/>
    <w:rsid w:val="00712D88"/>
    <w:rsid w:val="0071324E"/>
    <w:rsid w:val="00713329"/>
    <w:rsid w:val="00713E03"/>
    <w:rsid w:val="00714092"/>
    <w:rsid w:val="007142C8"/>
    <w:rsid w:val="00714FF3"/>
    <w:rsid w:val="0071528B"/>
    <w:rsid w:val="00715570"/>
    <w:rsid w:val="00715765"/>
    <w:rsid w:val="00715CF7"/>
    <w:rsid w:val="00715EC6"/>
    <w:rsid w:val="00715FE5"/>
    <w:rsid w:val="00716203"/>
    <w:rsid w:val="00716434"/>
    <w:rsid w:val="007166CA"/>
    <w:rsid w:val="00716AAC"/>
    <w:rsid w:val="00716D5C"/>
    <w:rsid w:val="00717F9B"/>
    <w:rsid w:val="00720844"/>
    <w:rsid w:val="00720D50"/>
    <w:rsid w:val="00721154"/>
    <w:rsid w:val="00722034"/>
    <w:rsid w:val="0072231E"/>
    <w:rsid w:val="00722826"/>
    <w:rsid w:val="00722B6A"/>
    <w:rsid w:val="00722E0A"/>
    <w:rsid w:val="00722E90"/>
    <w:rsid w:val="00722ED1"/>
    <w:rsid w:val="00723207"/>
    <w:rsid w:val="00723438"/>
    <w:rsid w:val="0072355C"/>
    <w:rsid w:val="00723756"/>
    <w:rsid w:val="0072388F"/>
    <w:rsid w:val="00723F15"/>
    <w:rsid w:val="007248A0"/>
    <w:rsid w:val="00724E68"/>
    <w:rsid w:val="007250FE"/>
    <w:rsid w:val="0072521E"/>
    <w:rsid w:val="00725417"/>
    <w:rsid w:val="00725D42"/>
    <w:rsid w:val="00725E7F"/>
    <w:rsid w:val="007262FF"/>
    <w:rsid w:val="007264A1"/>
    <w:rsid w:val="007265E5"/>
    <w:rsid w:val="007269B6"/>
    <w:rsid w:val="007269FB"/>
    <w:rsid w:val="00726B29"/>
    <w:rsid w:val="00726FD0"/>
    <w:rsid w:val="007272C4"/>
    <w:rsid w:val="007277D1"/>
    <w:rsid w:val="007278B2"/>
    <w:rsid w:val="007278EA"/>
    <w:rsid w:val="00727DBB"/>
    <w:rsid w:val="00727F80"/>
    <w:rsid w:val="007303EE"/>
    <w:rsid w:val="007305AB"/>
    <w:rsid w:val="007306AD"/>
    <w:rsid w:val="0073081C"/>
    <w:rsid w:val="00730A01"/>
    <w:rsid w:val="00730ECD"/>
    <w:rsid w:val="00731702"/>
    <w:rsid w:val="007318D7"/>
    <w:rsid w:val="00731A9C"/>
    <w:rsid w:val="00731D3F"/>
    <w:rsid w:val="00732945"/>
    <w:rsid w:val="00732E56"/>
    <w:rsid w:val="00732F6E"/>
    <w:rsid w:val="007330CE"/>
    <w:rsid w:val="0073353E"/>
    <w:rsid w:val="00733838"/>
    <w:rsid w:val="00733A82"/>
    <w:rsid w:val="00733EA9"/>
    <w:rsid w:val="0073441E"/>
    <w:rsid w:val="00734695"/>
    <w:rsid w:val="0073524B"/>
    <w:rsid w:val="00735315"/>
    <w:rsid w:val="007359D1"/>
    <w:rsid w:val="00735A94"/>
    <w:rsid w:val="00735FCF"/>
    <w:rsid w:val="0073636E"/>
    <w:rsid w:val="00736F5B"/>
    <w:rsid w:val="00736F74"/>
    <w:rsid w:val="007377F3"/>
    <w:rsid w:val="00740705"/>
    <w:rsid w:val="007407A3"/>
    <w:rsid w:val="00740801"/>
    <w:rsid w:val="007408A9"/>
    <w:rsid w:val="00740979"/>
    <w:rsid w:val="00740BD4"/>
    <w:rsid w:val="00740EB4"/>
    <w:rsid w:val="007413D1"/>
    <w:rsid w:val="00741497"/>
    <w:rsid w:val="0074149E"/>
    <w:rsid w:val="00741C7E"/>
    <w:rsid w:val="00741DBF"/>
    <w:rsid w:val="00741FCD"/>
    <w:rsid w:val="007420C7"/>
    <w:rsid w:val="00742426"/>
    <w:rsid w:val="00742600"/>
    <w:rsid w:val="0074266A"/>
    <w:rsid w:val="00742AFE"/>
    <w:rsid w:val="00742E40"/>
    <w:rsid w:val="00742F94"/>
    <w:rsid w:val="0074318C"/>
    <w:rsid w:val="00743275"/>
    <w:rsid w:val="007433CD"/>
    <w:rsid w:val="00744017"/>
    <w:rsid w:val="00744082"/>
    <w:rsid w:val="00744186"/>
    <w:rsid w:val="007445B8"/>
    <w:rsid w:val="00744C67"/>
    <w:rsid w:val="0074537F"/>
    <w:rsid w:val="00745590"/>
    <w:rsid w:val="00746118"/>
    <w:rsid w:val="007464CF"/>
    <w:rsid w:val="007469E8"/>
    <w:rsid w:val="0074712E"/>
    <w:rsid w:val="007471B4"/>
    <w:rsid w:val="007479A3"/>
    <w:rsid w:val="007502D0"/>
    <w:rsid w:val="00750878"/>
    <w:rsid w:val="00750A3C"/>
    <w:rsid w:val="00750ACE"/>
    <w:rsid w:val="00750E89"/>
    <w:rsid w:val="00751677"/>
    <w:rsid w:val="0075176C"/>
    <w:rsid w:val="00752041"/>
    <w:rsid w:val="007520C0"/>
    <w:rsid w:val="00752224"/>
    <w:rsid w:val="007523C1"/>
    <w:rsid w:val="0075243C"/>
    <w:rsid w:val="007538DD"/>
    <w:rsid w:val="0075394B"/>
    <w:rsid w:val="00753B94"/>
    <w:rsid w:val="00753C35"/>
    <w:rsid w:val="0075430F"/>
    <w:rsid w:val="007545C4"/>
    <w:rsid w:val="00754838"/>
    <w:rsid w:val="00755E44"/>
    <w:rsid w:val="00755FF8"/>
    <w:rsid w:val="00756090"/>
    <w:rsid w:val="00756B7B"/>
    <w:rsid w:val="00756C84"/>
    <w:rsid w:val="0075718E"/>
    <w:rsid w:val="007574E5"/>
    <w:rsid w:val="00757DCD"/>
    <w:rsid w:val="007600E7"/>
    <w:rsid w:val="00760268"/>
    <w:rsid w:val="0076033D"/>
    <w:rsid w:val="0076059C"/>
    <w:rsid w:val="00760D78"/>
    <w:rsid w:val="00760E53"/>
    <w:rsid w:val="00760E99"/>
    <w:rsid w:val="0076150F"/>
    <w:rsid w:val="00761C7B"/>
    <w:rsid w:val="00762308"/>
    <w:rsid w:val="007623C2"/>
    <w:rsid w:val="0076249E"/>
    <w:rsid w:val="00762A3C"/>
    <w:rsid w:val="00762D7B"/>
    <w:rsid w:val="00762DB3"/>
    <w:rsid w:val="0076343F"/>
    <w:rsid w:val="0076351C"/>
    <w:rsid w:val="00763B22"/>
    <w:rsid w:val="00763B76"/>
    <w:rsid w:val="00764A98"/>
    <w:rsid w:val="00765655"/>
    <w:rsid w:val="00765F28"/>
    <w:rsid w:val="007673B3"/>
    <w:rsid w:val="007675D2"/>
    <w:rsid w:val="007676DA"/>
    <w:rsid w:val="007678BE"/>
    <w:rsid w:val="00767A61"/>
    <w:rsid w:val="00767F6B"/>
    <w:rsid w:val="007704E6"/>
    <w:rsid w:val="00770639"/>
    <w:rsid w:val="00770748"/>
    <w:rsid w:val="00770888"/>
    <w:rsid w:val="007716CD"/>
    <w:rsid w:val="00771C1D"/>
    <w:rsid w:val="00771E8B"/>
    <w:rsid w:val="00771F46"/>
    <w:rsid w:val="0077201D"/>
    <w:rsid w:val="007724B1"/>
    <w:rsid w:val="007725E6"/>
    <w:rsid w:val="0077294E"/>
    <w:rsid w:val="0077320F"/>
    <w:rsid w:val="007733A9"/>
    <w:rsid w:val="0077369A"/>
    <w:rsid w:val="00773772"/>
    <w:rsid w:val="00773CEE"/>
    <w:rsid w:val="00774349"/>
    <w:rsid w:val="0077560B"/>
    <w:rsid w:val="00775777"/>
    <w:rsid w:val="007759A6"/>
    <w:rsid w:val="00775F31"/>
    <w:rsid w:val="0077606A"/>
    <w:rsid w:val="00776753"/>
    <w:rsid w:val="00776B79"/>
    <w:rsid w:val="00776C6B"/>
    <w:rsid w:val="00776D10"/>
    <w:rsid w:val="00776D5A"/>
    <w:rsid w:val="00777482"/>
    <w:rsid w:val="007778B6"/>
    <w:rsid w:val="00777A20"/>
    <w:rsid w:val="00777ABB"/>
    <w:rsid w:val="00777EC0"/>
    <w:rsid w:val="0078091A"/>
    <w:rsid w:val="00780D3A"/>
    <w:rsid w:val="00780E21"/>
    <w:rsid w:val="00781024"/>
    <w:rsid w:val="007816EF"/>
    <w:rsid w:val="00781859"/>
    <w:rsid w:val="00781D7E"/>
    <w:rsid w:val="00781F08"/>
    <w:rsid w:val="00781FF3"/>
    <w:rsid w:val="00782451"/>
    <w:rsid w:val="00782AFB"/>
    <w:rsid w:val="00783406"/>
    <w:rsid w:val="007834FF"/>
    <w:rsid w:val="00783900"/>
    <w:rsid w:val="00783948"/>
    <w:rsid w:val="00783F1B"/>
    <w:rsid w:val="00784177"/>
    <w:rsid w:val="0078421E"/>
    <w:rsid w:val="007842F1"/>
    <w:rsid w:val="00784516"/>
    <w:rsid w:val="00784C51"/>
    <w:rsid w:val="00784D00"/>
    <w:rsid w:val="00784D3A"/>
    <w:rsid w:val="0078506F"/>
    <w:rsid w:val="007850B6"/>
    <w:rsid w:val="007858CF"/>
    <w:rsid w:val="0078594E"/>
    <w:rsid w:val="007859A8"/>
    <w:rsid w:val="00785A5B"/>
    <w:rsid w:val="00785CCB"/>
    <w:rsid w:val="00786319"/>
    <w:rsid w:val="00786418"/>
    <w:rsid w:val="00786442"/>
    <w:rsid w:val="00786649"/>
    <w:rsid w:val="0078673D"/>
    <w:rsid w:val="00786C42"/>
    <w:rsid w:val="00786E4F"/>
    <w:rsid w:val="00786ED1"/>
    <w:rsid w:val="007879EE"/>
    <w:rsid w:val="00787BAE"/>
    <w:rsid w:val="00787DE3"/>
    <w:rsid w:val="00787EE4"/>
    <w:rsid w:val="0079016D"/>
    <w:rsid w:val="00790182"/>
    <w:rsid w:val="00790324"/>
    <w:rsid w:val="007912F7"/>
    <w:rsid w:val="00791307"/>
    <w:rsid w:val="007914FC"/>
    <w:rsid w:val="00791514"/>
    <w:rsid w:val="00791BFA"/>
    <w:rsid w:val="00792855"/>
    <w:rsid w:val="00792C4A"/>
    <w:rsid w:val="00792DAD"/>
    <w:rsid w:val="00792DAF"/>
    <w:rsid w:val="007931E0"/>
    <w:rsid w:val="00793629"/>
    <w:rsid w:val="007937F3"/>
    <w:rsid w:val="0079386D"/>
    <w:rsid w:val="00793A32"/>
    <w:rsid w:val="00793CDA"/>
    <w:rsid w:val="00793E6A"/>
    <w:rsid w:val="0079443A"/>
    <w:rsid w:val="007945E8"/>
    <w:rsid w:val="0079467C"/>
    <w:rsid w:val="00794862"/>
    <w:rsid w:val="0079488C"/>
    <w:rsid w:val="00794B2C"/>
    <w:rsid w:val="007951F2"/>
    <w:rsid w:val="00795E1B"/>
    <w:rsid w:val="007965A0"/>
    <w:rsid w:val="00796658"/>
    <w:rsid w:val="00796BD8"/>
    <w:rsid w:val="00796F96"/>
    <w:rsid w:val="0079781C"/>
    <w:rsid w:val="007A05DD"/>
    <w:rsid w:val="007A06B0"/>
    <w:rsid w:val="007A0955"/>
    <w:rsid w:val="007A0A19"/>
    <w:rsid w:val="007A0AFE"/>
    <w:rsid w:val="007A1273"/>
    <w:rsid w:val="007A12D6"/>
    <w:rsid w:val="007A1C02"/>
    <w:rsid w:val="007A1D5C"/>
    <w:rsid w:val="007A23A9"/>
    <w:rsid w:val="007A274B"/>
    <w:rsid w:val="007A2BC9"/>
    <w:rsid w:val="007A2E27"/>
    <w:rsid w:val="007A3386"/>
    <w:rsid w:val="007A3701"/>
    <w:rsid w:val="007A3AC7"/>
    <w:rsid w:val="007A3B9A"/>
    <w:rsid w:val="007A4A10"/>
    <w:rsid w:val="007A4ABE"/>
    <w:rsid w:val="007A4DD5"/>
    <w:rsid w:val="007A5017"/>
    <w:rsid w:val="007A5064"/>
    <w:rsid w:val="007A588C"/>
    <w:rsid w:val="007A5A90"/>
    <w:rsid w:val="007A5B24"/>
    <w:rsid w:val="007A5FCB"/>
    <w:rsid w:val="007A63C3"/>
    <w:rsid w:val="007A6AB7"/>
    <w:rsid w:val="007A6CB8"/>
    <w:rsid w:val="007A6D5F"/>
    <w:rsid w:val="007A70BB"/>
    <w:rsid w:val="007A7554"/>
    <w:rsid w:val="007A775D"/>
    <w:rsid w:val="007A788B"/>
    <w:rsid w:val="007A78F7"/>
    <w:rsid w:val="007A7959"/>
    <w:rsid w:val="007A7B40"/>
    <w:rsid w:val="007B0125"/>
    <w:rsid w:val="007B02D8"/>
    <w:rsid w:val="007B09BE"/>
    <w:rsid w:val="007B0B9C"/>
    <w:rsid w:val="007B0C30"/>
    <w:rsid w:val="007B118A"/>
    <w:rsid w:val="007B12A6"/>
    <w:rsid w:val="007B1432"/>
    <w:rsid w:val="007B17DF"/>
    <w:rsid w:val="007B18E3"/>
    <w:rsid w:val="007B1B2A"/>
    <w:rsid w:val="007B1CFA"/>
    <w:rsid w:val="007B212F"/>
    <w:rsid w:val="007B290B"/>
    <w:rsid w:val="007B313E"/>
    <w:rsid w:val="007B32A8"/>
    <w:rsid w:val="007B3415"/>
    <w:rsid w:val="007B3C09"/>
    <w:rsid w:val="007B3C3D"/>
    <w:rsid w:val="007B3EA1"/>
    <w:rsid w:val="007B3FAA"/>
    <w:rsid w:val="007B3FBC"/>
    <w:rsid w:val="007B40F8"/>
    <w:rsid w:val="007B413F"/>
    <w:rsid w:val="007B429F"/>
    <w:rsid w:val="007B4B50"/>
    <w:rsid w:val="007B5201"/>
    <w:rsid w:val="007B53F5"/>
    <w:rsid w:val="007B55BF"/>
    <w:rsid w:val="007B569B"/>
    <w:rsid w:val="007B5887"/>
    <w:rsid w:val="007B58D3"/>
    <w:rsid w:val="007B5FED"/>
    <w:rsid w:val="007B61DD"/>
    <w:rsid w:val="007B63DD"/>
    <w:rsid w:val="007B645B"/>
    <w:rsid w:val="007B667F"/>
    <w:rsid w:val="007B6685"/>
    <w:rsid w:val="007B6D55"/>
    <w:rsid w:val="007B70B8"/>
    <w:rsid w:val="007B7744"/>
    <w:rsid w:val="007B7779"/>
    <w:rsid w:val="007C0515"/>
    <w:rsid w:val="007C0A54"/>
    <w:rsid w:val="007C0A85"/>
    <w:rsid w:val="007C0B76"/>
    <w:rsid w:val="007C0E20"/>
    <w:rsid w:val="007C0EC9"/>
    <w:rsid w:val="007C0EF7"/>
    <w:rsid w:val="007C1012"/>
    <w:rsid w:val="007C112A"/>
    <w:rsid w:val="007C15AA"/>
    <w:rsid w:val="007C217B"/>
    <w:rsid w:val="007C2555"/>
    <w:rsid w:val="007C2A90"/>
    <w:rsid w:val="007C2AB7"/>
    <w:rsid w:val="007C2E62"/>
    <w:rsid w:val="007C35F7"/>
    <w:rsid w:val="007C451D"/>
    <w:rsid w:val="007C45E0"/>
    <w:rsid w:val="007C474B"/>
    <w:rsid w:val="007C48E0"/>
    <w:rsid w:val="007C56F6"/>
    <w:rsid w:val="007C5C0C"/>
    <w:rsid w:val="007C5E2A"/>
    <w:rsid w:val="007C5EB3"/>
    <w:rsid w:val="007C5EED"/>
    <w:rsid w:val="007C654A"/>
    <w:rsid w:val="007C659D"/>
    <w:rsid w:val="007C6B42"/>
    <w:rsid w:val="007C70FF"/>
    <w:rsid w:val="007C747C"/>
    <w:rsid w:val="007C74E7"/>
    <w:rsid w:val="007C7FD7"/>
    <w:rsid w:val="007D0732"/>
    <w:rsid w:val="007D0838"/>
    <w:rsid w:val="007D09C6"/>
    <w:rsid w:val="007D149A"/>
    <w:rsid w:val="007D15B6"/>
    <w:rsid w:val="007D1709"/>
    <w:rsid w:val="007D199C"/>
    <w:rsid w:val="007D1C7B"/>
    <w:rsid w:val="007D1C9B"/>
    <w:rsid w:val="007D1CBF"/>
    <w:rsid w:val="007D1E98"/>
    <w:rsid w:val="007D1EFF"/>
    <w:rsid w:val="007D1F35"/>
    <w:rsid w:val="007D22A1"/>
    <w:rsid w:val="007D22FB"/>
    <w:rsid w:val="007D23E1"/>
    <w:rsid w:val="007D2652"/>
    <w:rsid w:val="007D269F"/>
    <w:rsid w:val="007D2853"/>
    <w:rsid w:val="007D2C06"/>
    <w:rsid w:val="007D2D7F"/>
    <w:rsid w:val="007D36F5"/>
    <w:rsid w:val="007D3705"/>
    <w:rsid w:val="007D4266"/>
    <w:rsid w:val="007D4C5E"/>
    <w:rsid w:val="007D5491"/>
    <w:rsid w:val="007D54C9"/>
    <w:rsid w:val="007D5878"/>
    <w:rsid w:val="007D643E"/>
    <w:rsid w:val="007D709F"/>
    <w:rsid w:val="007D7484"/>
    <w:rsid w:val="007D750A"/>
    <w:rsid w:val="007D768E"/>
    <w:rsid w:val="007D7713"/>
    <w:rsid w:val="007D792A"/>
    <w:rsid w:val="007D7B03"/>
    <w:rsid w:val="007E018C"/>
    <w:rsid w:val="007E01E2"/>
    <w:rsid w:val="007E022D"/>
    <w:rsid w:val="007E09AF"/>
    <w:rsid w:val="007E0B2A"/>
    <w:rsid w:val="007E0B2E"/>
    <w:rsid w:val="007E0FEE"/>
    <w:rsid w:val="007E128E"/>
    <w:rsid w:val="007E2354"/>
    <w:rsid w:val="007E253C"/>
    <w:rsid w:val="007E25A1"/>
    <w:rsid w:val="007E2907"/>
    <w:rsid w:val="007E29A4"/>
    <w:rsid w:val="007E2AE4"/>
    <w:rsid w:val="007E2B78"/>
    <w:rsid w:val="007E2E78"/>
    <w:rsid w:val="007E3699"/>
    <w:rsid w:val="007E369A"/>
    <w:rsid w:val="007E36A7"/>
    <w:rsid w:val="007E3EEF"/>
    <w:rsid w:val="007E4678"/>
    <w:rsid w:val="007E4C05"/>
    <w:rsid w:val="007E4CFB"/>
    <w:rsid w:val="007E4EEB"/>
    <w:rsid w:val="007E51D9"/>
    <w:rsid w:val="007E52BE"/>
    <w:rsid w:val="007E5403"/>
    <w:rsid w:val="007E5F35"/>
    <w:rsid w:val="007E65DE"/>
    <w:rsid w:val="007E774C"/>
    <w:rsid w:val="007F0009"/>
    <w:rsid w:val="007F0713"/>
    <w:rsid w:val="007F122C"/>
    <w:rsid w:val="007F1488"/>
    <w:rsid w:val="007F283C"/>
    <w:rsid w:val="007F2A6C"/>
    <w:rsid w:val="007F2BF4"/>
    <w:rsid w:val="007F2EB6"/>
    <w:rsid w:val="007F4039"/>
    <w:rsid w:val="007F467D"/>
    <w:rsid w:val="007F4AFA"/>
    <w:rsid w:val="007F4EDD"/>
    <w:rsid w:val="007F4FFB"/>
    <w:rsid w:val="007F510E"/>
    <w:rsid w:val="007F5495"/>
    <w:rsid w:val="007F54CA"/>
    <w:rsid w:val="007F5789"/>
    <w:rsid w:val="007F64D0"/>
    <w:rsid w:val="007F66AF"/>
    <w:rsid w:val="007F6F67"/>
    <w:rsid w:val="00800404"/>
    <w:rsid w:val="00800701"/>
    <w:rsid w:val="008007B8"/>
    <w:rsid w:val="00800ABF"/>
    <w:rsid w:val="00800B64"/>
    <w:rsid w:val="00800B6C"/>
    <w:rsid w:val="00800DD9"/>
    <w:rsid w:val="008010BC"/>
    <w:rsid w:val="0080129E"/>
    <w:rsid w:val="008014E3"/>
    <w:rsid w:val="00801DDB"/>
    <w:rsid w:val="008026A2"/>
    <w:rsid w:val="00802CE8"/>
    <w:rsid w:val="00802D85"/>
    <w:rsid w:val="00802FE5"/>
    <w:rsid w:val="008034BB"/>
    <w:rsid w:val="0080365B"/>
    <w:rsid w:val="00803D64"/>
    <w:rsid w:val="00803D68"/>
    <w:rsid w:val="008045E4"/>
    <w:rsid w:val="008047D8"/>
    <w:rsid w:val="00804BD6"/>
    <w:rsid w:val="00804D4A"/>
    <w:rsid w:val="00804DBC"/>
    <w:rsid w:val="008055E4"/>
    <w:rsid w:val="0080582A"/>
    <w:rsid w:val="00805B65"/>
    <w:rsid w:val="00805FDD"/>
    <w:rsid w:val="00806010"/>
    <w:rsid w:val="00806104"/>
    <w:rsid w:val="00806DBD"/>
    <w:rsid w:val="0080705B"/>
    <w:rsid w:val="008076EC"/>
    <w:rsid w:val="008077AC"/>
    <w:rsid w:val="00807A69"/>
    <w:rsid w:val="00807DA9"/>
    <w:rsid w:val="00810EE0"/>
    <w:rsid w:val="008112F3"/>
    <w:rsid w:val="00811306"/>
    <w:rsid w:val="00811AA2"/>
    <w:rsid w:val="00811B85"/>
    <w:rsid w:val="0081230D"/>
    <w:rsid w:val="00812325"/>
    <w:rsid w:val="00812857"/>
    <w:rsid w:val="00812EAA"/>
    <w:rsid w:val="0081322C"/>
    <w:rsid w:val="008132D5"/>
    <w:rsid w:val="00813EDA"/>
    <w:rsid w:val="00814764"/>
    <w:rsid w:val="008148A5"/>
    <w:rsid w:val="008149F5"/>
    <w:rsid w:val="00814AAF"/>
    <w:rsid w:val="00814D92"/>
    <w:rsid w:val="008152FD"/>
    <w:rsid w:val="008154A4"/>
    <w:rsid w:val="008160C5"/>
    <w:rsid w:val="00816648"/>
    <w:rsid w:val="00816CA3"/>
    <w:rsid w:val="00816E18"/>
    <w:rsid w:val="00816E28"/>
    <w:rsid w:val="0081783F"/>
    <w:rsid w:val="00817B90"/>
    <w:rsid w:val="00817CB4"/>
    <w:rsid w:val="008204E0"/>
    <w:rsid w:val="00820F14"/>
    <w:rsid w:val="00820F5D"/>
    <w:rsid w:val="0082140F"/>
    <w:rsid w:val="00821624"/>
    <w:rsid w:val="00821724"/>
    <w:rsid w:val="00821EA0"/>
    <w:rsid w:val="00821F49"/>
    <w:rsid w:val="0082230C"/>
    <w:rsid w:val="00822571"/>
    <w:rsid w:val="0082262C"/>
    <w:rsid w:val="00822CCF"/>
    <w:rsid w:val="0082366C"/>
    <w:rsid w:val="00823DA2"/>
    <w:rsid w:val="00823DCC"/>
    <w:rsid w:val="00823FDF"/>
    <w:rsid w:val="00824295"/>
    <w:rsid w:val="008244FE"/>
    <w:rsid w:val="00824594"/>
    <w:rsid w:val="00824856"/>
    <w:rsid w:val="0082494C"/>
    <w:rsid w:val="00825200"/>
    <w:rsid w:val="0082527D"/>
    <w:rsid w:val="008252D3"/>
    <w:rsid w:val="00825328"/>
    <w:rsid w:val="0082561A"/>
    <w:rsid w:val="008256CF"/>
    <w:rsid w:val="00825741"/>
    <w:rsid w:val="008259AF"/>
    <w:rsid w:val="00825BFF"/>
    <w:rsid w:val="00826060"/>
    <w:rsid w:val="0082655A"/>
    <w:rsid w:val="00826C8C"/>
    <w:rsid w:val="0082709A"/>
    <w:rsid w:val="00827311"/>
    <w:rsid w:val="00827683"/>
    <w:rsid w:val="00827B91"/>
    <w:rsid w:val="00827D51"/>
    <w:rsid w:val="00830601"/>
    <w:rsid w:val="00831873"/>
    <w:rsid w:val="0083196C"/>
    <w:rsid w:val="00831999"/>
    <w:rsid w:val="00831CEA"/>
    <w:rsid w:val="00831D72"/>
    <w:rsid w:val="008323F9"/>
    <w:rsid w:val="008324BD"/>
    <w:rsid w:val="00832E48"/>
    <w:rsid w:val="00833036"/>
    <w:rsid w:val="00833A01"/>
    <w:rsid w:val="00833A25"/>
    <w:rsid w:val="0083419B"/>
    <w:rsid w:val="008342CD"/>
    <w:rsid w:val="00834556"/>
    <w:rsid w:val="00834670"/>
    <w:rsid w:val="00835D85"/>
    <w:rsid w:val="00836026"/>
    <w:rsid w:val="00836105"/>
    <w:rsid w:val="008361A2"/>
    <w:rsid w:val="00836525"/>
    <w:rsid w:val="00836729"/>
    <w:rsid w:val="00836B0B"/>
    <w:rsid w:val="00836B0C"/>
    <w:rsid w:val="00836EC0"/>
    <w:rsid w:val="00837811"/>
    <w:rsid w:val="0083785F"/>
    <w:rsid w:val="00837973"/>
    <w:rsid w:val="00837DD6"/>
    <w:rsid w:val="0084043B"/>
    <w:rsid w:val="008407D5"/>
    <w:rsid w:val="00840822"/>
    <w:rsid w:val="00840C0D"/>
    <w:rsid w:val="00840E07"/>
    <w:rsid w:val="00840E20"/>
    <w:rsid w:val="00840FCD"/>
    <w:rsid w:val="00841252"/>
    <w:rsid w:val="00841438"/>
    <w:rsid w:val="008415C4"/>
    <w:rsid w:val="00841710"/>
    <w:rsid w:val="00841DC5"/>
    <w:rsid w:val="00841E75"/>
    <w:rsid w:val="008420D8"/>
    <w:rsid w:val="0084220B"/>
    <w:rsid w:val="0084348C"/>
    <w:rsid w:val="008443D5"/>
    <w:rsid w:val="00844462"/>
    <w:rsid w:val="008444D3"/>
    <w:rsid w:val="00844726"/>
    <w:rsid w:val="00844983"/>
    <w:rsid w:val="00844EFB"/>
    <w:rsid w:val="00844F5C"/>
    <w:rsid w:val="008450B9"/>
    <w:rsid w:val="00845322"/>
    <w:rsid w:val="008459CD"/>
    <w:rsid w:val="00845D64"/>
    <w:rsid w:val="00845D66"/>
    <w:rsid w:val="00845EF7"/>
    <w:rsid w:val="008461BB"/>
    <w:rsid w:val="00846866"/>
    <w:rsid w:val="008469F5"/>
    <w:rsid w:val="00846CD6"/>
    <w:rsid w:val="008472B0"/>
    <w:rsid w:val="00847565"/>
    <w:rsid w:val="00847B21"/>
    <w:rsid w:val="00847E0E"/>
    <w:rsid w:val="0085040C"/>
    <w:rsid w:val="00850E30"/>
    <w:rsid w:val="00850FBF"/>
    <w:rsid w:val="0085101F"/>
    <w:rsid w:val="008513E8"/>
    <w:rsid w:val="00851B23"/>
    <w:rsid w:val="00851B3D"/>
    <w:rsid w:val="00851C32"/>
    <w:rsid w:val="008525E0"/>
    <w:rsid w:val="0085269B"/>
    <w:rsid w:val="00852CD7"/>
    <w:rsid w:val="00853162"/>
    <w:rsid w:val="00853BF2"/>
    <w:rsid w:val="00853D2E"/>
    <w:rsid w:val="008542CB"/>
    <w:rsid w:val="008543F9"/>
    <w:rsid w:val="0085440A"/>
    <w:rsid w:val="00854445"/>
    <w:rsid w:val="00854947"/>
    <w:rsid w:val="00854A63"/>
    <w:rsid w:val="00854C37"/>
    <w:rsid w:val="00855229"/>
    <w:rsid w:val="008554D4"/>
    <w:rsid w:val="008556D1"/>
    <w:rsid w:val="008559BA"/>
    <w:rsid w:val="008559EE"/>
    <w:rsid w:val="00855B07"/>
    <w:rsid w:val="00855CDF"/>
    <w:rsid w:val="008563A0"/>
    <w:rsid w:val="00856584"/>
    <w:rsid w:val="00856CF5"/>
    <w:rsid w:val="00856EB8"/>
    <w:rsid w:val="00857336"/>
    <w:rsid w:val="008576D8"/>
    <w:rsid w:val="0085775B"/>
    <w:rsid w:val="00857A90"/>
    <w:rsid w:val="0086020E"/>
    <w:rsid w:val="00860AC8"/>
    <w:rsid w:val="00860DB5"/>
    <w:rsid w:val="00861592"/>
    <w:rsid w:val="00861D83"/>
    <w:rsid w:val="00861F64"/>
    <w:rsid w:val="008621E3"/>
    <w:rsid w:val="00862836"/>
    <w:rsid w:val="00862CEF"/>
    <w:rsid w:val="00862DCA"/>
    <w:rsid w:val="00863042"/>
    <w:rsid w:val="008630D0"/>
    <w:rsid w:val="00863293"/>
    <w:rsid w:val="0086356E"/>
    <w:rsid w:val="008639DD"/>
    <w:rsid w:val="00863BF1"/>
    <w:rsid w:val="008641F5"/>
    <w:rsid w:val="00864266"/>
    <w:rsid w:val="008649ED"/>
    <w:rsid w:val="00864C00"/>
    <w:rsid w:val="008651BF"/>
    <w:rsid w:val="00865663"/>
    <w:rsid w:val="008657C6"/>
    <w:rsid w:val="008657E5"/>
    <w:rsid w:val="008658AF"/>
    <w:rsid w:val="008659D2"/>
    <w:rsid w:val="00865C32"/>
    <w:rsid w:val="00865C42"/>
    <w:rsid w:val="00865D09"/>
    <w:rsid w:val="00866852"/>
    <w:rsid w:val="00866B35"/>
    <w:rsid w:val="00867A27"/>
    <w:rsid w:val="00867CC9"/>
    <w:rsid w:val="00870689"/>
    <w:rsid w:val="008706C1"/>
    <w:rsid w:val="00870883"/>
    <w:rsid w:val="008710DA"/>
    <w:rsid w:val="008712A2"/>
    <w:rsid w:val="00871904"/>
    <w:rsid w:val="008719EC"/>
    <w:rsid w:val="00871D96"/>
    <w:rsid w:val="00871FC3"/>
    <w:rsid w:val="00872CFE"/>
    <w:rsid w:val="0087321C"/>
    <w:rsid w:val="008732BF"/>
    <w:rsid w:val="008733EB"/>
    <w:rsid w:val="00873D0B"/>
    <w:rsid w:val="00874058"/>
    <w:rsid w:val="0087417F"/>
    <w:rsid w:val="0087431A"/>
    <w:rsid w:val="0087471E"/>
    <w:rsid w:val="00874A9A"/>
    <w:rsid w:val="00875736"/>
    <w:rsid w:val="008759D0"/>
    <w:rsid w:val="00875F5E"/>
    <w:rsid w:val="008760FB"/>
    <w:rsid w:val="00876157"/>
    <w:rsid w:val="008762E8"/>
    <w:rsid w:val="0087658C"/>
    <w:rsid w:val="008765CA"/>
    <w:rsid w:val="00876788"/>
    <w:rsid w:val="00876C59"/>
    <w:rsid w:val="00877470"/>
    <w:rsid w:val="008775EE"/>
    <w:rsid w:val="008800C5"/>
    <w:rsid w:val="008801A9"/>
    <w:rsid w:val="0088038F"/>
    <w:rsid w:val="00880841"/>
    <w:rsid w:val="00880AC5"/>
    <w:rsid w:val="00880E40"/>
    <w:rsid w:val="00880F11"/>
    <w:rsid w:val="0088116D"/>
    <w:rsid w:val="0088150E"/>
    <w:rsid w:val="00881528"/>
    <w:rsid w:val="00881BEC"/>
    <w:rsid w:val="008820C6"/>
    <w:rsid w:val="00882702"/>
    <w:rsid w:val="00882859"/>
    <w:rsid w:val="00882A8F"/>
    <w:rsid w:val="00882E29"/>
    <w:rsid w:val="008833C9"/>
    <w:rsid w:val="008836E7"/>
    <w:rsid w:val="00883748"/>
    <w:rsid w:val="00883C10"/>
    <w:rsid w:val="00883C53"/>
    <w:rsid w:val="00883D0E"/>
    <w:rsid w:val="00883F8B"/>
    <w:rsid w:val="00884634"/>
    <w:rsid w:val="00884A9A"/>
    <w:rsid w:val="00884ABA"/>
    <w:rsid w:val="00884E73"/>
    <w:rsid w:val="00885093"/>
    <w:rsid w:val="008853A7"/>
    <w:rsid w:val="0088563B"/>
    <w:rsid w:val="00885C39"/>
    <w:rsid w:val="00885C6F"/>
    <w:rsid w:val="00885EAE"/>
    <w:rsid w:val="00885FEB"/>
    <w:rsid w:val="00886148"/>
    <w:rsid w:val="008866DA"/>
    <w:rsid w:val="0088691F"/>
    <w:rsid w:val="00886C4A"/>
    <w:rsid w:val="008870B7"/>
    <w:rsid w:val="008872EF"/>
    <w:rsid w:val="008906C7"/>
    <w:rsid w:val="00890AAC"/>
    <w:rsid w:val="00890DCE"/>
    <w:rsid w:val="008910DF"/>
    <w:rsid w:val="00891ADA"/>
    <w:rsid w:val="00891CDE"/>
    <w:rsid w:val="00892979"/>
    <w:rsid w:val="00893DD7"/>
    <w:rsid w:val="00893F74"/>
    <w:rsid w:val="00894045"/>
    <w:rsid w:val="0089505B"/>
    <w:rsid w:val="008955F7"/>
    <w:rsid w:val="008956BF"/>
    <w:rsid w:val="00895E43"/>
    <w:rsid w:val="00896003"/>
    <w:rsid w:val="008963D8"/>
    <w:rsid w:val="0089645F"/>
    <w:rsid w:val="008973ED"/>
    <w:rsid w:val="008974A1"/>
    <w:rsid w:val="008A0438"/>
    <w:rsid w:val="008A05B1"/>
    <w:rsid w:val="008A0C41"/>
    <w:rsid w:val="008A10CC"/>
    <w:rsid w:val="008A1432"/>
    <w:rsid w:val="008A1560"/>
    <w:rsid w:val="008A173F"/>
    <w:rsid w:val="008A1986"/>
    <w:rsid w:val="008A1DF3"/>
    <w:rsid w:val="008A207D"/>
    <w:rsid w:val="008A20B0"/>
    <w:rsid w:val="008A27E4"/>
    <w:rsid w:val="008A2A6F"/>
    <w:rsid w:val="008A2C00"/>
    <w:rsid w:val="008A2DC6"/>
    <w:rsid w:val="008A3084"/>
    <w:rsid w:val="008A32AB"/>
    <w:rsid w:val="008A32D3"/>
    <w:rsid w:val="008A333A"/>
    <w:rsid w:val="008A350F"/>
    <w:rsid w:val="008A35ED"/>
    <w:rsid w:val="008A3E4F"/>
    <w:rsid w:val="008A492B"/>
    <w:rsid w:val="008A4AF6"/>
    <w:rsid w:val="008A4C0D"/>
    <w:rsid w:val="008A4C2E"/>
    <w:rsid w:val="008A4EDB"/>
    <w:rsid w:val="008A5184"/>
    <w:rsid w:val="008A5A94"/>
    <w:rsid w:val="008A5D42"/>
    <w:rsid w:val="008A5DEA"/>
    <w:rsid w:val="008A5F06"/>
    <w:rsid w:val="008A61A2"/>
    <w:rsid w:val="008A6462"/>
    <w:rsid w:val="008A6B10"/>
    <w:rsid w:val="008A6DE7"/>
    <w:rsid w:val="008A708B"/>
    <w:rsid w:val="008A7241"/>
    <w:rsid w:val="008A7A88"/>
    <w:rsid w:val="008A7BC9"/>
    <w:rsid w:val="008A7C01"/>
    <w:rsid w:val="008A7D84"/>
    <w:rsid w:val="008A7E5A"/>
    <w:rsid w:val="008B0082"/>
    <w:rsid w:val="008B011B"/>
    <w:rsid w:val="008B08A2"/>
    <w:rsid w:val="008B0B81"/>
    <w:rsid w:val="008B0BEA"/>
    <w:rsid w:val="008B0C16"/>
    <w:rsid w:val="008B0DF3"/>
    <w:rsid w:val="008B1939"/>
    <w:rsid w:val="008B1A67"/>
    <w:rsid w:val="008B1BBF"/>
    <w:rsid w:val="008B1E66"/>
    <w:rsid w:val="008B271D"/>
    <w:rsid w:val="008B2786"/>
    <w:rsid w:val="008B27F7"/>
    <w:rsid w:val="008B2FB5"/>
    <w:rsid w:val="008B301F"/>
    <w:rsid w:val="008B351F"/>
    <w:rsid w:val="008B3670"/>
    <w:rsid w:val="008B36F0"/>
    <w:rsid w:val="008B3D0D"/>
    <w:rsid w:val="008B4251"/>
    <w:rsid w:val="008B4515"/>
    <w:rsid w:val="008B481D"/>
    <w:rsid w:val="008B4978"/>
    <w:rsid w:val="008B4996"/>
    <w:rsid w:val="008B4E27"/>
    <w:rsid w:val="008B4F54"/>
    <w:rsid w:val="008B5009"/>
    <w:rsid w:val="008B5432"/>
    <w:rsid w:val="008B58BF"/>
    <w:rsid w:val="008B5B04"/>
    <w:rsid w:val="008B6149"/>
    <w:rsid w:val="008B6355"/>
    <w:rsid w:val="008B65AD"/>
    <w:rsid w:val="008B68AD"/>
    <w:rsid w:val="008B6B15"/>
    <w:rsid w:val="008B6DF6"/>
    <w:rsid w:val="008B6F30"/>
    <w:rsid w:val="008B779F"/>
    <w:rsid w:val="008B7CE5"/>
    <w:rsid w:val="008B7E1F"/>
    <w:rsid w:val="008C00E0"/>
    <w:rsid w:val="008C01CF"/>
    <w:rsid w:val="008C02F2"/>
    <w:rsid w:val="008C02F6"/>
    <w:rsid w:val="008C0394"/>
    <w:rsid w:val="008C0B49"/>
    <w:rsid w:val="008C0EE1"/>
    <w:rsid w:val="008C106D"/>
    <w:rsid w:val="008C10F9"/>
    <w:rsid w:val="008C1152"/>
    <w:rsid w:val="008C1237"/>
    <w:rsid w:val="008C15DC"/>
    <w:rsid w:val="008C1677"/>
    <w:rsid w:val="008C188C"/>
    <w:rsid w:val="008C1F03"/>
    <w:rsid w:val="008C211F"/>
    <w:rsid w:val="008C223A"/>
    <w:rsid w:val="008C283E"/>
    <w:rsid w:val="008C2F08"/>
    <w:rsid w:val="008C3262"/>
    <w:rsid w:val="008C329B"/>
    <w:rsid w:val="008C343E"/>
    <w:rsid w:val="008C3557"/>
    <w:rsid w:val="008C3BFC"/>
    <w:rsid w:val="008C4419"/>
    <w:rsid w:val="008C44BE"/>
    <w:rsid w:val="008C4722"/>
    <w:rsid w:val="008C540B"/>
    <w:rsid w:val="008C54A5"/>
    <w:rsid w:val="008C555F"/>
    <w:rsid w:val="008C572A"/>
    <w:rsid w:val="008C575F"/>
    <w:rsid w:val="008C58C7"/>
    <w:rsid w:val="008C5F72"/>
    <w:rsid w:val="008C5F99"/>
    <w:rsid w:val="008C689C"/>
    <w:rsid w:val="008C6C27"/>
    <w:rsid w:val="008C7296"/>
    <w:rsid w:val="008C7536"/>
    <w:rsid w:val="008C76B2"/>
    <w:rsid w:val="008C782F"/>
    <w:rsid w:val="008C7A81"/>
    <w:rsid w:val="008C7ED5"/>
    <w:rsid w:val="008C7FAD"/>
    <w:rsid w:val="008D0060"/>
    <w:rsid w:val="008D0161"/>
    <w:rsid w:val="008D040F"/>
    <w:rsid w:val="008D05FB"/>
    <w:rsid w:val="008D0BDB"/>
    <w:rsid w:val="008D101F"/>
    <w:rsid w:val="008D1BBD"/>
    <w:rsid w:val="008D1C1F"/>
    <w:rsid w:val="008D1D54"/>
    <w:rsid w:val="008D210E"/>
    <w:rsid w:val="008D2367"/>
    <w:rsid w:val="008D23E8"/>
    <w:rsid w:val="008D2E35"/>
    <w:rsid w:val="008D312A"/>
    <w:rsid w:val="008D3636"/>
    <w:rsid w:val="008D3B86"/>
    <w:rsid w:val="008D4414"/>
    <w:rsid w:val="008D4460"/>
    <w:rsid w:val="008D47DF"/>
    <w:rsid w:val="008D491F"/>
    <w:rsid w:val="008D4A86"/>
    <w:rsid w:val="008D4F32"/>
    <w:rsid w:val="008D502A"/>
    <w:rsid w:val="008D5618"/>
    <w:rsid w:val="008D5BA8"/>
    <w:rsid w:val="008D5D87"/>
    <w:rsid w:val="008D6768"/>
    <w:rsid w:val="008D686F"/>
    <w:rsid w:val="008D689E"/>
    <w:rsid w:val="008D69FF"/>
    <w:rsid w:val="008D6E31"/>
    <w:rsid w:val="008D77C5"/>
    <w:rsid w:val="008D78C9"/>
    <w:rsid w:val="008D7F9B"/>
    <w:rsid w:val="008E019F"/>
    <w:rsid w:val="008E0403"/>
    <w:rsid w:val="008E0561"/>
    <w:rsid w:val="008E0E77"/>
    <w:rsid w:val="008E0ED3"/>
    <w:rsid w:val="008E0F06"/>
    <w:rsid w:val="008E101F"/>
    <w:rsid w:val="008E1103"/>
    <w:rsid w:val="008E1CD6"/>
    <w:rsid w:val="008E25EE"/>
    <w:rsid w:val="008E2775"/>
    <w:rsid w:val="008E2781"/>
    <w:rsid w:val="008E279D"/>
    <w:rsid w:val="008E27E8"/>
    <w:rsid w:val="008E2947"/>
    <w:rsid w:val="008E2A68"/>
    <w:rsid w:val="008E2E67"/>
    <w:rsid w:val="008E2E82"/>
    <w:rsid w:val="008E38D6"/>
    <w:rsid w:val="008E3AF8"/>
    <w:rsid w:val="008E3EE6"/>
    <w:rsid w:val="008E447E"/>
    <w:rsid w:val="008E473E"/>
    <w:rsid w:val="008E4943"/>
    <w:rsid w:val="008E4D88"/>
    <w:rsid w:val="008E536B"/>
    <w:rsid w:val="008E55C2"/>
    <w:rsid w:val="008E55E8"/>
    <w:rsid w:val="008E5B64"/>
    <w:rsid w:val="008E6524"/>
    <w:rsid w:val="008E6657"/>
    <w:rsid w:val="008E68BB"/>
    <w:rsid w:val="008E6996"/>
    <w:rsid w:val="008E7083"/>
    <w:rsid w:val="008E7730"/>
    <w:rsid w:val="008E78D3"/>
    <w:rsid w:val="008E7A66"/>
    <w:rsid w:val="008E7B85"/>
    <w:rsid w:val="008E7E62"/>
    <w:rsid w:val="008F02F6"/>
    <w:rsid w:val="008F041B"/>
    <w:rsid w:val="008F0D9C"/>
    <w:rsid w:val="008F11CB"/>
    <w:rsid w:val="008F12C8"/>
    <w:rsid w:val="008F143C"/>
    <w:rsid w:val="008F162F"/>
    <w:rsid w:val="008F19F6"/>
    <w:rsid w:val="008F1A57"/>
    <w:rsid w:val="008F1BE0"/>
    <w:rsid w:val="008F25D6"/>
    <w:rsid w:val="008F25D9"/>
    <w:rsid w:val="008F272D"/>
    <w:rsid w:val="008F2953"/>
    <w:rsid w:val="008F318E"/>
    <w:rsid w:val="008F3FF9"/>
    <w:rsid w:val="008F40E0"/>
    <w:rsid w:val="008F4282"/>
    <w:rsid w:val="008F4EDB"/>
    <w:rsid w:val="008F5140"/>
    <w:rsid w:val="008F51EB"/>
    <w:rsid w:val="008F545E"/>
    <w:rsid w:val="008F565E"/>
    <w:rsid w:val="008F5748"/>
    <w:rsid w:val="008F5953"/>
    <w:rsid w:val="008F5AA3"/>
    <w:rsid w:val="008F5D2C"/>
    <w:rsid w:val="008F5DA6"/>
    <w:rsid w:val="008F5EE8"/>
    <w:rsid w:val="008F61FC"/>
    <w:rsid w:val="008F722C"/>
    <w:rsid w:val="008F73E0"/>
    <w:rsid w:val="008F7DB1"/>
    <w:rsid w:val="008F7FB9"/>
    <w:rsid w:val="0090001B"/>
    <w:rsid w:val="00900CF6"/>
    <w:rsid w:val="00900EF6"/>
    <w:rsid w:val="00901278"/>
    <w:rsid w:val="009013D9"/>
    <w:rsid w:val="009019F8"/>
    <w:rsid w:val="00901A66"/>
    <w:rsid w:val="00901CF5"/>
    <w:rsid w:val="00901FCB"/>
    <w:rsid w:val="0090228C"/>
    <w:rsid w:val="00902536"/>
    <w:rsid w:val="0090325F"/>
    <w:rsid w:val="009035E5"/>
    <w:rsid w:val="00903641"/>
    <w:rsid w:val="00903647"/>
    <w:rsid w:val="00903A5E"/>
    <w:rsid w:val="00903E23"/>
    <w:rsid w:val="00903EC7"/>
    <w:rsid w:val="00904108"/>
    <w:rsid w:val="00904580"/>
    <w:rsid w:val="009045E6"/>
    <w:rsid w:val="00904C39"/>
    <w:rsid w:val="00904CA5"/>
    <w:rsid w:val="00904DC2"/>
    <w:rsid w:val="00905080"/>
    <w:rsid w:val="009050C8"/>
    <w:rsid w:val="009055CC"/>
    <w:rsid w:val="009056F7"/>
    <w:rsid w:val="009059F9"/>
    <w:rsid w:val="00905B64"/>
    <w:rsid w:val="009065A5"/>
    <w:rsid w:val="009067F9"/>
    <w:rsid w:val="0090686B"/>
    <w:rsid w:val="00906F62"/>
    <w:rsid w:val="0090747B"/>
    <w:rsid w:val="00907514"/>
    <w:rsid w:val="00907910"/>
    <w:rsid w:val="009105CE"/>
    <w:rsid w:val="009106D3"/>
    <w:rsid w:val="0091071E"/>
    <w:rsid w:val="009108B2"/>
    <w:rsid w:val="009109B8"/>
    <w:rsid w:val="00911487"/>
    <w:rsid w:val="009115C7"/>
    <w:rsid w:val="009118BA"/>
    <w:rsid w:val="0091201F"/>
    <w:rsid w:val="0091266E"/>
    <w:rsid w:val="0091293B"/>
    <w:rsid w:val="00912A5E"/>
    <w:rsid w:val="00912E11"/>
    <w:rsid w:val="009136E9"/>
    <w:rsid w:val="00913BA3"/>
    <w:rsid w:val="00913CFF"/>
    <w:rsid w:val="00913F7F"/>
    <w:rsid w:val="0091421E"/>
    <w:rsid w:val="0091444F"/>
    <w:rsid w:val="00914596"/>
    <w:rsid w:val="0091459B"/>
    <w:rsid w:val="00914770"/>
    <w:rsid w:val="009148A8"/>
    <w:rsid w:val="0091498B"/>
    <w:rsid w:val="0091516E"/>
    <w:rsid w:val="009151B6"/>
    <w:rsid w:val="0091533D"/>
    <w:rsid w:val="0091580A"/>
    <w:rsid w:val="00915852"/>
    <w:rsid w:val="00915BB8"/>
    <w:rsid w:val="00915C3B"/>
    <w:rsid w:val="00915DE6"/>
    <w:rsid w:val="00916048"/>
    <w:rsid w:val="00916451"/>
    <w:rsid w:val="00916A7C"/>
    <w:rsid w:val="0091768B"/>
    <w:rsid w:val="009177CA"/>
    <w:rsid w:val="009204B7"/>
    <w:rsid w:val="0092059D"/>
    <w:rsid w:val="00920DED"/>
    <w:rsid w:val="00920EDD"/>
    <w:rsid w:val="0092156B"/>
    <w:rsid w:val="00921644"/>
    <w:rsid w:val="00921955"/>
    <w:rsid w:val="00921A11"/>
    <w:rsid w:val="00921FB8"/>
    <w:rsid w:val="00922345"/>
    <w:rsid w:val="009224E7"/>
    <w:rsid w:val="009228CA"/>
    <w:rsid w:val="00922C3F"/>
    <w:rsid w:val="00922DD7"/>
    <w:rsid w:val="009231E0"/>
    <w:rsid w:val="009234D3"/>
    <w:rsid w:val="00923A8A"/>
    <w:rsid w:val="00923EF7"/>
    <w:rsid w:val="00924236"/>
    <w:rsid w:val="00925076"/>
    <w:rsid w:val="0092567B"/>
    <w:rsid w:val="009258E9"/>
    <w:rsid w:val="00925BEF"/>
    <w:rsid w:val="00925F5F"/>
    <w:rsid w:val="0092657B"/>
    <w:rsid w:val="009266DC"/>
    <w:rsid w:val="00926929"/>
    <w:rsid w:val="00926946"/>
    <w:rsid w:val="00926B3D"/>
    <w:rsid w:val="00926F78"/>
    <w:rsid w:val="00927080"/>
    <w:rsid w:val="00927791"/>
    <w:rsid w:val="009277B1"/>
    <w:rsid w:val="00927FC8"/>
    <w:rsid w:val="009304C6"/>
    <w:rsid w:val="00930B8F"/>
    <w:rsid w:val="00930E68"/>
    <w:rsid w:val="00930EF9"/>
    <w:rsid w:val="009315CB"/>
    <w:rsid w:val="0093160E"/>
    <w:rsid w:val="00931C44"/>
    <w:rsid w:val="00932031"/>
    <w:rsid w:val="009320FC"/>
    <w:rsid w:val="00932180"/>
    <w:rsid w:val="009323DA"/>
    <w:rsid w:val="0093263D"/>
    <w:rsid w:val="0093290B"/>
    <w:rsid w:val="0093316F"/>
    <w:rsid w:val="0093338F"/>
    <w:rsid w:val="009334A3"/>
    <w:rsid w:val="00933520"/>
    <w:rsid w:val="009335AD"/>
    <w:rsid w:val="00933AD8"/>
    <w:rsid w:val="00934062"/>
    <w:rsid w:val="00934347"/>
    <w:rsid w:val="00934640"/>
    <w:rsid w:val="0093496D"/>
    <w:rsid w:val="00934D53"/>
    <w:rsid w:val="009350BB"/>
    <w:rsid w:val="00935225"/>
    <w:rsid w:val="00935556"/>
    <w:rsid w:val="00935751"/>
    <w:rsid w:val="00935829"/>
    <w:rsid w:val="00935C4D"/>
    <w:rsid w:val="00935D76"/>
    <w:rsid w:val="0093618F"/>
    <w:rsid w:val="00936A00"/>
    <w:rsid w:val="00936B27"/>
    <w:rsid w:val="00936C4E"/>
    <w:rsid w:val="00936DDE"/>
    <w:rsid w:val="00936F05"/>
    <w:rsid w:val="009378ED"/>
    <w:rsid w:val="00937BB5"/>
    <w:rsid w:val="009400D6"/>
    <w:rsid w:val="00940615"/>
    <w:rsid w:val="009407F5"/>
    <w:rsid w:val="0094092D"/>
    <w:rsid w:val="00940E84"/>
    <w:rsid w:val="00941210"/>
    <w:rsid w:val="00941286"/>
    <w:rsid w:val="009415DA"/>
    <w:rsid w:val="009418CE"/>
    <w:rsid w:val="00941C3F"/>
    <w:rsid w:val="00941F40"/>
    <w:rsid w:val="009423D1"/>
    <w:rsid w:val="0094243D"/>
    <w:rsid w:val="009424CD"/>
    <w:rsid w:val="00942856"/>
    <w:rsid w:val="00942F4A"/>
    <w:rsid w:val="009434AF"/>
    <w:rsid w:val="00943B0D"/>
    <w:rsid w:val="00944160"/>
    <w:rsid w:val="0094419F"/>
    <w:rsid w:val="00944208"/>
    <w:rsid w:val="00944BA4"/>
    <w:rsid w:val="009450A9"/>
    <w:rsid w:val="00945464"/>
    <w:rsid w:val="00945705"/>
    <w:rsid w:val="00945F95"/>
    <w:rsid w:val="00945FE2"/>
    <w:rsid w:val="00946793"/>
    <w:rsid w:val="009467A0"/>
    <w:rsid w:val="00946F5A"/>
    <w:rsid w:val="00947A97"/>
    <w:rsid w:val="00947CEB"/>
    <w:rsid w:val="00947E86"/>
    <w:rsid w:val="00950599"/>
    <w:rsid w:val="009507B2"/>
    <w:rsid w:val="00950C37"/>
    <w:rsid w:val="00951101"/>
    <w:rsid w:val="00951374"/>
    <w:rsid w:val="0095159E"/>
    <w:rsid w:val="00951FDE"/>
    <w:rsid w:val="0095241A"/>
    <w:rsid w:val="00952A0D"/>
    <w:rsid w:val="00952AC0"/>
    <w:rsid w:val="00952B79"/>
    <w:rsid w:val="00952DDE"/>
    <w:rsid w:val="00952F97"/>
    <w:rsid w:val="009532C1"/>
    <w:rsid w:val="00953346"/>
    <w:rsid w:val="00953588"/>
    <w:rsid w:val="00953CBC"/>
    <w:rsid w:val="00953CC0"/>
    <w:rsid w:val="00953DD6"/>
    <w:rsid w:val="0095409A"/>
    <w:rsid w:val="009543E9"/>
    <w:rsid w:val="00954771"/>
    <w:rsid w:val="00954ADF"/>
    <w:rsid w:val="00954FD6"/>
    <w:rsid w:val="00955013"/>
    <w:rsid w:val="009550D1"/>
    <w:rsid w:val="00955915"/>
    <w:rsid w:val="00955D07"/>
    <w:rsid w:val="0095622B"/>
    <w:rsid w:val="009562CD"/>
    <w:rsid w:val="009567BC"/>
    <w:rsid w:val="00956AC1"/>
    <w:rsid w:val="00956AFC"/>
    <w:rsid w:val="00956EBC"/>
    <w:rsid w:val="00957192"/>
    <w:rsid w:val="00957214"/>
    <w:rsid w:val="00957A49"/>
    <w:rsid w:val="00957AD1"/>
    <w:rsid w:val="00960323"/>
    <w:rsid w:val="00960382"/>
    <w:rsid w:val="009609A1"/>
    <w:rsid w:val="00961CA1"/>
    <w:rsid w:val="00961D5F"/>
    <w:rsid w:val="00961DD4"/>
    <w:rsid w:val="00962109"/>
    <w:rsid w:val="009626E6"/>
    <w:rsid w:val="0096272E"/>
    <w:rsid w:val="009628B6"/>
    <w:rsid w:val="00962F58"/>
    <w:rsid w:val="009631CD"/>
    <w:rsid w:val="00963316"/>
    <w:rsid w:val="009634D1"/>
    <w:rsid w:val="00963818"/>
    <w:rsid w:val="00963A64"/>
    <w:rsid w:val="00963CA2"/>
    <w:rsid w:val="009642AD"/>
    <w:rsid w:val="00964463"/>
    <w:rsid w:val="00964B58"/>
    <w:rsid w:val="00964EF4"/>
    <w:rsid w:val="00965C90"/>
    <w:rsid w:val="00965D0C"/>
    <w:rsid w:val="00965DCE"/>
    <w:rsid w:val="00966480"/>
    <w:rsid w:val="00966DAE"/>
    <w:rsid w:val="0096711E"/>
    <w:rsid w:val="00967234"/>
    <w:rsid w:val="00967449"/>
    <w:rsid w:val="00967723"/>
    <w:rsid w:val="00967AC8"/>
    <w:rsid w:val="00967FE5"/>
    <w:rsid w:val="009700C9"/>
    <w:rsid w:val="0097076A"/>
    <w:rsid w:val="009709A6"/>
    <w:rsid w:val="00970C54"/>
    <w:rsid w:val="00970D62"/>
    <w:rsid w:val="00970E45"/>
    <w:rsid w:val="009710F3"/>
    <w:rsid w:val="00971220"/>
    <w:rsid w:val="009712F8"/>
    <w:rsid w:val="00971437"/>
    <w:rsid w:val="00971483"/>
    <w:rsid w:val="00971580"/>
    <w:rsid w:val="009715A3"/>
    <w:rsid w:val="00972150"/>
    <w:rsid w:val="009723F7"/>
    <w:rsid w:val="00972474"/>
    <w:rsid w:val="00972562"/>
    <w:rsid w:val="00972E6C"/>
    <w:rsid w:val="00973109"/>
    <w:rsid w:val="00973337"/>
    <w:rsid w:val="00973513"/>
    <w:rsid w:val="009736B8"/>
    <w:rsid w:val="00973C55"/>
    <w:rsid w:val="0097479D"/>
    <w:rsid w:val="009748A3"/>
    <w:rsid w:val="00974F05"/>
    <w:rsid w:val="009755DE"/>
    <w:rsid w:val="0097598C"/>
    <w:rsid w:val="009759D0"/>
    <w:rsid w:val="00975D52"/>
    <w:rsid w:val="00976178"/>
    <w:rsid w:val="00976A37"/>
    <w:rsid w:val="00976D54"/>
    <w:rsid w:val="0097772D"/>
    <w:rsid w:val="0097787A"/>
    <w:rsid w:val="00977D94"/>
    <w:rsid w:val="00980049"/>
    <w:rsid w:val="0098042F"/>
    <w:rsid w:val="009809C4"/>
    <w:rsid w:val="00980ABA"/>
    <w:rsid w:val="00980B41"/>
    <w:rsid w:val="00980BF0"/>
    <w:rsid w:val="00981212"/>
    <w:rsid w:val="0098141A"/>
    <w:rsid w:val="0098146A"/>
    <w:rsid w:val="009814BD"/>
    <w:rsid w:val="009816A4"/>
    <w:rsid w:val="00981826"/>
    <w:rsid w:val="0098247E"/>
    <w:rsid w:val="0098319C"/>
    <w:rsid w:val="009835C8"/>
    <w:rsid w:val="00983A05"/>
    <w:rsid w:val="00983DA0"/>
    <w:rsid w:val="00983EC3"/>
    <w:rsid w:val="0098422D"/>
    <w:rsid w:val="0098443B"/>
    <w:rsid w:val="0098465F"/>
    <w:rsid w:val="00984701"/>
    <w:rsid w:val="00984B60"/>
    <w:rsid w:val="00984F5C"/>
    <w:rsid w:val="009850D8"/>
    <w:rsid w:val="00985AD3"/>
    <w:rsid w:val="00985ADC"/>
    <w:rsid w:val="00985E05"/>
    <w:rsid w:val="00985F1F"/>
    <w:rsid w:val="009862B5"/>
    <w:rsid w:val="00986EAF"/>
    <w:rsid w:val="0098707E"/>
    <w:rsid w:val="009870FD"/>
    <w:rsid w:val="00987149"/>
    <w:rsid w:val="009871F0"/>
    <w:rsid w:val="00987384"/>
    <w:rsid w:val="00987A27"/>
    <w:rsid w:val="0099073D"/>
    <w:rsid w:val="00990D95"/>
    <w:rsid w:val="00990F33"/>
    <w:rsid w:val="009915B6"/>
    <w:rsid w:val="009917E9"/>
    <w:rsid w:val="00991FF5"/>
    <w:rsid w:val="0099233F"/>
    <w:rsid w:val="00992650"/>
    <w:rsid w:val="0099266C"/>
    <w:rsid w:val="00992912"/>
    <w:rsid w:val="00992D0F"/>
    <w:rsid w:val="00992F84"/>
    <w:rsid w:val="00993021"/>
    <w:rsid w:val="009930C1"/>
    <w:rsid w:val="00993CE1"/>
    <w:rsid w:val="009942A4"/>
    <w:rsid w:val="0099432C"/>
    <w:rsid w:val="009944D9"/>
    <w:rsid w:val="00994609"/>
    <w:rsid w:val="009947F8"/>
    <w:rsid w:val="00994881"/>
    <w:rsid w:val="009948E7"/>
    <w:rsid w:val="0099674F"/>
    <w:rsid w:val="00996AB1"/>
    <w:rsid w:val="00996B19"/>
    <w:rsid w:val="00996BBC"/>
    <w:rsid w:val="00996E80"/>
    <w:rsid w:val="00997146"/>
    <w:rsid w:val="009972FA"/>
    <w:rsid w:val="009973CB"/>
    <w:rsid w:val="00997DC3"/>
    <w:rsid w:val="00997FDB"/>
    <w:rsid w:val="009A066E"/>
    <w:rsid w:val="009A095E"/>
    <w:rsid w:val="009A1266"/>
    <w:rsid w:val="009A1305"/>
    <w:rsid w:val="009A16B3"/>
    <w:rsid w:val="009A1AC6"/>
    <w:rsid w:val="009A1B27"/>
    <w:rsid w:val="009A1F1B"/>
    <w:rsid w:val="009A218D"/>
    <w:rsid w:val="009A22BB"/>
    <w:rsid w:val="009A24B8"/>
    <w:rsid w:val="009A2735"/>
    <w:rsid w:val="009A2B2C"/>
    <w:rsid w:val="009A2E65"/>
    <w:rsid w:val="009A2F00"/>
    <w:rsid w:val="009A309B"/>
    <w:rsid w:val="009A334E"/>
    <w:rsid w:val="009A34DD"/>
    <w:rsid w:val="009A3636"/>
    <w:rsid w:val="009A385E"/>
    <w:rsid w:val="009A404A"/>
    <w:rsid w:val="009A4096"/>
    <w:rsid w:val="009A4154"/>
    <w:rsid w:val="009A41AF"/>
    <w:rsid w:val="009A44DA"/>
    <w:rsid w:val="009A4549"/>
    <w:rsid w:val="009A4753"/>
    <w:rsid w:val="009A4853"/>
    <w:rsid w:val="009A4F47"/>
    <w:rsid w:val="009A545F"/>
    <w:rsid w:val="009A558C"/>
    <w:rsid w:val="009A70D9"/>
    <w:rsid w:val="009A71E3"/>
    <w:rsid w:val="009A71F5"/>
    <w:rsid w:val="009A7BFC"/>
    <w:rsid w:val="009A7E39"/>
    <w:rsid w:val="009A7F04"/>
    <w:rsid w:val="009A7F87"/>
    <w:rsid w:val="009B1206"/>
    <w:rsid w:val="009B1836"/>
    <w:rsid w:val="009B193B"/>
    <w:rsid w:val="009B1AB2"/>
    <w:rsid w:val="009B1B0E"/>
    <w:rsid w:val="009B1F79"/>
    <w:rsid w:val="009B200C"/>
    <w:rsid w:val="009B2908"/>
    <w:rsid w:val="009B2A1A"/>
    <w:rsid w:val="009B2EF4"/>
    <w:rsid w:val="009B3490"/>
    <w:rsid w:val="009B34E1"/>
    <w:rsid w:val="009B359F"/>
    <w:rsid w:val="009B3C13"/>
    <w:rsid w:val="009B3E1B"/>
    <w:rsid w:val="009B3F5D"/>
    <w:rsid w:val="009B480C"/>
    <w:rsid w:val="009B49BB"/>
    <w:rsid w:val="009B4C2C"/>
    <w:rsid w:val="009B5461"/>
    <w:rsid w:val="009B5B93"/>
    <w:rsid w:val="009B63B8"/>
    <w:rsid w:val="009B6967"/>
    <w:rsid w:val="009B6C63"/>
    <w:rsid w:val="009B6DDF"/>
    <w:rsid w:val="009B7206"/>
    <w:rsid w:val="009B770F"/>
    <w:rsid w:val="009B7AAD"/>
    <w:rsid w:val="009B7CA9"/>
    <w:rsid w:val="009C0680"/>
    <w:rsid w:val="009C06A8"/>
    <w:rsid w:val="009C1224"/>
    <w:rsid w:val="009C1525"/>
    <w:rsid w:val="009C16CC"/>
    <w:rsid w:val="009C171A"/>
    <w:rsid w:val="009C187A"/>
    <w:rsid w:val="009C1B6B"/>
    <w:rsid w:val="009C1DE0"/>
    <w:rsid w:val="009C1E4F"/>
    <w:rsid w:val="009C22BA"/>
    <w:rsid w:val="009C2836"/>
    <w:rsid w:val="009C2C89"/>
    <w:rsid w:val="009C2EF6"/>
    <w:rsid w:val="009C3292"/>
    <w:rsid w:val="009C33C9"/>
    <w:rsid w:val="009C3A35"/>
    <w:rsid w:val="009C3D8D"/>
    <w:rsid w:val="009C3E0E"/>
    <w:rsid w:val="009C40B9"/>
    <w:rsid w:val="009C4131"/>
    <w:rsid w:val="009C4259"/>
    <w:rsid w:val="009C4A31"/>
    <w:rsid w:val="009C4DDB"/>
    <w:rsid w:val="009C4DF7"/>
    <w:rsid w:val="009C589B"/>
    <w:rsid w:val="009C5C40"/>
    <w:rsid w:val="009C6024"/>
    <w:rsid w:val="009C66F8"/>
    <w:rsid w:val="009C6980"/>
    <w:rsid w:val="009C6E40"/>
    <w:rsid w:val="009C75F5"/>
    <w:rsid w:val="009C7EAF"/>
    <w:rsid w:val="009D024B"/>
    <w:rsid w:val="009D0835"/>
    <w:rsid w:val="009D0CF6"/>
    <w:rsid w:val="009D11A2"/>
    <w:rsid w:val="009D15B4"/>
    <w:rsid w:val="009D212F"/>
    <w:rsid w:val="009D232C"/>
    <w:rsid w:val="009D2B80"/>
    <w:rsid w:val="009D2E69"/>
    <w:rsid w:val="009D301E"/>
    <w:rsid w:val="009D33EF"/>
    <w:rsid w:val="009D4122"/>
    <w:rsid w:val="009D417D"/>
    <w:rsid w:val="009D4ABC"/>
    <w:rsid w:val="009D58DF"/>
    <w:rsid w:val="009D5C07"/>
    <w:rsid w:val="009D5D4B"/>
    <w:rsid w:val="009D60FE"/>
    <w:rsid w:val="009D62B2"/>
    <w:rsid w:val="009D66E4"/>
    <w:rsid w:val="009D67F3"/>
    <w:rsid w:val="009D685F"/>
    <w:rsid w:val="009D68E5"/>
    <w:rsid w:val="009D6ED0"/>
    <w:rsid w:val="009D7602"/>
    <w:rsid w:val="009D77FE"/>
    <w:rsid w:val="009D7A81"/>
    <w:rsid w:val="009D7C3F"/>
    <w:rsid w:val="009E0266"/>
    <w:rsid w:val="009E0841"/>
    <w:rsid w:val="009E0883"/>
    <w:rsid w:val="009E0AF2"/>
    <w:rsid w:val="009E0DC2"/>
    <w:rsid w:val="009E0F39"/>
    <w:rsid w:val="009E115E"/>
    <w:rsid w:val="009E18C4"/>
    <w:rsid w:val="009E1EAA"/>
    <w:rsid w:val="009E2293"/>
    <w:rsid w:val="009E252E"/>
    <w:rsid w:val="009E310C"/>
    <w:rsid w:val="009E31B2"/>
    <w:rsid w:val="009E34DE"/>
    <w:rsid w:val="009E47E5"/>
    <w:rsid w:val="009E48F4"/>
    <w:rsid w:val="009E4D67"/>
    <w:rsid w:val="009E4D97"/>
    <w:rsid w:val="009E4F28"/>
    <w:rsid w:val="009E52E5"/>
    <w:rsid w:val="009E5473"/>
    <w:rsid w:val="009E593F"/>
    <w:rsid w:val="009E5CF2"/>
    <w:rsid w:val="009E5DEC"/>
    <w:rsid w:val="009E67B4"/>
    <w:rsid w:val="009E6BE1"/>
    <w:rsid w:val="009E6D17"/>
    <w:rsid w:val="009E73FE"/>
    <w:rsid w:val="009E77AA"/>
    <w:rsid w:val="009E7C41"/>
    <w:rsid w:val="009F042D"/>
    <w:rsid w:val="009F0901"/>
    <w:rsid w:val="009F09DD"/>
    <w:rsid w:val="009F12CD"/>
    <w:rsid w:val="009F139D"/>
    <w:rsid w:val="009F15EF"/>
    <w:rsid w:val="009F1C59"/>
    <w:rsid w:val="009F1D91"/>
    <w:rsid w:val="009F2875"/>
    <w:rsid w:val="009F2B72"/>
    <w:rsid w:val="009F335A"/>
    <w:rsid w:val="009F34CE"/>
    <w:rsid w:val="009F37B3"/>
    <w:rsid w:val="009F3AA4"/>
    <w:rsid w:val="009F40F6"/>
    <w:rsid w:val="009F46AF"/>
    <w:rsid w:val="009F4EAC"/>
    <w:rsid w:val="009F4F62"/>
    <w:rsid w:val="009F5112"/>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A04"/>
    <w:rsid w:val="00A01135"/>
    <w:rsid w:val="00A01905"/>
    <w:rsid w:val="00A01A84"/>
    <w:rsid w:val="00A01DB5"/>
    <w:rsid w:val="00A029D4"/>
    <w:rsid w:val="00A02EBE"/>
    <w:rsid w:val="00A02EC0"/>
    <w:rsid w:val="00A0340B"/>
    <w:rsid w:val="00A03753"/>
    <w:rsid w:val="00A03881"/>
    <w:rsid w:val="00A039C4"/>
    <w:rsid w:val="00A03D83"/>
    <w:rsid w:val="00A04011"/>
    <w:rsid w:val="00A042CA"/>
    <w:rsid w:val="00A049EC"/>
    <w:rsid w:val="00A05013"/>
    <w:rsid w:val="00A05054"/>
    <w:rsid w:val="00A052AB"/>
    <w:rsid w:val="00A05950"/>
    <w:rsid w:val="00A063E3"/>
    <w:rsid w:val="00A066C0"/>
    <w:rsid w:val="00A06757"/>
    <w:rsid w:val="00A0682B"/>
    <w:rsid w:val="00A06C3F"/>
    <w:rsid w:val="00A06CAA"/>
    <w:rsid w:val="00A06F87"/>
    <w:rsid w:val="00A06FEC"/>
    <w:rsid w:val="00A07F27"/>
    <w:rsid w:val="00A102C2"/>
    <w:rsid w:val="00A10771"/>
    <w:rsid w:val="00A109F3"/>
    <w:rsid w:val="00A10AF0"/>
    <w:rsid w:val="00A10D28"/>
    <w:rsid w:val="00A10E98"/>
    <w:rsid w:val="00A113BA"/>
    <w:rsid w:val="00A1153A"/>
    <w:rsid w:val="00A11906"/>
    <w:rsid w:val="00A11921"/>
    <w:rsid w:val="00A11CE8"/>
    <w:rsid w:val="00A11E84"/>
    <w:rsid w:val="00A1238D"/>
    <w:rsid w:val="00A12421"/>
    <w:rsid w:val="00A124C9"/>
    <w:rsid w:val="00A12E7C"/>
    <w:rsid w:val="00A13159"/>
    <w:rsid w:val="00A13917"/>
    <w:rsid w:val="00A1398D"/>
    <w:rsid w:val="00A13A44"/>
    <w:rsid w:val="00A13CD6"/>
    <w:rsid w:val="00A13F03"/>
    <w:rsid w:val="00A14095"/>
    <w:rsid w:val="00A1434B"/>
    <w:rsid w:val="00A14E87"/>
    <w:rsid w:val="00A14EA5"/>
    <w:rsid w:val="00A15004"/>
    <w:rsid w:val="00A150B8"/>
    <w:rsid w:val="00A15783"/>
    <w:rsid w:val="00A157BF"/>
    <w:rsid w:val="00A15C6C"/>
    <w:rsid w:val="00A160FD"/>
    <w:rsid w:val="00A166FA"/>
    <w:rsid w:val="00A16844"/>
    <w:rsid w:val="00A1694D"/>
    <w:rsid w:val="00A173EF"/>
    <w:rsid w:val="00A17B48"/>
    <w:rsid w:val="00A17E06"/>
    <w:rsid w:val="00A17E34"/>
    <w:rsid w:val="00A17FC0"/>
    <w:rsid w:val="00A20494"/>
    <w:rsid w:val="00A2054D"/>
    <w:rsid w:val="00A205ED"/>
    <w:rsid w:val="00A208CB"/>
    <w:rsid w:val="00A20969"/>
    <w:rsid w:val="00A20D53"/>
    <w:rsid w:val="00A20F38"/>
    <w:rsid w:val="00A211F1"/>
    <w:rsid w:val="00A21748"/>
    <w:rsid w:val="00A21C47"/>
    <w:rsid w:val="00A21CD5"/>
    <w:rsid w:val="00A2222D"/>
    <w:rsid w:val="00A22B62"/>
    <w:rsid w:val="00A22B65"/>
    <w:rsid w:val="00A22D7C"/>
    <w:rsid w:val="00A23055"/>
    <w:rsid w:val="00A23108"/>
    <w:rsid w:val="00A23162"/>
    <w:rsid w:val="00A23D03"/>
    <w:rsid w:val="00A23E53"/>
    <w:rsid w:val="00A23F35"/>
    <w:rsid w:val="00A24291"/>
    <w:rsid w:val="00A242EE"/>
    <w:rsid w:val="00A24469"/>
    <w:rsid w:val="00A24FCD"/>
    <w:rsid w:val="00A25251"/>
    <w:rsid w:val="00A2531B"/>
    <w:rsid w:val="00A255DD"/>
    <w:rsid w:val="00A25865"/>
    <w:rsid w:val="00A25B0E"/>
    <w:rsid w:val="00A25C09"/>
    <w:rsid w:val="00A25FBA"/>
    <w:rsid w:val="00A26E95"/>
    <w:rsid w:val="00A277F5"/>
    <w:rsid w:val="00A27988"/>
    <w:rsid w:val="00A303DC"/>
    <w:rsid w:val="00A30BEA"/>
    <w:rsid w:val="00A31917"/>
    <w:rsid w:val="00A319F0"/>
    <w:rsid w:val="00A321C8"/>
    <w:rsid w:val="00A32539"/>
    <w:rsid w:val="00A32BFA"/>
    <w:rsid w:val="00A33A65"/>
    <w:rsid w:val="00A33CBA"/>
    <w:rsid w:val="00A33EF7"/>
    <w:rsid w:val="00A342A9"/>
    <w:rsid w:val="00A34923"/>
    <w:rsid w:val="00A34CB1"/>
    <w:rsid w:val="00A34EAE"/>
    <w:rsid w:val="00A355DD"/>
    <w:rsid w:val="00A3563F"/>
    <w:rsid w:val="00A357BF"/>
    <w:rsid w:val="00A35A06"/>
    <w:rsid w:val="00A35B3A"/>
    <w:rsid w:val="00A35F17"/>
    <w:rsid w:val="00A36233"/>
    <w:rsid w:val="00A372E6"/>
    <w:rsid w:val="00A373EB"/>
    <w:rsid w:val="00A37670"/>
    <w:rsid w:val="00A4022E"/>
    <w:rsid w:val="00A4041F"/>
    <w:rsid w:val="00A40E40"/>
    <w:rsid w:val="00A40E98"/>
    <w:rsid w:val="00A40ECE"/>
    <w:rsid w:val="00A40F15"/>
    <w:rsid w:val="00A40FFE"/>
    <w:rsid w:val="00A411AA"/>
    <w:rsid w:val="00A414D9"/>
    <w:rsid w:val="00A4189B"/>
    <w:rsid w:val="00A4189D"/>
    <w:rsid w:val="00A4190E"/>
    <w:rsid w:val="00A41D2D"/>
    <w:rsid w:val="00A41F89"/>
    <w:rsid w:val="00A4210D"/>
    <w:rsid w:val="00A42346"/>
    <w:rsid w:val="00A43246"/>
    <w:rsid w:val="00A43C71"/>
    <w:rsid w:val="00A43CC0"/>
    <w:rsid w:val="00A4419A"/>
    <w:rsid w:val="00A44A49"/>
    <w:rsid w:val="00A44C20"/>
    <w:rsid w:val="00A44D65"/>
    <w:rsid w:val="00A44F51"/>
    <w:rsid w:val="00A45086"/>
    <w:rsid w:val="00A451BB"/>
    <w:rsid w:val="00A45530"/>
    <w:rsid w:val="00A45A69"/>
    <w:rsid w:val="00A463B4"/>
    <w:rsid w:val="00A467A6"/>
    <w:rsid w:val="00A468C5"/>
    <w:rsid w:val="00A468CE"/>
    <w:rsid w:val="00A46922"/>
    <w:rsid w:val="00A46992"/>
    <w:rsid w:val="00A46A57"/>
    <w:rsid w:val="00A46B3C"/>
    <w:rsid w:val="00A475D6"/>
    <w:rsid w:val="00A47673"/>
    <w:rsid w:val="00A476DB"/>
    <w:rsid w:val="00A500A3"/>
    <w:rsid w:val="00A500B9"/>
    <w:rsid w:val="00A50201"/>
    <w:rsid w:val="00A5091A"/>
    <w:rsid w:val="00A5094A"/>
    <w:rsid w:val="00A50A2B"/>
    <w:rsid w:val="00A51E3F"/>
    <w:rsid w:val="00A51F93"/>
    <w:rsid w:val="00A52594"/>
    <w:rsid w:val="00A53BFF"/>
    <w:rsid w:val="00A54121"/>
    <w:rsid w:val="00A5439F"/>
    <w:rsid w:val="00A54AA5"/>
    <w:rsid w:val="00A5577B"/>
    <w:rsid w:val="00A55951"/>
    <w:rsid w:val="00A55BA8"/>
    <w:rsid w:val="00A55C7E"/>
    <w:rsid w:val="00A56710"/>
    <w:rsid w:val="00A567BC"/>
    <w:rsid w:val="00A56906"/>
    <w:rsid w:val="00A56A53"/>
    <w:rsid w:val="00A5737A"/>
    <w:rsid w:val="00A57F53"/>
    <w:rsid w:val="00A6026D"/>
    <w:rsid w:val="00A60CB3"/>
    <w:rsid w:val="00A6187E"/>
    <w:rsid w:val="00A61B10"/>
    <w:rsid w:val="00A61ED1"/>
    <w:rsid w:val="00A61F0D"/>
    <w:rsid w:val="00A62292"/>
    <w:rsid w:val="00A63178"/>
    <w:rsid w:val="00A63450"/>
    <w:rsid w:val="00A6388D"/>
    <w:rsid w:val="00A638C1"/>
    <w:rsid w:val="00A63D8D"/>
    <w:rsid w:val="00A641AA"/>
    <w:rsid w:val="00A6458E"/>
    <w:rsid w:val="00A648FE"/>
    <w:rsid w:val="00A64A17"/>
    <w:rsid w:val="00A64BF5"/>
    <w:rsid w:val="00A64F19"/>
    <w:rsid w:val="00A6519A"/>
    <w:rsid w:val="00A6528E"/>
    <w:rsid w:val="00A65978"/>
    <w:rsid w:val="00A65A0C"/>
    <w:rsid w:val="00A66743"/>
    <w:rsid w:val="00A66B44"/>
    <w:rsid w:val="00A66BE0"/>
    <w:rsid w:val="00A673B4"/>
    <w:rsid w:val="00A679C8"/>
    <w:rsid w:val="00A67D7B"/>
    <w:rsid w:val="00A70020"/>
    <w:rsid w:val="00A701AF"/>
    <w:rsid w:val="00A702B5"/>
    <w:rsid w:val="00A7035D"/>
    <w:rsid w:val="00A705F7"/>
    <w:rsid w:val="00A70601"/>
    <w:rsid w:val="00A7072A"/>
    <w:rsid w:val="00A70B0B"/>
    <w:rsid w:val="00A70B12"/>
    <w:rsid w:val="00A70B5D"/>
    <w:rsid w:val="00A70CE9"/>
    <w:rsid w:val="00A70DB8"/>
    <w:rsid w:val="00A70FC0"/>
    <w:rsid w:val="00A71528"/>
    <w:rsid w:val="00A7161B"/>
    <w:rsid w:val="00A72438"/>
    <w:rsid w:val="00A72849"/>
    <w:rsid w:val="00A731A9"/>
    <w:rsid w:val="00A738B7"/>
    <w:rsid w:val="00A73B77"/>
    <w:rsid w:val="00A73C25"/>
    <w:rsid w:val="00A74056"/>
    <w:rsid w:val="00A74313"/>
    <w:rsid w:val="00A74D89"/>
    <w:rsid w:val="00A74F49"/>
    <w:rsid w:val="00A75555"/>
    <w:rsid w:val="00A766A4"/>
    <w:rsid w:val="00A7699A"/>
    <w:rsid w:val="00A76DC6"/>
    <w:rsid w:val="00A76FB0"/>
    <w:rsid w:val="00A777D6"/>
    <w:rsid w:val="00A801CC"/>
    <w:rsid w:val="00A8039D"/>
    <w:rsid w:val="00A80B46"/>
    <w:rsid w:val="00A80EAC"/>
    <w:rsid w:val="00A812E5"/>
    <w:rsid w:val="00A82597"/>
    <w:rsid w:val="00A82961"/>
    <w:rsid w:val="00A82AE4"/>
    <w:rsid w:val="00A82B8A"/>
    <w:rsid w:val="00A82C5C"/>
    <w:rsid w:val="00A830CC"/>
    <w:rsid w:val="00A831C5"/>
    <w:rsid w:val="00A831E0"/>
    <w:rsid w:val="00A83224"/>
    <w:rsid w:val="00A833D3"/>
    <w:rsid w:val="00A841BA"/>
    <w:rsid w:val="00A8461F"/>
    <w:rsid w:val="00A84985"/>
    <w:rsid w:val="00A84BDA"/>
    <w:rsid w:val="00A84CCA"/>
    <w:rsid w:val="00A84CF1"/>
    <w:rsid w:val="00A84D19"/>
    <w:rsid w:val="00A84F42"/>
    <w:rsid w:val="00A84FB3"/>
    <w:rsid w:val="00A8510D"/>
    <w:rsid w:val="00A85219"/>
    <w:rsid w:val="00A85279"/>
    <w:rsid w:val="00A8557C"/>
    <w:rsid w:val="00A85742"/>
    <w:rsid w:val="00A85A87"/>
    <w:rsid w:val="00A85DBE"/>
    <w:rsid w:val="00A85DCF"/>
    <w:rsid w:val="00A85F5A"/>
    <w:rsid w:val="00A86067"/>
    <w:rsid w:val="00A860C6"/>
    <w:rsid w:val="00A863D8"/>
    <w:rsid w:val="00A867CD"/>
    <w:rsid w:val="00A86C23"/>
    <w:rsid w:val="00A86E5F"/>
    <w:rsid w:val="00A8733E"/>
    <w:rsid w:val="00A873D1"/>
    <w:rsid w:val="00A873FE"/>
    <w:rsid w:val="00A87575"/>
    <w:rsid w:val="00A87D5D"/>
    <w:rsid w:val="00A900E4"/>
    <w:rsid w:val="00A9046F"/>
    <w:rsid w:val="00A90558"/>
    <w:rsid w:val="00A908D3"/>
    <w:rsid w:val="00A91188"/>
    <w:rsid w:val="00A91387"/>
    <w:rsid w:val="00A91616"/>
    <w:rsid w:val="00A918E6"/>
    <w:rsid w:val="00A91924"/>
    <w:rsid w:val="00A91BDA"/>
    <w:rsid w:val="00A92EE5"/>
    <w:rsid w:val="00A92FD0"/>
    <w:rsid w:val="00A9304A"/>
    <w:rsid w:val="00A93447"/>
    <w:rsid w:val="00A934E3"/>
    <w:rsid w:val="00A93573"/>
    <w:rsid w:val="00A93C07"/>
    <w:rsid w:val="00A93CD2"/>
    <w:rsid w:val="00A94115"/>
    <w:rsid w:val="00A94514"/>
    <w:rsid w:val="00A946F2"/>
    <w:rsid w:val="00A94A9C"/>
    <w:rsid w:val="00A954B3"/>
    <w:rsid w:val="00A958CC"/>
    <w:rsid w:val="00A95A88"/>
    <w:rsid w:val="00A95F20"/>
    <w:rsid w:val="00A96298"/>
    <w:rsid w:val="00A9683D"/>
    <w:rsid w:val="00A96B51"/>
    <w:rsid w:val="00A979B9"/>
    <w:rsid w:val="00A97C45"/>
    <w:rsid w:val="00A97C71"/>
    <w:rsid w:val="00A97E13"/>
    <w:rsid w:val="00AA043F"/>
    <w:rsid w:val="00AA04D7"/>
    <w:rsid w:val="00AA04D9"/>
    <w:rsid w:val="00AA0576"/>
    <w:rsid w:val="00AA070D"/>
    <w:rsid w:val="00AA0C56"/>
    <w:rsid w:val="00AA0C6F"/>
    <w:rsid w:val="00AA0E68"/>
    <w:rsid w:val="00AA0EB1"/>
    <w:rsid w:val="00AA19B7"/>
    <w:rsid w:val="00AA1AD4"/>
    <w:rsid w:val="00AA1DED"/>
    <w:rsid w:val="00AA207E"/>
    <w:rsid w:val="00AA26D8"/>
    <w:rsid w:val="00AA31C2"/>
    <w:rsid w:val="00AA39A3"/>
    <w:rsid w:val="00AA3B2B"/>
    <w:rsid w:val="00AA3F1C"/>
    <w:rsid w:val="00AA453D"/>
    <w:rsid w:val="00AA4ABD"/>
    <w:rsid w:val="00AA4D33"/>
    <w:rsid w:val="00AA4DB3"/>
    <w:rsid w:val="00AA5257"/>
    <w:rsid w:val="00AA55F1"/>
    <w:rsid w:val="00AA5847"/>
    <w:rsid w:val="00AA5B35"/>
    <w:rsid w:val="00AA622C"/>
    <w:rsid w:val="00AA6394"/>
    <w:rsid w:val="00AA6451"/>
    <w:rsid w:val="00AA6A03"/>
    <w:rsid w:val="00AA6BC1"/>
    <w:rsid w:val="00AA6E17"/>
    <w:rsid w:val="00AA7021"/>
    <w:rsid w:val="00AA7097"/>
    <w:rsid w:val="00AA7330"/>
    <w:rsid w:val="00AA7573"/>
    <w:rsid w:val="00AA770B"/>
    <w:rsid w:val="00AA7910"/>
    <w:rsid w:val="00AA7A92"/>
    <w:rsid w:val="00AA7B72"/>
    <w:rsid w:val="00AA7C10"/>
    <w:rsid w:val="00AA7C1B"/>
    <w:rsid w:val="00AA7DE6"/>
    <w:rsid w:val="00AA7E0F"/>
    <w:rsid w:val="00AA7F7A"/>
    <w:rsid w:val="00AB01EB"/>
    <w:rsid w:val="00AB0CEF"/>
    <w:rsid w:val="00AB1D19"/>
    <w:rsid w:val="00AB1DE9"/>
    <w:rsid w:val="00AB2555"/>
    <w:rsid w:val="00AB2A50"/>
    <w:rsid w:val="00AB2AA9"/>
    <w:rsid w:val="00AB2C86"/>
    <w:rsid w:val="00AB2EF2"/>
    <w:rsid w:val="00AB31EF"/>
    <w:rsid w:val="00AB35E0"/>
    <w:rsid w:val="00AB364C"/>
    <w:rsid w:val="00AB36EA"/>
    <w:rsid w:val="00AB3C36"/>
    <w:rsid w:val="00AB3F3F"/>
    <w:rsid w:val="00AB3FA3"/>
    <w:rsid w:val="00AB41CB"/>
    <w:rsid w:val="00AB4710"/>
    <w:rsid w:val="00AB489E"/>
    <w:rsid w:val="00AB4C0E"/>
    <w:rsid w:val="00AB4E2D"/>
    <w:rsid w:val="00AB4E77"/>
    <w:rsid w:val="00AB628F"/>
    <w:rsid w:val="00AB6722"/>
    <w:rsid w:val="00AB682A"/>
    <w:rsid w:val="00AB74D7"/>
    <w:rsid w:val="00AB7932"/>
    <w:rsid w:val="00AB7974"/>
    <w:rsid w:val="00AB79A7"/>
    <w:rsid w:val="00AC0126"/>
    <w:rsid w:val="00AC02C9"/>
    <w:rsid w:val="00AC02FE"/>
    <w:rsid w:val="00AC0341"/>
    <w:rsid w:val="00AC03C0"/>
    <w:rsid w:val="00AC0678"/>
    <w:rsid w:val="00AC0A6E"/>
    <w:rsid w:val="00AC0B1F"/>
    <w:rsid w:val="00AC0D8D"/>
    <w:rsid w:val="00AC0EF2"/>
    <w:rsid w:val="00AC10ED"/>
    <w:rsid w:val="00AC21C9"/>
    <w:rsid w:val="00AC258E"/>
    <w:rsid w:val="00AC2664"/>
    <w:rsid w:val="00AC2C0D"/>
    <w:rsid w:val="00AC3A2C"/>
    <w:rsid w:val="00AC3AFF"/>
    <w:rsid w:val="00AC3CC0"/>
    <w:rsid w:val="00AC3E66"/>
    <w:rsid w:val="00AC42D8"/>
    <w:rsid w:val="00AC49DE"/>
    <w:rsid w:val="00AC4AEA"/>
    <w:rsid w:val="00AC4D4F"/>
    <w:rsid w:val="00AC5824"/>
    <w:rsid w:val="00AC5BBF"/>
    <w:rsid w:val="00AC5BF4"/>
    <w:rsid w:val="00AC5CB5"/>
    <w:rsid w:val="00AC624F"/>
    <w:rsid w:val="00AC629A"/>
    <w:rsid w:val="00AC6862"/>
    <w:rsid w:val="00AC6AF9"/>
    <w:rsid w:val="00AC6D91"/>
    <w:rsid w:val="00AC6F25"/>
    <w:rsid w:val="00AC7514"/>
    <w:rsid w:val="00AC7C29"/>
    <w:rsid w:val="00AD0066"/>
    <w:rsid w:val="00AD045F"/>
    <w:rsid w:val="00AD06CF"/>
    <w:rsid w:val="00AD06F5"/>
    <w:rsid w:val="00AD1677"/>
    <w:rsid w:val="00AD1757"/>
    <w:rsid w:val="00AD18DA"/>
    <w:rsid w:val="00AD18F6"/>
    <w:rsid w:val="00AD1AE6"/>
    <w:rsid w:val="00AD22E2"/>
    <w:rsid w:val="00AD25A2"/>
    <w:rsid w:val="00AD3313"/>
    <w:rsid w:val="00AD35B9"/>
    <w:rsid w:val="00AD3EC7"/>
    <w:rsid w:val="00AD4046"/>
    <w:rsid w:val="00AD456A"/>
    <w:rsid w:val="00AD5062"/>
    <w:rsid w:val="00AD50B8"/>
    <w:rsid w:val="00AD573D"/>
    <w:rsid w:val="00AD59BA"/>
    <w:rsid w:val="00AD5CFC"/>
    <w:rsid w:val="00AD60F4"/>
    <w:rsid w:val="00AD7302"/>
    <w:rsid w:val="00AD74E2"/>
    <w:rsid w:val="00AD7A3C"/>
    <w:rsid w:val="00AD7DE4"/>
    <w:rsid w:val="00AE08B7"/>
    <w:rsid w:val="00AE0F7C"/>
    <w:rsid w:val="00AE10F8"/>
    <w:rsid w:val="00AE121A"/>
    <w:rsid w:val="00AE1751"/>
    <w:rsid w:val="00AE17E5"/>
    <w:rsid w:val="00AE1931"/>
    <w:rsid w:val="00AE19F7"/>
    <w:rsid w:val="00AE1A94"/>
    <w:rsid w:val="00AE1AFE"/>
    <w:rsid w:val="00AE1C66"/>
    <w:rsid w:val="00AE1DF3"/>
    <w:rsid w:val="00AE1EA2"/>
    <w:rsid w:val="00AE1F8A"/>
    <w:rsid w:val="00AE1FD1"/>
    <w:rsid w:val="00AE249C"/>
    <w:rsid w:val="00AE24E7"/>
    <w:rsid w:val="00AE2642"/>
    <w:rsid w:val="00AE26FC"/>
    <w:rsid w:val="00AE3542"/>
    <w:rsid w:val="00AE35DF"/>
    <w:rsid w:val="00AE37CB"/>
    <w:rsid w:val="00AE38CC"/>
    <w:rsid w:val="00AE3A46"/>
    <w:rsid w:val="00AE3BCD"/>
    <w:rsid w:val="00AE3C3D"/>
    <w:rsid w:val="00AE41A8"/>
    <w:rsid w:val="00AE43BE"/>
    <w:rsid w:val="00AE4DAF"/>
    <w:rsid w:val="00AE4E4D"/>
    <w:rsid w:val="00AE5131"/>
    <w:rsid w:val="00AE5683"/>
    <w:rsid w:val="00AE5897"/>
    <w:rsid w:val="00AE5941"/>
    <w:rsid w:val="00AE5AAF"/>
    <w:rsid w:val="00AE5BE7"/>
    <w:rsid w:val="00AE5CAC"/>
    <w:rsid w:val="00AE5DAC"/>
    <w:rsid w:val="00AE60BA"/>
    <w:rsid w:val="00AE60DF"/>
    <w:rsid w:val="00AE631A"/>
    <w:rsid w:val="00AE6386"/>
    <w:rsid w:val="00AE7B6B"/>
    <w:rsid w:val="00AF0243"/>
    <w:rsid w:val="00AF0418"/>
    <w:rsid w:val="00AF05A6"/>
    <w:rsid w:val="00AF114B"/>
    <w:rsid w:val="00AF1359"/>
    <w:rsid w:val="00AF161A"/>
    <w:rsid w:val="00AF199C"/>
    <w:rsid w:val="00AF1B8F"/>
    <w:rsid w:val="00AF1E01"/>
    <w:rsid w:val="00AF1F31"/>
    <w:rsid w:val="00AF276C"/>
    <w:rsid w:val="00AF2990"/>
    <w:rsid w:val="00AF33F8"/>
    <w:rsid w:val="00AF3CA1"/>
    <w:rsid w:val="00AF3DF0"/>
    <w:rsid w:val="00AF4739"/>
    <w:rsid w:val="00AF48A9"/>
    <w:rsid w:val="00AF4990"/>
    <w:rsid w:val="00AF4EB8"/>
    <w:rsid w:val="00AF5562"/>
    <w:rsid w:val="00AF566D"/>
    <w:rsid w:val="00AF6188"/>
    <w:rsid w:val="00AF651E"/>
    <w:rsid w:val="00AF6E42"/>
    <w:rsid w:val="00AF707B"/>
    <w:rsid w:val="00AF7A8D"/>
    <w:rsid w:val="00AF7BE2"/>
    <w:rsid w:val="00AF7C24"/>
    <w:rsid w:val="00AF7D3F"/>
    <w:rsid w:val="00AF7F28"/>
    <w:rsid w:val="00B001B6"/>
    <w:rsid w:val="00B0072B"/>
    <w:rsid w:val="00B00A07"/>
    <w:rsid w:val="00B00B26"/>
    <w:rsid w:val="00B00CE4"/>
    <w:rsid w:val="00B00F9E"/>
    <w:rsid w:val="00B011D7"/>
    <w:rsid w:val="00B011F1"/>
    <w:rsid w:val="00B01299"/>
    <w:rsid w:val="00B020B7"/>
    <w:rsid w:val="00B026FA"/>
    <w:rsid w:val="00B0273F"/>
    <w:rsid w:val="00B02ADA"/>
    <w:rsid w:val="00B02E6E"/>
    <w:rsid w:val="00B02ED5"/>
    <w:rsid w:val="00B03627"/>
    <w:rsid w:val="00B039D2"/>
    <w:rsid w:val="00B03A04"/>
    <w:rsid w:val="00B03AB8"/>
    <w:rsid w:val="00B03D25"/>
    <w:rsid w:val="00B04049"/>
    <w:rsid w:val="00B040AF"/>
    <w:rsid w:val="00B049D4"/>
    <w:rsid w:val="00B05091"/>
    <w:rsid w:val="00B050C6"/>
    <w:rsid w:val="00B0523A"/>
    <w:rsid w:val="00B052ED"/>
    <w:rsid w:val="00B05680"/>
    <w:rsid w:val="00B05701"/>
    <w:rsid w:val="00B05DFE"/>
    <w:rsid w:val="00B05F69"/>
    <w:rsid w:val="00B0601E"/>
    <w:rsid w:val="00B06460"/>
    <w:rsid w:val="00B068F7"/>
    <w:rsid w:val="00B06A67"/>
    <w:rsid w:val="00B06B7C"/>
    <w:rsid w:val="00B06EDB"/>
    <w:rsid w:val="00B0710A"/>
    <w:rsid w:val="00B07145"/>
    <w:rsid w:val="00B0723D"/>
    <w:rsid w:val="00B0797F"/>
    <w:rsid w:val="00B07D1D"/>
    <w:rsid w:val="00B10520"/>
    <w:rsid w:val="00B107B0"/>
    <w:rsid w:val="00B107D6"/>
    <w:rsid w:val="00B10889"/>
    <w:rsid w:val="00B10986"/>
    <w:rsid w:val="00B113BD"/>
    <w:rsid w:val="00B113CA"/>
    <w:rsid w:val="00B11AF7"/>
    <w:rsid w:val="00B11B09"/>
    <w:rsid w:val="00B11DDF"/>
    <w:rsid w:val="00B11E0C"/>
    <w:rsid w:val="00B11FC0"/>
    <w:rsid w:val="00B14585"/>
    <w:rsid w:val="00B145B0"/>
    <w:rsid w:val="00B14A7C"/>
    <w:rsid w:val="00B14BAA"/>
    <w:rsid w:val="00B14BFD"/>
    <w:rsid w:val="00B14C52"/>
    <w:rsid w:val="00B14F21"/>
    <w:rsid w:val="00B1561A"/>
    <w:rsid w:val="00B15B7A"/>
    <w:rsid w:val="00B16028"/>
    <w:rsid w:val="00B16141"/>
    <w:rsid w:val="00B161E5"/>
    <w:rsid w:val="00B162B2"/>
    <w:rsid w:val="00B168AF"/>
    <w:rsid w:val="00B168E7"/>
    <w:rsid w:val="00B16DCE"/>
    <w:rsid w:val="00B16E84"/>
    <w:rsid w:val="00B17113"/>
    <w:rsid w:val="00B1766F"/>
    <w:rsid w:val="00B17D20"/>
    <w:rsid w:val="00B20584"/>
    <w:rsid w:val="00B20928"/>
    <w:rsid w:val="00B20BF6"/>
    <w:rsid w:val="00B20C18"/>
    <w:rsid w:val="00B2138E"/>
    <w:rsid w:val="00B226E3"/>
    <w:rsid w:val="00B227C3"/>
    <w:rsid w:val="00B228D3"/>
    <w:rsid w:val="00B234C4"/>
    <w:rsid w:val="00B2357E"/>
    <w:rsid w:val="00B236DE"/>
    <w:rsid w:val="00B23991"/>
    <w:rsid w:val="00B24F02"/>
    <w:rsid w:val="00B250B2"/>
    <w:rsid w:val="00B25263"/>
    <w:rsid w:val="00B25570"/>
    <w:rsid w:val="00B25981"/>
    <w:rsid w:val="00B25E29"/>
    <w:rsid w:val="00B26120"/>
    <w:rsid w:val="00B2700A"/>
    <w:rsid w:val="00B27464"/>
    <w:rsid w:val="00B275EE"/>
    <w:rsid w:val="00B2781B"/>
    <w:rsid w:val="00B2786D"/>
    <w:rsid w:val="00B27B57"/>
    <w:rsid w:val="00B301C5"/>
    <w:rsid w:val="00B301E9"/>
    <w:rsid w:val="00B305C4"/>
    <w:rsid w:val="00B3086D"/>
    <w:rsid w:val="00B30A1F"/>
    <w:rsid w:val="00B31041"/>
    <w:rsid w:val="00B31088"/>
    <w:rsid w:val="00B310C4"/>
    <w:rsid w:val="00B31548"/>
    <w:rsid w:val="00B3181C"/>
    <w:rsid w:val="00B325E1"/>
    <w:rsid w:val="00B3270B"/>
    <w:rsid w:val="00B32D0B"/>
    <w:rsid w:val="00B33795"/>
    <w:rsid w:val="00B33922"/>
    <w:rsid w:val="00B33AAC"/>
    <w:rsid w:val="00B33BD0"/>
    <w:rsid w:val="00B340C2"/>
    <w:rsid w:val="00B34471"/>
    <w:rsid w:val="00B34BB6"/>
    <w:rsid w:val="00B3512C"/>
    <w:rsid w:val="00B353E0"/>
    <w:rsid w:val="00B357CC"/>
    <w:rsid w:val="00B35D09"/>
    <w:rsid w:val="00B360BB"/>
    <w:rsid w:val="00B361AA"/>
    <w:rsid w:val="00B36262"/>
    <w:rsid w:val="00B362CE"/>
    <w:rsid w:val="00B3631C"/>
    <w:rsid w:val="00B363DB"/>
    <w:rsid w:val="00B36E23"/>
    <w:rsid w:val="00B3705B"/>
    <w:rsid w:val="00B3727C"/>
    <w:rsid w:val="00B4046B"/>
    <w:rsid w:val="00B40661"/>
    <w:rsid w:val="00B40D14"/>
    <w:rsid w:val="00B40D50"/>
    <w:rsid w:val="00B40EB4"/>
    <w:rsid w:val="00B410BE"/>
    <w:rsid w:val="00B411A6"/>
    <w:rsid w:val="00B411B3"/>
    <w:rsid w:val="00B413C8"/>
    <w:rsid w:val="00B4162A"/>
    <w:rsid w:val="00B4175B"/>
    <w:rsid w:val="00B417A2"/>
    <w:rsid w:val="00B41D1A"/>
    <w:rsid w:val="00B42045"/>
    <w:rsid w:val="00B421BB"/>
    <w:rsid w:val="00B422FA"/>
    <w:rsid w:val="00B42BF3"/>
    <w:rsid w:val="00B42CDE"/>
    <w:rsid w:val="00B42D27"/>
    <w:rsid w:val="00B4363D"/>
    <w:rsid w:val="00B4369E"/>
    <w:rsid w:val="00B43C9D"/>
    <w:rsid w:val="00B43CBE"/>
    <w:rsid w:val="00B4448C"/>
    <w:rsid w:val="00B44576"/>
    <w:rsid w:val="00B4466F"/>
    <w:rsid w:val="00B4481B"/>
    <w:rsid w:val="00B44E9F"/>
    <w:rsid w:val="00B44FCF"/>
    <w:rsid w:val="00B45D87"/>
    <w:rsid w:val="00B462CF"/>
    <w:rsid w:val="00B4653F"/>
    <w:rsid w:val="00B4672E"/>
    <w:rsid w:val="00B46851"/>
    <w:rsid w:val="00B46BEE"/>
    <w:rsid w:val="00B46CAD"/>
    <w:rsid w:val="00B46EF4"/>
    <w:rsid w:val="00B4746D"/>
    <w:rsid w:val="00B47789"/>
    <w:rsid w:val="00B478D9"/>
    <w:rsid w:val="00B5004F"/>
    <w:rsid w:val="00B503E9"/>
    <w:rsid w:val="00B50C38"/>
    <w:rsid w:val="00B50F95"/>
    <w:rsid w:val="00B514AD"/>
    <w:rsid w:val="00B51673"/>
    <w:rsid w:val="00B519B8"/>
    <w:rsid w:val="00B51B1F"/>
    <w:rsid w:val="00B51BD2"/>
    <w:rsid w:val="00B52361"/>
    <w:rsid w:val="00B52E26"/>
    <w:rsid w:val="00B52E82"/>
    <w:rsid w:val="00B5379D"/>
    <w:rsid w:val="00B53835"/>
    <w:rsid w:val="00B539AA"/>
    <w:rsid w:val="00B53B0A"/>
    <w:rsid w:val="00B53C81"/>
    <w:rsid w:val="00B53FEF"/>
    <w:rsid w:val="00B540BC"/>
    <w:rsid w:val="00B54308"/>
    <w:rsid w:val="00B54819"/>
    <w:rsid w:val="00B554C1"/>
    <w:rsid w:val="00B55D22"/>
    <w:rsid w:val="00B55D4B"/>
    <w:rsid w:val="00B560CA"/>
    <w:rsid w:val="00B5627E"/>
    <w:rsid w:val="00B5646E"/>
    <w:rsid w:val="00B566D0"/>
    <w:rsid w:val="00B567AB"/>
    <w:rsid w:val="00B56A5A"/>
    <w:rsid w:val="00B56AC1"/>
    <w:rsid w:val="00B56C13"/>
    <w:rsid w:val="00B56E26"/>
    <w:rsid w:val="00B57256"/>
    <w:rsid w:val="00B576EB"/>
    <w:rsid w:val="00B600BB"/>
    <w:rsid w:val="00B601DD"/>
    <w:rsid w:val="00B6035E"/>
    <w:rsid w:val="00B60447"/>
    <w:rsid w:val="00B607BE"/>
    <w:rsid w:val="00B60B5C"/>
    <w:rsid w:val="00B61156"/>
    <w:rsid w:val="00B6152E"/>
    <w:rsid w:val="00B61909"/>
    <w:rsid w:val="00B61CB3"/>
    <w:rsid w:val="00B61DB1"/>
    <w:rsid w:val="00B61F5E"/>
    <w:rsid w:val="00B62742"/>
    <w:rsid w:val="00B62872"/>
    <w:rsid w:val="00B62AAA"/>
    <w:rsid w:val="00B62E07"/>
    <w:rsid w:val="00B63056"/>
    <w:rsid w:val="00B632C7"/>
    <w:rsid w:val="00B634F2"/>
    <w:rsid w:val="00B6375C"/>
    <w:rsid w:val="00B63825"/>
    <w:rsid w:val="00B63E44"/>
    <w:rsid w:val="00B6441B"/>
    <w:rsid w:val="00B645CF"/>
    <w:rsid w:val="00B645F1"/>
    <w:rsid w:val="00B64792"/>
    <w:rsid w:val="00B64B01"/>
    <w:rsid w:val="00B6518D"/>
    <w:rsid w:val="00B65A3F"/>
    <w:rsid w:val="00B660C3"/>
    <w:rsid w:val="00B66132"/>
    <w:rsid w:val="00B66B33"/>
    <w:rsid w:val="00B67996"/>
    <w:rsid w:val="00B67A91"/>
    <w:rsid w:val="00B67DC0"/>
    <w:rsid w:val="00B70475"/>
    <w:rsid w:val="00B70479"/>
    <w:rsid w:val="00B70915"/>
    <w:rsid w:val="00B70C9F"/>
    <w:rsid w:val="00B712C2"/>
    <w:rsid w:val="00B7156A"/>
    <w:rsid w:val="00B7178D"/>
    <w:rsid w:val="00B71E81"/>
    <w:rsid w:val="00B7238D"/>
    <w:rsid w:val="00B7245E"/>
    <w:rsid w:val="00B72743"/>
    <w:rsid w:val="00B72B25"/>
    <w:rsid w:val="00B73D26"/>
    <w:rsid w:val="00B744F7"/>
    <w:rsid w:val="00B7465A"/>
    <w:rsid w:val="00B74858"/>
    <w:rsid w:val="00B74DB6"/>
    <w:rsid w:val="00B75122"/>
    <w:rsid w:val="00B75729"/>
    <w:rsid w:val="00B75740"/>
    <w:rsid w:val="00B760AE"/>
    <w:rsid w:val="00B7621E"/>
    <w:rsid w:val="00B76D5A"/>
    <w:rsid w:val="00B77744"/>
    <w:rsid w:val="00B77DA6"/>
    <w:rsid w:val="00B77F88"/>
    <w:rsid w:val="00B77FE3"/>
    <w:rsid w:val="00B80208"/>
    <w:rsid w:val="00B80704"/>
    <w:rsid w:val="00B80C2A"/>
    <w:rsid w:val="00B80C33"/>
    <w:rsid w:val="00B80D30"/>
    <w:rsid w:val="00B80D7B"/>
    <w:rsid w:val="00B80EE9"/>
    <w:rsid w:val="00B80F9C"/>
    <w:rsid w:val="00B8101C"/>
    <w:rsid w:val="00B812AC"/>
    <w:rsid w:val="00B8192E"/>
    <w:rsid w:val="00B81E2A"/>
    <w:rsid w:val="00B81E4F"/>
    <w:rsid w:val="00B828A3"/>
    <w:rsid w:val="00B82AFA"/>
    <w:rsid w:val="00B82CB6"/>
    <w:rsid w:val="00B82E2E"/>
    <w:rsid w:val="00B834AC"/>
    <w:rsid w:val="00B83AD7"/>
    <w:rsid w:val="00B84055"/>
    <w:rsid w:val="00B84766"/>
    <w:rsid w:val="00B84FCB"/>
    <w:rsid w:val="00B8513C"/>
    <w:rsid w:val="00B851CE"/>
    <w:rsid w:val="00B856CE"/>
    <w:rsid w:val="00B85C0E"/>
    <w:rsid w:val="00B86792"/>
    <w:rsid w:val="00B867F3"/>
    <w:rsid w:val="00B86A3E"/>
    <w:rsid w:val="00B86B0C"/>
    <w:rsid w:val="00B86E7A"/>
    <w:rsid w:val="00B8755F"/>
    <w:rsid w:val="00B87619"/>
    <w:rsid w:val="00B87665"/>
    <w:rsid w:val="00B876DD"/>
    <w:rsid w:val="00B8782C"/>
    <w:rsid w:val="00B879BD"/>
    <w:rsid w:val="00B87B59"/>
    <w:rsid w:val="00B90635"/>
    <w:rsid w:val="00B90801"/>
    <w:rsid w:val="00B90BFC"/>
    <w:rsid w:val="00B90CCD"/>
    <w:rsid w:val="00B90D03"/>
    <w:rsid w:val="00B910D9"/>
    <w:rsid w:val="00B91603"/>
    <w:rsid w:val="00B9188F"/>
    <w:rsid w:val="00B91DE3"/>
    <w:rsid w:val="00B91F86"/>
    <w:rsid w:val="00B9205E"/>
    <w:rsid w:val="00B922FC"/>
    <w:rsid w:val="00B9252C"/>
    <w:rsid w:val="00B930A3"/>
    <w:rsid w:val="00B9321F"/>
    <w:rsid w:val="00B938ED"/>
    <w:rsid w:val="00B93A87"/>
    <w:rsid w:val="00B93E4C"/>
    <w:rsid w:val="00B93F23"/>
    <w:rsid w:val="00B94244"/>
    <w:rsid w:val="00B9431C"/>
    <w:rsid w:val="00B94334"/>
    <w:rsid w:val="00B94BD6"/>
    <w:rsid w:val="00B951A3"/>
    <w:rsid w:val="00B95592"/>
    <w:rsid w:val="00B958C1"/>
    <w:rsid w:val="00B964FB"/>
    <w:rsid w:val="00B966DA"/>
    <w:rsid w:val="00B970A4"/>
    <w:rsid w:val="00B97112"/>
    <w:rsid w:val="00B97925"/>
    <w:rsid w:val="00BA0AB2"/>
    <w:rsid w:val="00BA1002"/>
    <w:rsid w:val="00BA1A7F"/>
    <w:rsid w:val="00BA1BB5"/>
    <w:rsid w:val="00BA1ECA"/>
    <w:rsid w:val="00BA273E"/>
    <w:rsid w:val="00BA2B93"/>
    <w:rsid w:val="00BA3B8E"/>
    <w:rsid w:val="00BA4381"/>
    <w:rsid w:val="00BA45A6"/>
    <w:rsid w:val="00BA4B59"/>
    <w:rsid w:val="00BA537D"/>
    <w:rsid w:val="00BA6373"/>
    <w:rsid w:val="00BA6661"/>
    <w:rsid w:val="00BA68B1"/>
    <w:rsid w:val="00BA6991"/>
    <w:rsid w:val="00BA6CE7"/>
    <w:rsid w:val="00BA700A"/>
    <w:rsid w:val="00BA705B"/>
    <w:rsid w:val="00BA7082"/>
    <w:rsid w:val="00BA7A07"/>
    <w:rsid w:val="00BA7A20"/>
    <w:rsid w:val="00BA7B10"/>
    <w:rsid w:val="00BB00F8"/>
    <w:rsid w:val="00BB01E5"/>
    <w:rsid w:val="00BB1317"/>
    <w:rsid w:val="00BB141E"/>
    <w:rsid w:val="00BB1E47"/>
    <w:rsid w:val="00BB21CA"/>
    <w:rsid w:val="00BB258C"/>
    <w:rsid w:val="00BB25E2"/>
    <w:rsid w:val="00BB27D9"/>
    <w:rsid w:val="00BB34F4"/>
    <w:rsid w:val="00BB3BBE"/>
    <w:rsid w:val="00BB4089"/>
    <w:rsid w:val="00BB50A0"/>
    <w:rsid w:val="00BB53B1"/>
    <w:rsid w:val="00BB5736"/>
    <w:rsid w:val="00BB57D5"/>
    <w:rsid w:val="00BB5A97"/>
    <w:rsid w:val="00BB5D16"/>
    <w:rsid w:val="00BB5E95"/>
    <w:rsid w:val="00BB640B"/>
    <w:rsid w:val="00BB69BF"/>
    <w:rsid w:val="00BB6A75"/>
    <w:rsid w:val="00BB731D"/>
    <w:rsid w:val="00BB73EF"/>
    <w:rsid w:val="00BB7422"/>
    <w:rsid w:val="00BB76F8"/>
    <w:rsid w:val="00BB7707"/>
    <w:rsid w:val="00BB7B55"/>
    <w:rsid w:val="00BC0759"/>
    <w:rsid w:val="00BC1651"/>
    <w:rsid w:val="00BC177E"/>
    <w:rsid w:val="00BC1CC0"/>
    <w:rsid w:val="00BC20A7"/>
    <w:rsid w:val="00BC2517"/>
    <w:rsid w:val="00BC260F"/>
    <w:rsid w:val="00BC2989"/>
    <w:rsid w:val="00BC2AB8"/>
    <w:rsid w:val="00BC2AF3"/>
    <w:rsid w:val="00BC2F41"/>
    <w:rsid w:val="00BC2FBB"/>
    <w:rsid w:val="00BC330E"/>
    <w:rsid w:val="00BC3319"/>
    <w:rsid w:val="00BC4045"/>
    <w:rsid w:val="00BC41B1"/>
    <w:rsid w:val="00BC4965"/>
    <w:rsid w:val="00BC4AA3"/>
    <w:rsid w:val="00BC4EED"/>
    <w:rsid w:val="00BC529F"/>
    <w:rsid w:val="00BC5303"/>
    <w:rsid w:val="00BC5731"/>
    <w:rsid w:val="00BC58A6"/>
    <w:rsid w:val="00BC5BA8"/>
    <w:rsid w:val="00BC5C60"/>
    <w:rsid w:val="00BC5CAD"/>
    <w:rsid w:val="00BC6103"/>
    <w:rsid w:val="00BC6274"/>
    <w:rsid w:val="00BC656A"/>
    <w:rsid w:val="00BC65DE"/>
    <w:rsid w:val="00BC67E6"/>
    <w:rsid w:val="00BC6ED7"/>
    <w:rsid w:val="00BC7446"/>
    <w:rsid w:val="00BC76E9"/>
    <w:rsid w:val="00BC7D8D"/>
    <w:rsid w:val="00BD0431"/>
    <w:rsid w:val="00BD0491"/>
    <w:rsid w:val="00BD0520"/>
    <w:rsid w:val="00BD111E"/>
    <w:rsid w:val="00BD113C"/>
    <w:rsid w:val="00BD166B"/>
    <w:rsid w:val="00BD19D4"/>
    <w:rsid w:val="00BD2853"/>
    <w:rsid w:val="00BD2B56"/>
    <w:rsid w:val="00BD2D2F"/>
    <w:rsid w:val="00BD2FF9"/>
    <w:rsid w:val="00BD35C7"/>
    <w:rsid w:val="00BD3BF0"/>
    <w:rsid w:val="00BD3E60"/>
    <w:rsid w:val="00BD440E"/>
    <w:rsid w:val="00BD4602"/>
    <w:rsid w:val="00BD4783"/>
    <w:rsid w:val="00BD48E3"/>
    <w:rsid w:val="00BD4A6F"/>
    <w:rsid w:val="00BD4C8E"/>
    <w:rsid w:val="00BD4E6C"/>
    <w:rsid w:val="00BD4F6E"/>
    <w:rsid w:val="00BD5B1C"/>
    <w:rsid w:val="00BD607B"/>
    <w:rsid w:val="00BD61A4"/>
    <w:rsid w:val="00BD64BD"/>
    <w:rsid w:val="00BD6B4E"/>
    <w:rsid w:val="00BD6E79"/>
    <w:rsid w:val="00BD7392"/>
    <w:rsid w:val="00BD7A69"/>
    <w:rsid w:val="00BD7BA7"/>
    <w:rsid w:val="00BE008E"/>
    <w:rsid w:val="00BE05B6"/>
    <w:rsid w:val="00BE06D2"/>
    <w:rsid w:val="00BE0965"/>
    <w:rsid w:val="00BE0A64"/>
    <w:rsid w:val="00BE0C9E"/>
    <w:rsid w:val="00BE0F2D"/>
    <w:rsid w:val="00BE15A9"/>
    <w:rsid w:val="00BE16C7"/>
    <w:rsid w:val="00BE1B0C"/>
    <w:rsid w:val="00BE1C1B"/>
    <w:rsid w:val="00BE2307"/>
    <w:rsid w:val="00BE247B"/>
    <w:rsid w:val="00BE24CB"/>
    <w:rsid w:val="00BE251E"/>
    <w:rsid w:val="00BE28D0"/>
    <w:rsid w:val="00BE28DB"/>
    <w:rsid w:val="00BE2C02"/>
    <w:rsid w:val="00BE2DD2"/>
    <w:rsid w:val="00BE2F44"/>
    <w:rsid w:val="00BE3435"/>
    <w:rsid w:val="00BE34A2"/>
    <w:rsid w:val="00BE34EB"/>
    <w:rsid w:val="00BE3FB5"/>
    <w:rsid w:val="00BE4035"/>
    <w:rsid w:val="00BE40BA"/>
    <w:rsid w:val="00BE41F4"/>
    <w:rsid w:val="00BE4359"/>
    <w:rsid w:val="00BE49B6"/>
    <w:rsid w:val="00BE4BDE"/>
    <w:rsid w:val="00BE4F43"/>
    <w:rsid w:val="00BE518D"/>
    <w:rsid w:val="00BE6465"/>
    <w:rsid w:val="00BE6A24"/>
    <w:rsid w:val="00BE7153"/>
    <w:rsid w:val="00BE734B"/>
    <w:rsid w:val="00BF022A"/>
    <w:rsid w:val="00BF0337"/>
    <w:rsid w:val="00BF046B"/>
    <w:rsid w:val="00BF08DD"/>
    <w:rsid w:val="00BF12E8"/>
    <w:rsid w:val="00BF15BD"/>
    <w:rsid w:val="00BF1D03"/>
    <w:rsid w:val="00BF2113"/>
    <w:rsid w:val="00BF2233"/>
    <w:rsid w:val="00BF238F"/>
    <w:rsid w:val="00BF257E"/>
    <w:rsid w:val="00BF2686"/>
    <w:rsid w:val="00BF2A2B"/>
    <w:rsid w:val="00BF2AD9"/>
    <w:rsid w:val="00BF2F97"/>
    <w:rsid w:val="00BF34D9"/>
    <w:rsid w:val="00BF35BB"/>
    <w:rsid w:val="00BF3BBA"/>
    <w:rsid w:val="00BF4945"/>
    <w:rsid w:val="00BF4B48"/>
    <w:rsid w:val="00BF4F53"/>
    <w:rsid w:val="00BF52D8"/>
    <w:rsid w:val="00BF52F6"/>
    <w:rsid w:val="00BF54FE"/>
    <w:rsid w:val="00BF59C6"/>
    <w:rsid w:val="00BF5BA9"/>
    <w:rsid w:val="00BF5C3F"/>
    <w:rsid w:val="00BF5D1D"/>
    <w:rsid w:val="00BF5E78"/>
    <w:rsid w:val="00BF6447"/>
    <w:rsid w:val="00BF666C"/>
    <w:rsid w:val="00BF6A53"/>
    <w:rsid w:val="00BF6C16"/>
    <w:rsid w:val="00BF6C19"/>
    <w:rsid w:val="00BF6E6A"/>
    <w:rsid w:val="00BF6FB7"/>
    <w:rsid w:val="00BF7439"/>
    <w:rsid w:val="00BF7C63"/>
    <w:rsid w:val="00BF7EA0"/>
    <w:rsid w:val="00C00409"/>
    <w:rsid w:val="00C006AC"/>
    <w:rsid w:val="00C00BB7"/>
    <w:rsid w:val="00C00E19"/>
    <w:rsid w:val="00C00E69"/>
    <w:rsid w:val="00C010F5"/>
    <w:rsid w:val="00C01989"/>
    <w:rsid w:val="00C01A2D"/>
    <w:rsid w:val="00C01B3B"/>
    <w:rsid w:val="00C02091"/>
    <w:rsid w:val="00C020B0"/>
    <w:rsid w:val="00C021C0"/>
    <w:rsid w:val="00C025C6"/>
    <w:rsid w:val="00C026C2"/>
    <w:rsid w:val="00C02FFC"/>
    <w:rsid w:val="00C0310A"/>
    <w:rsid w:val="00C0317E"/>
    <w:rsid w:val="00C03202"/>
    <w:rsid w:val="00C033A5"/>
    <w:rsid w:val="00C03E53"/>
    <w:rsid w:val="00C04192"/>
    <w:rsid w:val="00C043BF"/>
    <w:rsid w:val="00C044B3"/>
    <w:rsid w:val="00C04651"/>
    <w:rsid w:val="00C04824"/>
    <w:rsid w:val="00C04ACE"/>
    <w:rsid w:val="00C05CE6"/>
    <w:rsid w:val="00C06215"/>
    <w:rsid w:val="00C06339"/>
    <w:rsid w:val="00C06426"/>
    <w:rsid w:val="00C06B25"/>
    <w:rsid w:val="00C06E8E"/>
    <w:rsid w:val="00C071EF"/>
    <w:rsid w:val="00C075EE"/>
    <w:rsid w:val="00C07932"/>
    <w:rsid w:val="00C0797C"/>
    <w:rsid w:val="00C104EE"/>
    <w:rsid w:val="00C105CB"/>
    <w:rsid w:val="00C106C8"/>
    <w:rsid w:val="00C1084F"/>
    <w:rsid w:val="00C10A53"/>
    <w:rsid w:val="00C10AC2"/>
    <w:rsid w:val="00C10F2F"/>
    <w:rsid w:val="00C11416"/>
    <w:rsid w:val="00C12148"/>
    <w:rsid w:val="00C12215"/>
    <w:rsid w:val="00C1264E"/>
    <w:rsid w:val="00C12985"/>
    <w:rsid w:val="00C12992"/>
    <w:rsid w:val="00C12AAF"/>
    <w:rsid w:val="00C12BC3"/>
    <w:rsid w:val="00C134D5"/>
    <w:rsid w:val="00C13542"/>
    <w:rsid w:val="00C1356F"/>
    <w:rsid w:val="00C139A7"/>
    <w:rsid w:val="00C13EF2"/>
    <w:rsid w:val="00C142DC"/>
    <w:rsid w:val="00C14405"/>
    <w:rsid w:val="00C145A2"/>
    <w:rsid w:val="00C146D1"/>
    <w:rsid w:val="00C152CB"/>
    <w:rsid w:val="00C15F24"/>
    <w:rsid w:val="00C16323"/>
    <w:rsid w:val="00C16469"/>
    <w:rsid w:val="00C16A5B"/>
    <w:rsid w:val="00C16FB9"/>
    <w:rsid w:val="00C17047"/>
    <w:rsid w:val="00C1729D"/>
    <w:rsid w:val="00C17345"/>
    <w:rsid w:val="00C2064A"/>
    <w:rsid w:val="00C2066E"/>
    <w:rsid w:val="00C20B50"/>
    <w:rsid w:val="00C20CF2"/>
    <w:rsid w:val="00C20F0C"/>
    <w:rsid w:val="00C21044"/>
    <w:rsid w:val="00C213D8"/>
    <w:rsid w:val="00C214DF"/>
    <w:rsid w:val="00C21926"/>
    <w:rsid w:val="00C21A0A"/>
    <w:rsid w:val="00C21AA4"/>
    <w:rsid w:val="00C222D8"/>
    <w:rsid w:val="00C22C0C"/>
    <w:rsid w:val="00C22CDD"/>
    <w:rsid w:val="00C22F2B"/>
    <w:rsid w:val="00C23776"/>
    <w:rsid w:val="00C23A01"/>
    <w:rsid w:val="00C23B50"/>
    <w:rsid w:val="00C23B67"/>
    <w:rsid w:val="00C240F8"/>
    <w:rsid w:val="00C24295"/>
    <w:rsid w:val="00C242FC"/>
    <w:rsid w:val="00C247B0"/>
    <w:rsid w:val="00C25586"/>
    <w:rsid w:val="00C25E6E"/>
    <w:rsid w:val="00C25F99"/>
    <w:rsid w:val="00C261C6"/>
    <w:rsid w:val="00C2648A"/>
    <w:rsid w:val="00C26666"/>
    <w:rsid w:val="00C267A1"/>
    <w:rsid w:val="00C26A45"/>
    <w:rsid w:val="00C27208"/>
    <w:rsid w:val="00C27846"/>
    <w:rsid w:val="00C278F7"/>
    <w:rsid w:val="00C27E2D"/>
    <w:rsid w:val="00C27F96"/>
    <w:rsid w:val="00C300EA"/>
    <w:rsid w:val="00C30106"/>
    <w:rsid w:val="00C30AD2"/>
    <w:rsid w:val="00C30AE1"/>
    <w:rsid w:val="00C30C5E"/>
    <w:rsid w:val="00C30DD2"/>
    <w:rsid w:val="00C31689"/>
    <w:rsid w:val="00C319D6"/>
    <w:rsid w:val="00C3204F"/>
    <w:rsid w:val="00C32471"/>
    <w:rsid w:val="00C327BD"/>
    <w:rsid w:val="00C32C0D"/>
    <w:rsid w:val="00C3305A"/>
    <w:rsid w:val="00C33353"/>
    <w:rsid w:val="00C33B13"/>
    <w:rsid w:val="00C33FBE"/>
    <w:rsid w:val="00C3440D"/>
    <w:rsid w:val="00C34489"/>
    <w:rsid w:val="00C3461E"/>
    <w:rsid w:val="00C34DB7"/>
    <w:rsid w:val="00C34DC5"/>
    <w:rsid w:val="00C34DCF"/>
    <w:rsid w:val="00C34EF9"/>
    <w:rsid w:val="00C34F7B"/>
    <w:rsid w:val="00C354FE"/>
    <w:rsid w:val="00C355B3"/>
    <w:rsid w:val="00C35866"/>
    <w:rsid w:val="00C358F8"/>
    <w:rsid w:val="00C3591C"/>
    <w:rsid w:val="00C35F77"/>
    <w:rsid w:val="00C36080"/>
    <w:rsid w:val="00C37026"/>
    <w:rsid w:val="00C37A49"/>
    <w:rsid w:val="00C37B1E"/>
    <w:rsid w:val="00C37C8C"/>
    <w:rsid w:val="00C37F96"/>
    <w:rsid w:val="00C40251"/>
    <w:rsid w:val="00C402DD"/>
    <w:rsid w:val="00C4044E"/>
    <w:rsid w:val="00C404A7"/>
    <w:rsid w:val="00C406F0"/>
    <w:rsid w:val="00C40815"/>
    <w:rsid w:val="00C40FC3"/>
    <w:rsid w:val="00C410AA"/>
    <w:rsid w:val="00C413ED"/>
    <w:rsid w:val="00C41990"/>
    <w:rsid w:val="00C41C3A"/>
    <w:rsid w:val="00C421DA"/>
    <w:rsid w:val="00C4233C"/>
    <w:rsid w:val="00C42543"/>
    <w:rsid w:val="00C429F4"/>
    <w:rsid w:val="00C42C17"/>
    <w:rsid w:val="00C42E30"/>
    <w:rsid w:val="00C4331C"/>
    <w:rsid w:val="00C433D2"/>
    <w:rsid w:val="00C4385C"/>
    <w:rsid w:val="00C44244"/>
    <w:rsid w:val="00C44BAC"/>
    <w:rsid w:val="00C44D76"/>
    <w:rsid w:val="00C45739"/>
    <w:rsid w:val="00C4585F"/>
    <w:rsid w:val="00C458C7"/>
    <w:rsid w:val="00C45CA5"/>
    <w:rsid w:val="00C45E3A"/>
    <w:rsid w:val="00C45F9A"/>
    <w:rsid w:val="00C461E7"/>
    <w:rsid w:val="00C4627B"/>
    <w:rsid w:val="00C4661A"/>
    <w:rsid w:val="00C46BDD"/>
    <w:rsid w:val="00C473A4"/>
    <w:rsid w:val="00C4785D"/>
    <w:rsid w:val="00C47950"/>
    <w:rsid w:val="00C50486"/>
    <w:rsid w:val="00C50492"/>
    <w:rsid w:val="00C50569"/>
    <w:rsid w:val="00C506A9"/>
    <w:rsid w:val="00C506DD"/>
    <w:rsid w:val="00C506F8"/>
    <w:rsid w:val="00C50D24"/>
    <w:rsid w:val="00C5128D"/>
    <w:rsid w:val="00C513B4"/>
    <w:rsid w:val="00C51E99"/>
    <w:rsid w:val="00C52A27"/>
    <w:rsid w:val="00C52B63"/>
    <w:rsid w:val="00C52DAD"/>
    <w:rsid w:val="00C5309F"/>
    <w:rsid w:val="00C53208"/>
    <w:rsid w:val="00C538F2"/>
    <w:rsid w:val="00C53A6A"/>
    <w:rsid w:val="00C53E9D"/>
    <w:rsid w:val="00C54140"/>
    <w:rsid w:val="00C541C2"/>
    <w:rsid w:val="00C543F1"/>
    <w:rsid w:val="00C54480"/>
    <w:rsid w:val="00C546C4"/>
    <w:rsid w:val="00C550A1"/>
    <w:rsid w:val="00C551FB"/>
    <w:rsid w:val="00C554D5"/>
    <w:rsid w:val="00C5604D"/>
    <w:rsid w:val="00C5678F"/>
    <w:rsid w:val="00C567CA"/>
    <w:rsid w:val="00C56995"/>
    <w:rsid w:val="00C56BB6"/>
    <w:rsid w:val="00C56E84"/>
    <w:rsid w:val="00C570D4"/>
    <w:rsid w:val="00C57A44"/>
    <w:rsid w:val="00C57D2B"/>
    <w:rsid w:val="00C57F28"/>
    <w:rsid w:val="00C603FD"/>
    <w:rsid w:val="00C60BFB"/>
    <w:rsid w:val="00C60DD9"/>
    <w:rsid w:val="00C60F83"/>
    <w:rsid w:val="00C61170"/>
    <w:rsid w:val="00C61410"/>
    <w:rsid w:val="00C618BD"/>
    <w:rsid w:val="00C61981"/>
    <w:rsid w:val="00C61B7B"/>
    <w:rsid w:val="00C61C7F"/>
    <w:rsid w:val="00C61CA1"/>
    <w:rsid w:val="00C61D39"/>
    <w:rsid w:val="00C61E7D"/>
    <w:rsid w:val="00C61EC4"/>
    <w:rsid w:val="00C626E5"/>
    <w:rsid w:val="00C62F82"/>
    <w:rsid w:val="00C635B5"/>
    <w:rsid w:val="00C63675"/>
    <w:rsid w:val="00C636EC"/>
    <w:rsid w:val="00C637B1"/>
    <w:rsid w:val="00C64866"/>
    <w:rsid w:val="00C649E8"/>
    <w:rsid w:val="00C64EB4"/>
    <w:rsid w:val="00C64FD1"/>
    <w:rsid w:val="00C65339"/>
    <w:rsid w:val="00C65489"/>
    <w:rsid w:val="00C65593"/>
    <w:rsid w:val="00C65705"/>
    <w:rsid w:val="00C65C3A"/>
    <w:rsid w:val="00C66161"/>
    <w:rsid w:val="00C666DA"/>
    <w:rsid w:val="00C675E0"/>
    <w:rsid w:val="00C6775E"/>
    <w:rsid w:val="00C677F8"/>
    <w:rsid w:val="00C67BAA"/>
    <w:rsid w:val="00C67D87"/>
    <w:rsid w:val="00C700FA"/>
    <w:rsid w:val="00C7046E"/>
    <w:rsid w:val="00C714A2"/>
    <w:rsid w:val="00C71EC0"/>
    <w:rsid w:val="00C71ECC"/>
    <w:rsid w:val="00C71F27"/>
    <w:rsid w:val="00C72113"/>
    <w:rsid w:val="00C73666"/>
    <w:rsid w:val="00C740F9"/>
    <w:rsid w:val="00C744E5"/>
    <w:rsid w:val="00C746EB"/>
    <w:rsid w:val="00C747F2"/>
    <w:rsid w:val="00C7486F"/>
    <w:rsid w:val="00C74961"/>
    <w:rsid w:val="00C76044"/>
    <w:rsid w:val="00C76B7A"/>
    <w:rsid w:val="00C76C3A"/>
    <w:rsid w:val="00C76E9E"/>
    <w:rsid w:val="00C7761B"/>
    <w:rsid w:val="00C7770F"/>
    <w:rsid w:val="00C77C49"/>
    <w:rsid w:val="00C77E42"/>
    <w:rsid w:val="00C8013C"/>
    <w:rsid w:val="00C8044D"/>
    <w:rsid w:val="00C80E75"/>
    <w:rsid w:val="00C822DC"/>
    <w:rsid w:val="00C8240F"/>
    <w:rsid w:val="00C825E7"/>
    <w:rsid w:val="00C82D56"/>
    <w:rsid w:val="00C82FBD"/>
    <w:rsid w:val="00C83187"/>
    <w:rsid w:val="00C8319B"/>
    <w:rsid w:val="00C83A1B"/>
    <w:rsid w:val="00C83AB3"/>
    <w:rsid w:val="00C83BA3"/>
    <w:rsid w:val="00C840D6"/>
    <w:rsid w:val="00C84669"/>
    <w:rsid w:val="00C8471E"/>
    <w:rsid w:val="00C8473A"/>
    <w:rsid w:val="00C84A42"/>
    <w:rsid w:val="00C8514C"/>
    <w:rsid w:val="00C85434"/>
    <w:rsid w:val="00C8575D"/>
    <w:rsid w:val="00C85957"/>
    <w:rsid w:val="00C85AB5"/>
    <w:rsid w:val="00C85F31"/>
    <w:rsid w:val="00C860F5"/>
    <w:rsid w:val="00C86CD4"/>
    <w:rsid w:val="00C86D2E"/>
    <w:rsid w:val="00C86DFB"/>
    <w:rsid w:val="00C87950"/>
    <w:rsid w:val="00C87A7E"/>
    <w:rsid w:val="00C87D15"/>
    <w:rsid w:val="00C90151"/>
    <w:rsid w:val="00C90454"/>
    <w:rsid w:val="00C90C00"/>
    <w:rsid w:val="00C914C6"/>
    <w:rsid w:val="00C915AC"/>
    <w:rsid w:val="00C91865"/>
    <w:rsid w:val="00C91B67"/>
    <w:rsid w:val="00C91D0B"/>
    <w:rsid w:val="00C927F6"/>
    <w:rsid w:val="00C92C76"/>
    <w:rsid w:val="00C92FF2"/>
    <w:rsid w:val="00C93E5B"/>
    <w:rsid w:val="00C9403F"/>
    <w:rsid w:val="00C9455C"/>
    <w:rsid w:val="00C94677"/>
    <w:rsid w:val="00C94B54"/>
    <w:rsid w:val="00C94C69"/>
    <w:rsid w:val="00C94D27"/>
    <w:rsid w:val="00C956D5"/>
    <w:rsid w:val="00C9575F"/>
    <w:rsid w:val="00C95805"/>
    <w:rsid w:val="00C958C7"/>
    <w:rsid w:val="00C96505"/>
    <w:rsid w:val="00C9711B"/>
    <w:rsid w:val="00C97213"/>
    <w:rsid w:val="00C976CC"/>
    <w:rsid w:val="00C9779A"/>
    <w:rsid w:val="00C97933"/>
    <w:rsid w:val="00C97BCF"/>
    <w:rsid w:val="00C97C8C"/>
    <w:rsid w:val="00CA09CA"/>
    <w:rsid w:val="00CA1237"/>
    <w:rsid w:val="00CA138B"/>
    <w:rsid w:val="00CA1907"/>
    <w:rsid w:val="00CA267C"/>
    <w:rsid w:val="00CA2951"/>
    <w:rsid w:val="00CA2A01"/>
    <w:rsid w:val="00CA2B93"/>
    <w:rsid w:val="00CA2C23"/>
    <w:rsid w:val="00CA2D31"/>
    <w:rsid w:val="00CA34AF"/>
    <w:rsid w:val="00CA351F"/>
    <w:rsid w:val="00CA35C4"/>
    <w:rsid w:val="00CA3A62"/>
    <w:rsid w:val="00CA3E74"/>
    <w:rsid w:val="00CA4066"/>
    <w:rsid w:val="00CA40E8"/>
    <w:rsid w:val="00CA4DD7"/>
    <w:rsid w:val="00CA517A"/>
    <w:rsid w:val="00CA525F"/>
    <w:rsid w:val="00CA53CF"/>
    <w:rsid w:val="00CA5CDA"/>
    <w:rsid w:val="00CA5D86"/>
    <w:rsid w:val="00CA5F04"/>
    <w:rsid w:val="00CA603C"/>
    <w:rsid w:val="00CA63DE"/>
    <w:rsid w:val="00CA6568"/>
    <w:rsid w:val="00CA6A87"/>
    <w:rsid w:val="00CA6BD1"/>
    <w:rsid w:val="00CA7400"/>
    <w:rsid w:val="00CA74B4"/>
    <w:rsid w:val="00CA7714"/>
    <w:rsid w:val="00CA78C1"/>
    <w:rsid w:val="00CA7CFC"/>
    <w:rsid w:val="00CB07C9"/>
    <w:rsid w:val="00CB0C74"/>
    <w:rsid w:val="00CB1599"/>
    <w:rsid w:val="00CB160E"/>
    <w:rsid w:val="00CB1A18"/>
    <w:rsid w:val="00CB1D30"/>
    <w:rsid w:val="00CB2A77"/>
    <w:rsid w:val="00CB2C43"/>
    <w:rsid w:val="00CB2CC2"/>
    <w:rsid w:val="00CB2CF9"/>
    <w:rsid w:val="00CB34D0"/>
    <w:rsid w:val="00CB3683"/>
    <w:rsid w:val="00CB4175"/>
    <w:rsid w:val="00CB420C"/>
    <w:rsid w:val="00CB44AC"/>
    <w:rsid w:val="00CB45B4"/>
    <w:rsid w:val="00CB4639"/>
    <w:rsid w:val="00CB4822"/>
    <w:rsid w:val="00CB48A6"/>
    <w:rsid w:val="00CB494B"/>
    <w:rsid w:val="00CB498D"/>
    <w:rsid w:val="00CB49CE"/>
    <w:rsid w:val="00CB4D5B"/>
    <w:rsid w:val="00CB4FD3"/>
    <w:rsid w:val="00CB530C"/>
    <w:rsid w:val="00CB558A"/>
    <w:rsid w:val="00CB5704"/>
    <w:rsid w:val="00CB5D76"/>
    <w:rsid w:val="00CB6198"/>
    <w:rsid w:val="00CB6587"/>
    <w:rsid w:val="00CB666C"/>
    <w:rsid w:val="00CB6C75"/>
    <w:rsid w:val="00CB71FC"/>
    <w:rsid w:val="00CB72CC"/>
    <w:rsid w:val="00CB7336"/>
    <w:rsid w:val="00CB74BE"/>
    <w:rsid w:val="00CB7703"/>
    <w:rsid w:val="00CB7808"/>
    <w:rsid w:val="00CC05FB"/>
    <w:rsid w:val="00CC1090"/>
    <w:rsid w:val="00CC154C"/>
    <w:rsid w:val="00CC1717"/>
    <w:rsid w:val="00CC179E"/>
    <w:rsid w:val="00CC1D16"/>
    <w:rsid w:val="00CC1EB3"/>
    <w:rsid w:val="00CC26B2"/>
    <w:rsid w:val="00CC292F"/>
    <w:rsid w:val="00CC2D71"/>
    <w:rsid w:val="00CC36EB"/>
    <w:rsid w:val="00CC3716"/>
    <w:rsid w:val="00CC3737"/>
    <w:rsid w:val="00CC3A66"/>
    <w:rsid w:val="00CC3ABA"/>
    <w:rsid w:val="00CC3C53"/>
    <w:rsid w:val="00CC3E2A"/>
    <w:rsid w:val="00CC4071"/>
    <w:rsid w:val="00CC4127"/>
    <w:rsid w:val="00CC4327"/>
    <w:rsid w:val="00CC4439"/>
    <w:rsid w:val="00CC48A8"/>
    <w:rsid w:val="00CC4B7F"/>
    <w:rsid w:val="00CC4F58"/>
    <w:rsid w:val="00CC52CC"/>
    <w:rsid w:val="00CC583E"/>
    <w:rsid w:val="00CC58CF"/>
    <w:rsid w:val="00CC6078"/>
    <w:rsid w:val="00CC64D5"/>
    <w:rsid w:val="00CC690A"/>
    <w:rsid w:val="00CC69D0"/>
    <w:rsid w:val="00CC6B4B"/>
    <w:rsid w:val="00CC6DAD"/>
    <w:rsid w:val="00CC6E5F"/>
    <w:rsid w:val="00CC70A1"/>
    <w:rsid w:val="00CC714F"/>
    <w:rsid w:val="00CC7511"/>
    <w:rsid w:val="00CC7C1E"/>
    <w:rsid w:val="00CC7C4D"/>
    <w:rsid w:val="00CD09CC"/>
    <w:rsid w:val="00CD0E40"/>
    <w:rsid w:val="00CD15BE"/>
    <w:rsid w:val="00CD1A6A"/>
    <w:rsid w:val="00CD1E8F"/>
    <w:rsid w:val="00CD258A"/>
    <w:rsid w:val="00CD2778"/>
    <w:rsid w:val="00CD281F"/>
    <w:rsid w:val="00CD28DF"/>
    <w:rsid w:val="00CD2BF8"/>
    <w:rsid w:val="00CD2CB0"/>
    <w:rsid w:val="00CD2D59"/>
    <w:rsid w:val="00CD2EB6"/>
    <w:rsid w:val="00CD3332"/>
    <w:rsid w:val="00CD4075"/>
    <w:rsid w:val="00CD4AB3"/>
    <w:rsid w:val="00CD4AF3"/>
    <w:rsid w:val="00CD5005"/>
    <w:rsid w:val="00CD514B"/>
    <w:rsid w:val="00CD5182"/>
    <w:rsid w:val="00CD5525"/>
    <w:rsid w:val="00CD59DE"/>
    <w:rsid w:val="00CD5BF9"/>
    <w:rsid w:val="00CD6472"/>
    <w:rsid w:val="00CD648E"/>
    <w:rsid w:val="00CD6B5A"/>
    <w:rsid w:val="00CD7065"/>
    <w:rsid w:val="00CD7246"/>
    <w:rsid w:val="00CD796E"/>
    <w:rsid w:val="00CD7B31"/>
    <w:rsid w:val="00CE0ED5"/>
    <w:rsid w:val="00CE10A7"/>
    <w:rsid w:val="00CE11F6"/>
    <w:rsid w:val="00CE15B0"/>
    <w:rsid w:val="00CE1BCD"/>
    <w:rsid w:val="00CE1D7D"/>
    <w:rsid w:val="00CE1E7C"/>
    <w:rsid w:val="00CE20D0"/>
    <w:rsid w:val="00CE2762"/>
    <w:rsid w:val="00CE2A29"/>
    <w:rsid w:val="00CE2A45"/>
    <w:rsid w:val="00CE2E78"/>
    <w:rsid w:val="00CE2F51"/>
    <w:rsid w:val="00CE3492"/>
    <w:rsid w:val="00CE3605"/>
    <w:rsid w:val="00CE363E"/>
    <w:rsid w:val="00CE36BD"/>
    <w:rsid w:val="00CE36D5"/>
    <w:rsid w:val="00CE38DE"/>
    <w:rsid w:val="00CE3B17"/>
    <w:rsid w:val="00CE3D87"/>
    <w:rsid w:val="00CE48E5"/>
    <w:rsid w:val="00CE4986"/>
    <w:rsid w:val="00CE52C7"/>
    <w:rsid w:val="00CE5303"/>
    <w:rsid w:val="00CE5595"/>
    <w:rsid w:val="00CE6730"/>
    <w:rsid w:val="00CE6769"/>
    <w:rsid w:val="00CE6910"/>
    <w:rsid w:val="00CE6AF1"/>
    <w:rsid w:val="00CE6DB0"/>
    <w:rsid w:val="00CE722B"/>
    <w:rsid w:val="00CE72E3"/>
    <w:rsid w:val="00CE7388"/>
    <w:rsid w:val="00CE7482"/>
    <w:rsid w:val="00CE7827"/>
    <w:rsid w:val="00CE7863"/>
    <w:rsid w:val="00CE7A0C"/>
    <w:rsid w:val="00CF0EAE"/>
    <w:rsid w:val="00CF130E"/>
    <w:rsid w:val="00CF1339"/>
    <w:rsid w:val="00CF136F"/>
    <w:rsid w:val="00CF1C41"/>
    <w:rsid w:val="00CF1FC4"/>
    <w:rsid w:val="00CF2003"/>
    <w:rsid w:val="00CF20CC"/>
    <w:rsid w:val="00CF26CE"/>
    <w:rsid w:val="00CF2ED1"/>
    <w:rsid w:val="00CF374E"/>
    <w:rsid w:val="00CF3B6D"/>
    <w:rsid w:val="00CF3C09"/>
    <w:rsid w:val="00CF3E37"/>
    <w:rsid w:val="00CF401F"/>
    <w:rsid w:val="00CF4467"/>
    <w:rsid w:val="00CF45DE"/>
    <w:rsid w:val="00CF499E"/>
    <w:rsid w:val="00CF5231"/>
    <w:rsid w:val="00CF5D51"/>
    <w:rsid w:val="00CF67B7"/>
    <w:rsid w:val="00CF6F7C"/>
    <w:rsid w:val="00CF7424"/>
    <w:rsid w:val="00CF774E"/>
    <w:rsid w:val="00CF7816"/>
    <w:rsid w:val="00CF7E95"/>
    <w:rsid w:val="00D0060B"/>
    <w:rsid w:val="00D0149D"/>
    <w:rsid w:val="00D01585"/>
    <w:rsid w:val="00D01CB6"/>
    <w:rsid w:val="00D023EF"/>
    <w:rsid w:val="00D02CF0"/>
    <w:rsid w:val="00D02E20"/>
    <w:rsid w:val="00D0318F"/>
    <w:rsid w:val="00D03336"/>
    <w:rsid w:val="00D03406"/>
    <w:rsid w:val="00D037C5"/>
    <w:rsid w:val="00D03D8A"/>
    <w:rsid w:val="00D03DEE"/>
    <w:rsid w:val="00D03FDC"/>
    <w:rsid w:val="00D041CD"/>
    <w:rsid w:val="00D0446C"/>
    <w:rsid w:val="00D04ADB"/>
    <w:rsid w:val="00D04B91"/>
    <w:rsid w:val="00D04D8E"/>
    <w:rsid w:val="00D04F9F"/>
    <w:rsid w:val="00D051F8"/>
    <w:rsid w:val="00D053DC"/>
    <w:rsid w:val="00D054A9"/>
    <w:rsid w:val="00D05573"/>
    <w:rsid w:val="00D05620"/>
    <w:rsid w:val="00D05D69"/>
    <w:rsid w:val="00D05FA8"/>
    <w:rsid w:val="00D06239"/>
    <w:rsid w:val="00D06863"/>
    <w:rsid w:val="00D07554"/>
    <w:rsid w:val="00D075C5"/>
    <w:rsid w:val="00D07A45"/>
    <w:rsid w:val="00D07AAC"/>
    <w:rsid w:val="00D07D9E"/>
    <w:rsid w:val="00D1069A"/>
    <w:rsid w:val="00D108CB"/>
    <w:rsid w:val="00D10E82"/>
    <w:rsid w:val="00D11094"/>
    <w:rsid w:val="00D11222"/>
    <w:rsid w:val="00D119EE"/>
    <w:rsid w:val="00D11B55"/>
    <w:rsid w:val="00D11C3E"/>
    <w:rsid w:val="00D1280B"/>
    <w:rsid w:val="00D12B4E"/>
    <w:rsid w:val="00D13380"/>
    <w:rsid w:val="00D135B2"/>
    <w:rsid w:val="00D13913"/>
    <w:rsid w:val="00D13C39"/>
    <w:rsid w:val="00D14082"/>
    <w:rsid w:val="00D1425E"/>
    <w:rsid w:val="00D1453F"/>
    <w:rsid w:val="00D145C1"/>
    <w:rsid w:val="00D14C94"/>
    <w:rsid w:val="00D14F0F"/>
    <w:rsid w:val="00D14F6D"/>
    <w:rsid w:val="00D15120"/>
    <w:rsid w:val="00D15124"/>
    <w:rsid w:val="00D151C5"/>
    <w:rsid w:val="00D151C9"/>
    <w:rsid w:val="00D15CA1"/>
    <w:rsid w:val="00D15FE5"/>
    <w:rsid w:val="00D162E9"/>
    <w:rsid w:val="00D1671B"/>
    <w:rsid w:val="00D16A6D"/>
    <w:rsid w:val="00D1748A"/>
    <w:rsid w:val="00D17649"/>
    <w:rsid w:val="00D179F9"/>
    <w:rsid w:val="00D203CB"/>
    <w:rsid w:val="00D20AE7"/>
    <w:rsid w:val="00D20C73"/>
    <w:rsid w:val="00D21290"/>
    <w:rsid w:val="00D213FA"/>
    <w:rsid w:val="00D21532"/>
    <w:rsid w:val="00D21CFC"/>
    <w:rsid w:val="00D21EAA"/>
    <w:rsid w:val="00D21F85"/>
    <w:rsid w:val="00D21FDD"/>
    <w:rsid w:val="00D222F2"/>
    <w:rsid w:val="00D223D9"/>
    <w:rsid w:val="00D224FE"/>
    <w:rsid w:val="00D232AA"/>
    <w:rsid w:val="00D23646"/>
    <w:rsid w:val="00D237F5"/>
    <w:rsid w:val="00D23BE1"/>
    <w:rsid w:val="00D243C9"/>
    <w:rsid w:val="00D24A67"/>
    <w:rsid w:val="00D24CA8"/>
    <w:rsid w:val="00D24D26"/>
    <w:rsid w:val="00D26193"/>
    <w:rsid w:val="00D26ABF"/>
    <w:rsid w:val="00D26DA3"/>
    <w:rsid w:val="00D27232"/>
    <w:rsid w:val="00D2749A"/>
    <w:rsid w:val="00D27592"/>
    <w:rsid w:val="00D27712"/>
    <w:rsid w:val="00D27DE4"/>
    <w:rsid w:val="00D27F83"/>
    <w:rsid w:val="00D27FBD"/>
    <w:rsid w:val="00D30205"/>
    <w:rsid w:val="00D3048B"/>
    <w:rsid w:val="00D30839"/>
    <w:rsid w:val="00D30BED"/>
    <w:rsid w:val="00D30E9C"/>
    <w:rsid w:val="00D311F4"/>
    <w:rsid w:val="00D314EF"/>
    <w:rsid w:val="00D31754"/>
    <w:rsid w:val="00D31D2D"/>
    <w:rsid w:val="00D31F53"/>
    <w:rsid w:val="00D32691"/>
    <w:rsid w:val="00D32774"/>
    <w:rsid w:val="00D33232"/>
    <w:rsid w:val="00D332B8"/>
    <w:rsid w:val="00D33479"/>
    <w:rsid w:val="00D33818"/>
    <w:rsid w:val="00D339C6"/>
    <w:rsid w:val="00D33AF0"/>
    <w:rsid w:val="00D33D4F"/>
    <w:rsid w:val="00D33E09"/>
    <w:rsid w:val="00D33F75"/>
    <w:rsid w:val="00D340FC"/>
    <w:rsid w:val="00D345DD"/>
    <w:rsid w:val="00D346F1"/>
    <w:rsid w:val="00D3476A"/>
    <w:rsid w:val="00D34EF9"/>
    <w:rsid w:val="00D35345"/>
    <w:rsid w:val="00D356F8"/>
    <w:rsid w:val="00D35716"/>
    <w:rsid w:val="00D364B9"/>
    <w:rsid w:val="00D36844"/>
    <w:rsid w:val="00D36AA7"/>
    <w:rsid w:val="00D36D04"/>
    <w:rsid w:val="00D36EBE"/>
    <w:rsid w:val="00D3720E"/>
    <w:rsid w:val="00D37371"/>
    <w:rsid w:val="00D374AD"/>
    <w:rsid w:val="00D403E6"/>
    <w:rsid w:val="00D404E2"/>
    <w:rsid w:val="00D40557"/>
    <w:rsid w:val="00D40BF7"/>
    <w:rsid w:val="00D40E0E"/>
    <w:rsid w:val="00D41200"/>
    <w:rsid w:val="00D4133E"/>
    <w:rsid w:val="00D41C63"/>
    <w:rsid w:val="00D42BD6"/>
    <w:rsid w:val="00D43120"/>
    <w:rsid w:val="00D4324E"/>
    <w:rsid w:val="00D43560"/>
    <w:rsid w:val="00D43AD3"/>
    <w:rsid w:val="00D43AF5"/>
    <w:rsid w:val="00D43EAE"/>
    <w:rsid w:val="00D44975"/>
    <w:rsid w:val="00D45676"/>
    <w:rsid w:val="00D45693"/>
    <w:rsid w:val="00D45857"/>
    <w:rsid w:val="00D45E37"/>
    <w:rsid w:val="00D4663F"/>
    <w:rsid w:val="00D46724"/>
    <w:rsid w:val="00D46A0F"/>
    <w:rsid w:val="00D46A39"/>
    <w:rsid w:val="00D46B41"/>
    <w:rsid w:val="00D46EFA"/>
    <w:rsid w:val="00D46FEA"/>
    <w:rsid w:val="00D4701C"/>
    <w:rsid w:val="00D473D8"/>
    <w:rsid w:val="00D47468"/>
    <w:rsid w:val="00D476F6"/>
    <w:rsid w:val="00D47720"/>
    <w:rsid w:val="00D47940"/>
    <w:rsid w:val="00D47BB7"/>
    <w:rsid w:val="00D47CD8"/>
    <w:rsid w:val="00D50050"/>
    <w:rsid w:val="00D50182"/>
    <w:rsid w:val="00D50299"/>
    <w:rsid w:val="00D50932"/>
    <w:rsid w:val="00D50D02"/>
    <w:rsid w:val="00D50FDD"/>
    <w:rsid w:val="00D5154D"/>
    <w:rsid w:val="00D51777"/>
    <w:rsid w:val="00D51812"/>
    <w:rsid w:val="00D51E46"/>
    <w:rsid w:val="00D52DBF"/>
    <w:rsid w:val="00D52EF1"/>
    <w:rsid w:val="00D53187"/>
    <w:rsid w:val="00D536FF"/>
    <w:rsid w:val="00D5379C"/>
    <w:rsid w:val="00D53866"/>
    <w:rsid w:val="00D53F89"/>
    <w:rsid w:val="00D542EA"/>
    <w:rsid w:val="00D54609"/>
    <w:rsid w:val="00D54D3B"/>
    <w:rsid w:val="00D54DF8"/>
    <w:rsid w:val="00D54FAD"/>
    <w:rsid w:val="00D550B5"/>
    <w:rsid w:val="00D5528F"/>
    <w:rsid w:val="00D556AF"/>
    <w:rsid w:val="00D55AD5"/>
    <w:rsid w:val="00D565BA"/>
    <w:rsid w:val="00D568B8"/>
    <w:rsid w:val="00D56AC0"/>
    <w:rsid w:val="00D56DE2"/>
    <w:rsid w:val="00D56E10"/>
    <w:rsid w:val="00D56E8E"/>
    <w:rsid w:val="00D56E96"/>
    <w:rsid w:val="00D56EC7"/>
    <w:rsid w:val="00D56F18"/>
    <w:rsid w:val="00D575A2"/>
    <w:rsid w:val="00D60013"/>
    <w:rsid w:val="00D601E4"/>
    <w:rsid w:val="00D60A86"/>
    <w:rsid w:val="00D60D9A"/>
    <w:rsid w:val="00D60F99"/>
    <w:rsid w:val="00D61C31"/>
    <w:rsid w:val="00D61CD0"/>
    <w:rsid w:val="00D61E58"/>
    <w:rsid w:val="00D62601"/>
    <w:rsid w:val="00D62628"/>
    <w:rsid w:val="00D62698"/>
    <w:rsid w:val="00D626E1"/>
    <w:rsid w:val="00D629DE"/>
    <w:rsid w:val="00D62B2F"/>
    <w:rsid w:val="00D62D47"/>
    <w:rsid w:val="00D62E9B"/>
    <w:rsid w:val="00D62FFC"/>
    <w:rsid w:val="00D631C3"/>
    <w:rsid w:val="00D63306"/>
    <w:rsid w:val="00D6336D"/>
    <w:rsid w:val="00D63961"/>
    <w:rsid w:val="00D639B3"/>
    <w:rsid w:val="00D63CC8"/>
    <w:rsid w:val="00D64789"/>
    <w:rsid w:val="00D6500B"/>
    <w:rsid w:val="00D6500D"/>
    <w:rsid w:val="00D65052"/>
    <w:rsid w:val="00D65065"/>
    <w:rsid w:val="00D65066"/>
    <w:rsid w:val="00D651CB"/>
    <w:rsid w:val="00D652B7"/>
    <w:rsid w:val="00D65B06"/>
    <w:rsid w:val="00D6624E"/>
    <w:rsid w:val="00D66640"/>
    <w:rsid w:val="00D6670A"/>
    <w:rsid w:val="00D668D1"/>
    <w:rsid w:val="00D669C8"/>
    <w:rsid w:val="00D67050"/>
    <w:rsid w:val="00D67210"/>
    <w:rsid w:val="00D700A4"/>
    <w:rsid w:val="00D709C3"/>
    <w:rsid w:val="00D712CC"/>
    <w:rsid w:val="00D713A3"/>
    <w:rsid w:val="00D717F9"/>
    <w:rsid w:val="00D71CE0"/>
    <w:rsid w:val="00D72053"/>
    <w:rsid w:val="00D720EC"/>
    <w:rsid w:val="00D72125"/>
    <w:rsid w:val="00D72D8B"/>
    <w:rsid w:val="00D72F13"/>
    <w:rsid w:val="00D72F5E"/>
    <w:rsid w:val="00D734BB"/>
    <w:rsid w:val="00D738C6"/>
    <w:rsid w:val="00D73970"/>
    <w:rsid w:val="00D73B56"/>
    <w:rsid w:val="00D73F13"/>
    <w:rsid w:val="00D744E7"/>
    <w:rsid w:val="00D74BCF"/>
    <w:rsid w:val="00D7536B"/>
    <w:rsid w:val="00D7578D"/>
    <w:rsid w:val="00D75791"/>
    <w:rsid w:val="00D765FD"/>
    <w:rsid w:val="00D76DD1"/>
    <w:rsid w:val="00D76EF6"/>
    <w:rsid w:val="00D77606"/>
    <w:rsid w:val="00D77BA5"/>
    <w:rsid w:val="00D77C5D"/>
    <w:rsid w:val="00D77D3A"/>
    <w:rsid w:val="00D806D5"/>
    <w:rsid w:val="00D8093D"/>
    <w:rsid w:val="00D80D8F"/>
    <w:rsid w:val="00D80E00"/>
    <w:rsid w:val="00D80FF7"/>
    <w:rsid w:val="00D818AE"/>
    <w:rsid w:val="00D81C35"/>
    <w:rsid w:val="00D81E96"/>
    <w:rsid w:val="00D82370"/>
    <w:rsid w:val="00D82D3C"/>
    <w:rsid w:val="00D8301A"/>
    <w:rsid w:val="00D83305"/>
    <w:rsid w:val="00D8378E"/>
    <w:rsid w:val="00D839A3"/>
    <w:rsid w:val="00D83BB8"/>
    <w:rsid w:val="00D8444E"/>
    <w:rsid w:val="00D8478D"/>
    <w:rsid w:val="00D84A05"/>
    <w:rsid w:val="00D84D39"/>
    <w:rsid w:val="00D85143"/>
    <w:rsid w:val="00D8573F"/>
    <w:rsid w:val="00D85C29"/>
    <w:rsid w:val="00D8604B"/>
    <w:rsid w:val="00D86247"/>
    <w:rsid w:val="00D86521"/>
    <w:rsid w:val="00D87034"/>
    <w:rsid w:val="00D870EF"/>
    <w:rsid w:val="00D87196"/>
    <w:rsid w:val="00D87875"/>
    <w:rsid w:val="00D8788D"/>
    <w:rsid w:val="00D9041E"/>
    <w:rsid w:val="00D904EA"/>
    <w:rsid w:val="00D909C5"/>
    <w:rsid w:val="00D90B2F"/>
    <w:rsid w:val="00D90E02"/>
    <w:rsid w:val="00D91310"/>
    <w:rsid w:val="00D9132C"/>
    <w:rsid w:val="00D9136C"/>
    <w:rsid w:val="00D913B1"/>
    <w:rsid w:val="00D913EC"/>
    <w:rsid w:val="00D91651"/>
    <w:rsid w:val="00D91A54"/>
    <w:rsid w:val="00D92617"/>
    <w:rsid w:val="00D93050"/>
    <w:rsid w:val="00D93209"/>
    <w:rsid w:val="00D93245"/>
    <w:rsid w:val="00D936C1"/>
    <w:rsid w:val="00D93CA3"/>
    <w:rsid w:val="00D93CA9"/>
    <w:rsid w:val="00D93CE3"/>
    <w:rsid w:val="00D93F63"/>
    <w:rsid w:val="00D94025"/>
    <w:rsid w:val="00D9448B"/>
    <w:rsid w:val="00D9465A"/>
    <w:rsid w:val="00D94A18"/>
    <w:rsid w:val="00D94A9F"/>
    <w:rsid w:val="00D94DA6"/>
    <w:rsid w:val="00D95390"/>
    <w:rsid w:val="00D95C58"/>
    <w:rsid w:val="00D960D7"/>
    <w:rsid w:val="00D96BE3"/>
    <w:rsid w:val="00D96D0D"/>
    <w:rsid w:val="00D971EB"/>
    <w:rsid w:val="00D972F2"/>
    <w:rsid w:val="00D9743A"/>
    <w:rsid w:val="00D979CF"/>
    <w:rsid w:val="00DA0322"/>
    <w:rsid w:val="00DA093F"/>
    <w:rsid w:val="00DA0AF0"/>
    <w:rsid w:val="00DA0B98"/>
    <w:rsid w:val="00DA0F46"/>
    <w:rsid w:val="00DA11CD"/>
    <w:rsid w:val="00DA13C3"/>
    <w:rsid w:val="00DA1830"/>
    <w:rsid w:val="00DA1C79"/>
    <w:rsid w:val="00DA2306"/>
    <w:rsid w:val="00DA2642"/>
    <w:rsid w:val="00DA2AAB"/>
    <w:rsid w:val="00DA2D8C"/>
    <w:rsid w:val="00DA3096"/>
    <w:rsid w:val="00DA31EF"/>
    <w:rsid w:val="00DA342F"/>
    <w:rsid w:val="00DA34EA"/>
    <w:rsid w:val="00DA3588"/>
    <w:rsid w:val="00DA3720"/>
    <w:rsid w:val="00DA3D21"/>
    <w:rsid w:val="00DA423F"/>
    <w:rsid w:val="00DA477A"/>
    <w:rsid w:val="00DA50D1"/>
    <w:rsid w:val="00DA5675"/>
    <w:rsid w:val="00DA5B49"/>
    <w:rsid w:val="00DA5E7C"/>
    <w:rsid w:val="00DA5F04"/>
    <w:rsid w:val="00DA60DC"/>
    <w:rsid w:val="00DA6553"/>
    <w:rsid w:val="00DA6AE4"/>
    <w:rsid w:val="00DA6E7A"/>
    <w:rsid w:val="00DA71BC"/>
    <w:rsid w:val="00DA7B2E"/>
    <w:rsid w:val="00DA7DD1"/>
    <w:rsid w:val="00DA7F94"/>
    <w:rsid w:val="00DB0103"/>
    <w:rsid w:val="00DB01D8"/>
    <w:rsid w:val="00DB0315"/>
    <w:rsid w:val="00DB06F6"/>
    <w:rsid w:val="00DB0C6C"/>
    <w:rsid w:val="00DB0CAE"/>
    <w:rsid w:val="00DB0E40"/>
    <w:rsid w:val="00DB114C"/>
    <w:rsid w:val="00DB172E"/>
    <w:rsid w:val="00DB1A5E"/>
    <w:rsid w:val="00DB1E0F"/>
    <w:rsid w:val="00DB221C"/>
    <w:rsid w:val="00DB27F5"/>
    <w:rsid w:val="00DB357B"/>
    <w:rsid w:val="00DB3AB6"/>
    <w:rsid w:val="00DB3D7D"/>
    <w:rsid w:val="00DB42E5"/>
    <w:rsid w:val="00DB4E23"/>
    <w:rsid w:val="00DB5618"/>
    <w:rsid w:val="00DB571E"/>
    <w:rsid w:val="00DB5835"/>
    <w:rsid w:val="00DB5966"/>
    <w:rsid w:val="00DB5AF3"/>
    <w:rsid w:val="00DB5E6A"/>
    <w:rsid w:val="00DB5EC4"/>
    <w:rsid w:val="00DB613C"/>
    <w:rsid w:val="00DB65C0"/>
    <w:rsid w:val="00DB672F"/>
    <w:rsid w:val="00DB67C0"/>
    <w:rsid w:val="00DB6B30"/>
    <w:rsid w:val="00DB6C5E"/>
    <w:rsid w:val="00DB6ECC"/>
    <w:rsid w:val="00DB6F74"/>
    <w:rsid w:val="00DB707C"/>
    <w:rsid w:val="00DB72FF"/>
    <w:rsid w:val="00DB753D"/>
    <w:rsid w:val="00DB78E4"/>
    <w:rsid w:val="00DB79DB"/>
    <w:rsid w:val="00DB7EFD"/>
    <w:rsid w:val="00DB7F4B"/>
    <w:rsid w:val="00DC0219"/>
    <w:rsid w:val="00DC0235"/>
    <w:rsid w:val="00DC04E9"/>
    <w:rsid w:val="00DC088E"/>
    <w:rsid w:val="00DC1392"/>
    <w:rsid w:val="00DC1BEE"/>
    <w:rsid w:val="00DC1CD2"/>
    <w:rsid w:val="00DC1EB0"/>
    <w:rsid w:val="00DC1EF7"/>
    <w:rsid w:val="00DC2258"/>
    <w:rsid w:val="00DC22AC"/>
    <w:rsid w:val="00DC244A"/>
    <w:rsid w:val="00DC2728"/>
    <w:rsid w:val="00DC2953"/>
    <w:rsid w:val="00DC2D26"/>
    <w:rsid w:val="00DC2F0F"/>
    <w:rsid w:val="00DC3257"/>
    <w:rsid w:val="00DC3326"/>
    <w:rsid w:val="00DC34F8"/>
    <w:rsid w:val="00DC3724"/>
    <w:rsid w:val="00DC3B4A"/>
    <w:rsid w:val="00DC45A6"/>
    <w:rsid w:val="00DC4732"/>
    <w:rsid w:val="00DC482A"/>
    <w:rsid w:val="00DC4B01"/>
    <w:rsid w:val="00DC4E35"/>
    <w:rsid w:val="00DC52D6"/>
    <w:rsid w:val="00DC58B0"/>
    <w:rsid w:val="00DC5D5C"/>
    <w:rsid w:val="00DC5E5C"/>
    <w:rsid w:val="00DC62A2"/>
    <w:rsid w:val="00DC65F4"/>
    <w:rsid w:val="00DC69D1"/>
    <w:rsid w:val="00DC6D0B"/>
    <w:rsid w:val="00DC70A0"/>
    <w:rsid w:val="00DC724B"/>
    <w:rsid w:val="00DC76BD"/>
    <w:rsid w:val="00DC7DC2"/>
    <w:rsid w:val="00DD0A93"/>
    <w:rsid w:val="00DD1089"/>
    <w:rsid w:val="00DD11CE"/>
    <w:rsid w:val="00DD13C4"/>
    <w:rsid w:val="00DD1A6C"/>
    <w:rsid w:val="00DD1D89"/>
    <w:rsid w:val="00DD2754"/>
    <w:rsid w:val="00DD2878"/>
    <w:rsid w:val="00DD2B52"/>
    <w:rsid w:val="00DD2F41"/>
    <w:rsid w:val="00DD36AE"/>
    <w:rsid w:val="00DD387D"/>
    <w:rsid w:val="00DD3D2E"/>
    <w:rsid w:val="00DD4A19"/>
    <w:rsid w:val="00DD4DA2"/>
    <w:rsid w:val="00DD51A7"/>
    <w:rsid w:val="00DD56A4"/>
    <w:rsid w:val="00DD60BD"/>
    <w:rsid w:val="00DD617C"/>
    <w:rsid w:val="00DD73BF"/>
    <w:rsid w:val="00DE0083"/>
    <w:rsid w:val="00DE025C"/>
    <w:rsid w:val="00DE077C"/>
    <w:rsid w:val="00DE07D2"/>
    <w:rsid w:val="00DE097C"/>
    <w:rsid w:val="00DE1508"/>
    <w:rsid w:val="00DE1574"/>
    <w:rsid w:val="00DE19AA"/>
    <w:rsid w:val="00DE1D83"/>
    <w:rsid w:val="00DE23F9"/>
    <w:rsid w:val="00DE2A1B"/>
    <w:rsid w:val="00DE30A9"/>
    <w:rsid w:val="00DE338C"/>
    <w:rsid w:val="00DE34D6"/>
    <w:rsid w:val="00DE3691"/>
    <w:rsid w:val="00DE38D0"/>
    <w:rsid w:val="00DE3D29"/>
    <w:rsid w:val="00DE3F51"/>
    <w:rsid w:val="00DE42A7"/>
    <w:rsid w:val="00DE4708"/>
    <w:rsid w:val="00DE48F8"/>
    <w:rsid w:val="00DE4970"/>
    <w:rsid w:val="00DE498B"/>
    <w:rsid w:val="00DE49A3"/>
    <w:rsid w:val="00DE4D2B"/>
    <w:rsid w:val="00DE4D2D"/>
    <w:rsid w:val="00DE5229"/>
    <w:rsid w:val="00DE579C"/>
    <w:rsid w:val="00DE57B6"/>
    <w:rsid w:val="00DE5A6A"/>
    <w:rsid w:val="00DE6192"/>
    <w:rsid w:val="00DE6436"/>
    <w:rsid w:val="00DE7299"/>
    <w:rsid w:val="00DE7387"/>
    <w:rsid w:val="00DE7499"/>
    <w:rsid w:val="00DE7665"/>
    <w:rsid w:val="00DE767B"/>
    <w:rsid w:val="00DE76CF"/>
    <w:rsid w:val="00DE7A5D"/>
    <w:rsid w:val="00DE7C43"/>
    <w:rsid w:val="00DE7FD5"/>
    <w:rsid w:val="00DF07AF"/>
    <w:rsid w:val="00DF087B"/>
    <w:rsid w:val="00DF0971"/>
    <w:rsid w:val="00DF1372"/>
    <w:rsid w:val="00DF1897"/>
    <w:rsid w:val="00DF1A48"/>
    <w:rsid w:val="00DF1D71"/>
    <w:rsid w:val="00DF1FE9"/>
    <w:rsid w:val="00DF20CB"/>
    <w:rsid w:val="00DF2166"/>
    <w:rsid w:val="00DF23DB"/>
    <w:rsid w:val="00DF258A"/>
    <w:rsid w:val="00DF2641"/>
    <w:rsid w:val="00DF2677"/>
    <w:rsid w:val="00DF30C0"/>
    <w:rsid w:val="00DF3200"/>
    <w:rsid w:val="00DF33B9"/>
    <w:rsid w:val="00DF3462"/>
    <w:rsid w:val="00DF3730"/>
    <w:rsid w:val="00DF3A38"/>
    <w:rsid w:val="00DF3D34"/>
    <w:rsid w:val="00DF3DCF"/>
    <w:rsid w:val="00DF3F74"/>
    <w:rsid w:val="00DF4300"/>
    <w:rsid w:val="00DF489F"/>
    <w:rsid w:val="00DF61B5"/>
    <w:rsid w:val="00DF6C2B"/>
    <w:rsid w:val="00DF7242"/>
    <w:rsid w:val="00DF73B9"/>
    <w:rsid w:val="00DF74EA"/>
    <w:rsid w:val="00DF7655"/>
    <w:rsid w:val="00DF7C4F"/>
    <w:rsid w:val="00DF7C83"/>
    <w:rsid w:val="00DF7CA1"/>
    <w:rsid w:val="00DF7E55"/>
    <w:rsid w:val="00E00697"/>
    <w:rsid w:val="00E00AD4"/>
    <w:rsid w:val="00E01168"/>
    <w:rsid w:val="00E0129C"/>
    <w:rsid w:val="00E012C5"/>
    <w:rsid w:val="00E013DB"/>
    <w:rsid w:val="00E01445"/>
    <w:rsid w:val="00E016D7"/>
    <w:rsid w:val="00E01753"/>
    <w:rsid w:val="00E017F8"/>
    <w:rsid w:val="00E01ECD"/>
    <w:rsid w:val="00E02007"/>
    <w:rsid w:val="00E024EE"/>
    <w:rsid w:val="00E027C4"/>
    <w:rsid w:val="00E0291F"/>
    <w:rsid w:val="00E02A64"/>
    <w:rsid w:val="00E02C9F"/>
    <w:rsid w:val="00E02F21"/>
    <w:rsid w:val="00E03021"/>
    <w:rsid w:val="00E037A9"/>
    <w:rsid w:val="00E03D6B"/>
    <w:rsid w:val="00E03F2D"/>
    <w:rsid w:val="00E055A9"/>
    <w:rsid w:val="00E056D7"/>
    <w:rsid w:val="00E056FC"/>
    <w:rsid w:val="00E05865"/>
    <w:rsid w:val="00E0594E"/>
    <w:rsid w:val="00E063D7"/>
    <w:rsid w:val="00E06628"/>
    <w:rsid w:val="00E0671E"/>
    <w:rsid w:val="00E06737"/>
    <w:rsid w:val="00E06ACA"/>
    <w:rsid w:val="00E072C5"/>
    <w:rsid w:val="00E07DF2"/>
    <w:rsid w:val="00E10213"/>
    <w:rsid w:val="00E102F6"/>
    <w:rsid w:val="00E10718"/>
    <w:rsid w:val="00E10948"/>
    <w:rsid w:val="00E109C5"/>
    <w:rsid w:val="00E10F94"/>
    <w:rsid w:val="00E11354"/>
    <w:rsid w:val="00E11371"/>
    <w:rsid w:val="00E11497"/>
    <w:rsid w:val="00E119EE"/>
    <w:rsid w:val="00E11FB2"/>
    <w:rsid w:val="00E12043"/>
    <w:rsid w:val="00E12EF8"/>
    <w:rsid w:val="00E133EF"/>
    <w:rsid w:val="00E1376E"/>
    <w:rsid w:val="00E1390F"/>
    <w:rsid w:val="00E13ADB"/>
    <w:rsid w:val="00E14171"/>
    <w:rsid w:val="00E14384"/>
    <w:rsid w:val="00E14F04"/>
    <w:rsid w:val="00E155F0"/>
    <w:rsid w:val="00E15839"/>
    <w:rsid w:val="00E15FCC"/>
    <w:rsid w:val="00E16547"/>
    <w:rsid w:val="00E167C7"/>
    <w:rsid w:val="00E1696D"/>
    <w:rsid w:val="00E16A37"/>
    <w:rsid w:val="00E174E0"/>
    <w:rsid w:val="00E17DFE"/>
    <w:rsid w:val="00E17EA9"/>
    <w:rsid w:val="00E209CF"/>
    <w:rsid w:val="00E20C02"/>
    <w:rsid w:val="00E20ECC"/>
    <w:rsid w:val="00E20F12"/>
    <w:rsid w:val="00E20F68"/>
    <w:rsid w:val="00E2100C"/>
    <w:rsid w:val="00E2111C"/>
    <w:rsid w:val="00E211CC"/>
    <w:rsid w:val="00E21573"/>
    <w:rsid w:val="00E21F67"/>
    <w:rsid w:val="00E225B4"/>
    <w:rsid w:val="00E22873"/>
    <w:rsid w:val="00E229C9"/>
    <w:rsid w:val="00E22F96"/>
    <w:rsid w:val="00E2323B"/>
    <w:rsid w:val="00E2388F"/>
    <w:rsid w:val="00E23F52"/>
    <w:rsid w:val="00E23FDE"/>
    <w:rsid w:val="00E240BC"/>
    <w:rsid w:val="00E24128"/>
    <w:rsid w:val="00E245C5"/>
    <w:rsid w:val="00E246A2"/>
    <w:rsid w:val="00E247D2"/>
    <w:rsid w:val="00E253AA"/>
    <w:rsid w:val="00E2584E"/>
    <w:rsid w:val="00E259DE"/>
    <w:rsid w:val="00E25B7F"/>
    <w:rsid w:val="00E25C3E"/>
    <w:rsid w:val="00E25E22"/>
    <w:rsid w:val="00E261FD"/>
    <w:rsid w:val="00E266A9"/>
    <w:rsid w:val="00E267EA"/>
    <w:rsid w:val="00E26878"/>
    <w:rsid w:val="00E270D8"/>
    <w:rsid w:val="00E271AE"/>
    <w:rsid w:val="00E27356"/>
    <w:rsid w:val="00E27807"/>
    <w:rsid w:val="00E30555"/>
    <w:rsid w:val="00E3145F"/>
    <w:rsid w:val="00E31AAB"/>
    <w:rsid w:val="00E3234B"/>
    <w:rsid w:val="00E334B5"/>
    <w:rsid w:val="00E33530"/>
    <w:rsid w:val="00E336F2"/>
    <w:rsid w:val="00E33773"/>
    <w:rsid w:val="00E337DC"/>
    <w:rsid w:val="00E33A40"/>
    <w:rsid w:val="00E33EBF"/>
    <w:rsid w:val="00E34AD1"/>
    <w:rsid w:val="00E34B70"/>
    <w:rsid w:val="00E34CB9"/>
    <w:rsid w:val="00E351C4"/>
    <w:rsid w:val="00E35687"/>
    <w:rsid w:val="00E3593D"/>
    <w:rsid w:val="00E3654C"/>
    <w:rsid w:val="00E36555"/>
    <w:rsid w:val="00E3663B"/>
    <w:rsid w:val="00E36A18"/>
    <w:rsid w:val="00E3719C"/>
    <w:rsid w:val="00E378A9"/>
    <w:rsid w:val="00E37A73"/>
    <w:rsid w:val="00E40534"/>
    <w:rsid w:val="00E40C2F"/>
    <w:rsid w:val="00E41703"/>
    <w:rsid w:val="00E4176A"/>
    <w:rsid w:val="00E41D4B"/>
    <w:rsid w:val="00E41F20"/>
    <w:rsid w:val="00E42530"/>
    <w:rsid w:val="00E4272A"/>
    <w:rsid w:val="00E42953"/>
    <w:rsid w:val="00E42AAD"/>
    <w:rsid w:val="00E42CCD"/>
    <w:rsid w:val="00E43216"/>
    <w:rsid w:val="00E432CD"/>
    <w:rsid w:val="00E4332B"/>
    <w:rsid w:val="00E43882"/>
    <w:rsid w:val="00E439AD"/>
    <w:rsid w:val="00E442BE"/>
    <w:rsid w:val="00E443C8"/>
    <w:rsid w:val="00E446CA"/>
    <w:rsid w:val="00E44754"/>
    <w:rsid w:val="00E44803"/>
    <w:rsid w:val="00E44951"/>
    <w:rsid w:val="00E44D37"/>
    <w:rsid w:val="00E44F4F"/>
    <w:rsid w:val="00E4512B"/>
    <w:rsid w:val="00E452B6"/>
    <w:rsid w:val="00E4556B"/>
    <w:rsid w:val="00E45A88"/>
    <w:rsid w:val="00E45E93"/>
    <w:rsid w:val="00E460B6"/>
    <w:rsid w:val="00E463DC"/>
    <w:rsid w:val="00E46934"/>
    <w:rsid w:val="00E46B8A"/>
    <w:rsid w:val="00E4757A"/>
    <w:rsid w:val="00E475B7"/>
    <w:rsid w:val="00E478FE"/>
    <w:rsid w:val="00E50130"/>
    <w:rsid w:val="00E502F4"/>
    <w:rsid w:val="00E504E9"/>
    <w:rsid w:val="00E5080D"/>
    <w:rsid w:val="00E5089D"/>
    <w:rsid w:val="00E50990"/>
    <w:rsid w:val="00E50BB5"/>
    <w:rsid w:val="00E50C1D"/>
    <w:rsid w:val="00E50C9B"/>
    <w:rsid w:val="00E50CAE"/>
    <w:rsid w:val="00E510FB"/>
    <w:rsid w:val="00E51384"/>
    <w:rsid w:val="00E51A35"/>
    <w:rsid w:val="00E51D0E"/>
    <w:rsid w:val="00E51E86"/>
    <w:rsid w:val="00E52103"/>
    <w:rsid w:val="00E52343"/>
    <w:rsid w:val="00E52676"/>
    <w:rsid w:val="00E527D9"/>
    <w:rsid w:val="00E52AB6"/>
    <w:rsid w:val="00E52C6F"/>
    <w:rsid w:val="00E52EF7"/>
    <w:rsid w:val="00E53358"/>
    <w:rsid w:val="00E5345B"/>
    <w:rsid w:val="00E5373D"/>
    <w:rsid w:val="00E53922"/>
    <w:rsid w:val="00E541FE"/>
    <w:rsid w:val="00E54360"/>
    <w:rsid w:val="00E54552"/>
    <w:rsid w:val="00E54BBB"/>
    <w:rsid w:val="00E55022"/>
    <w:rsid w:val="00E55B0A"/>
    <w:rsid w:val="00E5626C"/>
    <w:rsid w:val="00E562B7"/>
    <w:rsid w:val="00E56C18"/>
    <w:rsid w:val="00E56D1E"/>
    <w:rsid w:val="00E56F27"/>
    <w:rsid w:val="00E5703D"/>
    <w:rsid w:val="00E57392"/>
    <w:rsid w:val="00E5749A"/>
    <w:rsid w:val="00E5789C"/>
    <w:rsid w:val="00E57F3D"/>
    <w:rsid w:val="00E601DD"/>
    <w:rsid w:val="00E606E4"/>
    <w:rsid w:val="00E60AC4"/>
    <w:rsid w:val="00E60ED2"/>
    <w:rsid w:val="00E6133A"/>
    <w:rsid w:val="00E61491"/>
    <w:rsid w:val="00E61522"/>
    <w:rsid w:val="00E618CD"/>
    <w:rsid w:val="00E61D24"/>
    <w:rsid w:val="00E61E30"/>
    <w:rsid w:val="00E620F8"/>
    <w:rsid w:val="00E62331"/>
    <w:rsid w:val="00E62B91"/>
    <w:rsid w:val="00E632FE"/>
    <w:rsid w:val="00E63443"/>
    <w:rsid w:val="00E63492"/>
    <w:rsid w:val="00E63ADE"/>
    <w:rsid w:val="00E642D8"/>
    <w:rsid w:val="00E64C2A"/>
    <w:rsid w:val="00E65020"/>
    <w:rsid w:val="00E65720"/>
    <w:rsid w:val="00E65CB2"/>
    <w:rsid w:val="00E65F45"/>
    <w:rsid w:val="00E664EC"/>
    <w:rsid w:val="00E66B64"/>
    <w:rsid w:val="00E66D2D"/>
    <w:rsid w:val="00E66F35"/>
    <w:rsid w:val="00E674ED"/>
    <w:rsid w:val="00E67B32"/>
    <w:rsid w:val="00E67B7E"/>
    <w:rsid w:val="00E67EC5"/>
    <w:rsid w:val="00E70C38"/>
    <w:rsid w:val="00E70EC8"/>
    <w:rsid w:val="00E71001"/>
    <w:rsid w:val="00E711C0"/>
    <w:rsid w:val="00E71848"/>
    <w:rsid w:val="00E71998"/>
    <w:rsid w:val="00E721A2"/>
    <w:rsid w:val="00E723B7"/>
    <w:rsid w:val="00E7299E"/>
    <w:rsid w:val="00E72A77"/>
    <w:rsid w:val="00E72AE4"/>
    <w:rsid w:val="00E72DE9"/>
    <w:rsid w:val="00E72DF1"/>
    <w:rsid w:val="00E7308D"/>
    <w:rsid w:val="00E73DF8"/>
    <w:rsid w:val="00E7412C"/>
    <w:rsid w:val="00E74FF3"/>
    <w:rsid w:val="00E7501D"/>
    <w:rsid w:val="00E7509B"/>
    <w:rsid w:val="00E754E6"/>
    <w:rsid w:val="00E75875"/>
    <w:rsid w:val="00E75A0D"/>
    <w:rsid w:val="00E75B6E"/>
    <w:rsid w:val="00E76D7E"/>
    <w:rsid w:val="00E76E04"/>
    <w:rsid w:val="00E7737F"/>
    <w:rsid w:val="00E77482"/>
    <w:rsid w:val="00E776F6"/>
    <w:rsid w:val="00E7784E"/>
    <w:rsid w:val="00E77B4E"/>
    <w:rsid w:val="00E802AF"/>
    <w:rsid w:val="00E80420"/>
    <w:rsid w:val="00E80E96"/>
    <w:rsid w:val="00E81079"/>
    <w:rsid w:val="00E811DA"/>
    <w:rsid w:val="00E8122C"/>
    <w:rsid w:val="00E81266"/>
    <w:rsid w:val="00E812D3"/>
    <w:rsid w:val="00E81693"/>
    <w:rsid w:val="00E816A3"/>
    <w:rsid w:val="00E81953"/>
    <w:rsid w:val="00E82400"/>
    <w:rsid w:val="00E8243C"/>
    <w:rsid w:val="00E824A0"/>
    <w:rsid w:val="00E827EC"/>
    <w:rsid w:val="00E83945"/>
    <w:rsid w:val="00E83C50"/>
    <w:rsid w:val="00E84D25"/>
    <w:rsid w:val="00E84F1E"/>
    <w:rsid w:val="00E85140"/>
    <w:rsid w:val="00E85509"/>
    <w:rsid w:val="00E8558D"/>
    <w:rsid w:val="00E8580C"/>
    <w:rsid w:val="00E858D7"/>
    <w:rsid w:val="00E85B69"/>
    <w:rsid w:val="00E86435"/>
    <w:rsid w:val="00E865E4"/>
    <w:rsid w:val="00E868F3"/>
    <w:rsid w:val="00E86A0D"/>
    <w:rsid w:val="00E86A98"/>
    <w:rsid w:val="00E87131"/>
    <w:rsid w:val="00E87CD0"/>
    <w:rsid w:val="00E9040D"/>
    <w:rsid w:val="00E90701"/>
    <w:rsid w:val="00E9072C"/>
    <w:rsid w:val="00E90871"/>
    <w:rsid w:val="00E90ABF"/>
    <w:rsid w:val="00E90BFE"/>
    <w:rsid w:val="00E90C7B"/>
    <w:rsid w:val="00E91A6F"/>
    <w:rsid w:val="00E926F7"/>
    <w:rsid w:val="00E9283B"/>
    <w:rsid w:val="00E92980"/>
    <w:rsid w:val="00E92A25"/>
    <w:rsid w:val="00E92B4D"/>
    <w:rsid w:val="00E92C4C"/>
    <w:rsid w:val="00E92D97"/>
    <w:rsid w:val="00E92FC4"/>
    <w:rsid w:val="00E9355E"/>
    <w:rsid w:val="00E94361"/>
    <w:rsid w:val="00E94505"/>
    <w:rsid w:val="00E9452E"/>
    <w:rsid w:val="00E960F5"/>
    <w:rsid w:val="00E9682A"/>
    <w:rsid w:val="00E968C9"/>
    <w:rsid w:val="00E96A5B"/>
    <w:rsid w:val="00E96B53"/>
    <w:rsid w:val="00E971C5"/>
    <w:rsid w:val="00E97A66"/>
    <w:rsid w:val="00E97C5B"/>
    <w:rsid w:val="00EA01BB"/>
    <w:rsid w:val="00EA04E2"/>
    <w:rsid w:val="00EA06A2"/>
    <w:rsid w:val="00EA0A56"/>
    <w:rsid w:val="00EA16EC"/>
    <w:rsid w:val="00EA1BC8"/>
    <w:rsid w:val="00EA25C9"/>
    <w:rsid w:val="00EA2881"/>
    <w:rsid w:val="00EA2D02"/>
    <w:rsid w:val="00EA2F91"/>
    <w:rsid w:val="00EA30EB"/>
    <w:rsid w:val="00EA31C1"/>
    <w:rsid w:val="00EA3533"/>
    <w:rsid w:val="00EA3698"/>
    <w:rsid w:val="00EA3CDD"/>
    <w:rsid w:val="00EA3E24"/>
    <w:rsid w:val="00EA3EE8"/>
    <w:rsid w:val="00EA4322"/>
    <w:rsid w:val="00EA43EE"/>
    <w:rsid w:val="00EA44E6"/>
    <w:rsid w:val="00EA45AD"/>
    <w:rsid w:val="00EA4654"/>
    <w:rsid w:val="00EA4700"/>
    <w:rsid w:val="00EA495E"/>
    <w:rsid w:val="00EA4B3B"/>
    <w:rsid w:val="00EA518F"/>
    <w:rsid w:val="00EA5485"/>
    <w:rsid w:val="00EA57C3"/>
    <w:rsid w:val="00EA583F"/>
    <w:rsid w:val="00EA597C"/>
    <w:rsid w:val="00EA5A58"/>
    <w:rsid w:val="00EA5AF6"/>
    <w:rsid w:val="00EA5DBE"/>
    <w:rsid w:val="00EA69D4"/>
    <w:rsid w:val="00EA795B"/>
    <w:rsid w:val="00EA7A09"/>
    <w:rsid w:val="00EA7B05"/>
    <w:rsid w:val="00EA7CD0"/>
    <w:rsid w:val="00EA7FB4"/>
    <w:rsid w:val="00EA7FD5"/>
    <w:rsid w:val="00EB0229"/>
    <w:rsid w:val="00EB041F"/>
    <w:rsid w:val="00EB0459"/>
    <w:rsid w:val="00EB0B56"/>
    <w:rsid w:val="00EB0C85"/>
    <w:rsid w:val="00EB0ED9"/>
    <w:rsid w:val="00EB12EF"/>
    <w:rsid w:val="00EB174F"/>
    <w:rsid w:val="00EB200F"/>
    <w:rsid w:val="00EB2955"/>
    <w:rsid w:val="00EB2AB0"/>
    <w:rsid w:val="00EB320B"/>
    <w:rsid w:val="00EB3213"/>
    <w:rsid w:val="00EB3492"/>
    <w:rsid w:val="00EB3546"/>
    <w:rsid w:val="00EB4267"/>
    <w:rsid w:val="00EB4630"/>
    <w:rsid w:val="00EB463A"/>
    <w:rsid w:val="00EB4676"/>
    <w:rsid w:val="00EB4680"/>
    <w:rsid w:val="00EB4DE4"/>
    <w:rsid w:val="00EB4DE8"/>
    <w:rsid w:val="00EB59E3"/>
    <w:rsid w:val="00EB5AC0"/>
    <w:rsid w:val="00EB5B24"/>
    <w:rsid w:val="00EB5D9C"/>
    <w:rsid w:val="00EB5E86"/>
    <w:rsid w:val="00EB5F62"/>
    <w:rsid w:val="00EB6230"/>
    <w:rsid w:val="00EB67FA"/>
    <w:rsid w:val="00EB6C37"/>
    <w:rsid w:val="00EB6D58"/>
    <w:rsid w:val="00EB6F96"/>
    <w:rsid w:val="00EB7692"/>
    <w:rsid w:val="00EB77D7"/>
    <w:rsid w:val="00EB7A4A"/>
    <w:rsid w:val="00EB7BD3"/>
    <w:rsid w:val="00EB7C6F"/>
    <w:rsid w:val="00EB7D94"/>
    <w:rsid w:val="00EB7F29"/>
    <w:rsid w:val="00EB7F9B"/>
    <w:rsid w:val="00EC00DF"/>
    <w:rsid w:val="00EC057A"/>
    <w:rsid w:val="00EC08AB"/>
    <w:rsid w:val="00EC0A06"/>
    <w:rsid w:val="00EC0A62"/>
    <w:rsid w:val="00EC0AE2"/>
    <w:rsid w:val="00EC10B2"/>
    <w:rsid w:val="00EC12F8"/>
    <w:rsid w:val="00EC186C"/>
    <w:rsid w:val="00EC195E"/>
    <w:rsid w:val="00EC2299"/>
    <w:rsid w:val="00EC2639"/>
    <w:rsid w:val="00EC2820"/>
    <w:rsid w:val="00EC2840"/>
    <w:rsid w:val="00EC2DEA"/>
    <w:rsid w:val="00EC2F1F"/>
    <w:rsid w:val="00EC31D5"/>
    <w:rsid w:val="00EC3A59"/>
    <w:rsid w:val="00EC3DBB"/>
    <w:rsid w:val="00EC42B9"/>
    <w:rsid w:val="00EC47A3"/>
    <w:rsid w:val="00EC47F3"/>
    <w:rsid w:val="00EC4C2A"/>
    <w:rsid w:val="00EC4F7B"/>
    <w:rsid w:val="00EC57F6"/>
    <w:rsid w:val="00EC5928"/>
    <w:rsid w:val="00EC5F8D"/>
    <w:rsid w:val="00EC6346"/>
    <w:rsid w:val="00EC6377"/>
    <w:rsid w:val="00EC6490"/>
    <w:rsid w:val="00EC68D1"/>
    <w:rsid w:val="00EC6D34"/>
    <w:rsid w:val="00EC70A4"/>
    <w:rsid w:val="00EC7750"/>
    <w:rsid w:val="00EC7A30"/>
    <w:rsid w:val="00ED0056"/>
    <w:rsid w:val="00ED09B2"/>
    <w:rsid w:val="00ED0D26"/>
    <w:rsid w:val="00ED137D"/>
    <w:rsid w:val="00ED1496"/>
    <w:rsid w:val="00ED178E"/>
    <w:rsid w:val="00ED1835"/>
    <w:rsid w:val="00ED1AA3"/>
    <w:rsid w:val="00ED2289"/>
    <w:rsid w:val="00ED240E"/>
    <w:rsid w:val="00ED2890"/>
    <w:rsid w:val="00ED2A8A"/>
    <w:rsid w:val="00ED3016"/>
    <w:rsid w:val="00ED44B9"/>
    <w:rsid w:val="00ED45A6"/>
    <w:rsid w:val="00ED49D6"/>
    <w:rsid w:val="00ED4F18"/>
    <w:rsid w:val="00ED51AA"/>
    <w:rsid w:val="00ED5232"/>
    <w:rsid w:val="00ED53F1"/>
    <w:rsid w:val="00ED53FF"/>
    <w:rsid w:val="00ED5636"/>
    <w:rsid w:val="00ED5C9F"/>
    <w:rsid w:val="00ED5E34"/>
    <w:rsid w:val="00ED64E1"/>
    <w:rsid w:val="00ED6976"/>
    <w:rsid w:val="00ED73DB"/>
    <w:rsid w:val="00ED766F"/>
    <w:rsid w:val="00ED785D"/>
    <w:rsid w:val="00ED7BB4"/>
    <w:rsid w:val="00ED7E3F"/>
    <w:rsid w:val="00EE02ED"/>
    <w:rsid w:val="00EE02FD"/>
    <w:rsid w:val="00EE059A"/>
    <w:rsid w:val="00EE12A2"/>
    <w:rsid w:val="00EE16DC"/>
    <w:rsid w:val="00EE1AD2"/>
    <w:rsid w:val="00EE1EEC"/>
    <w:rsid w:val="00EE26CD"/>
    <w:rsid w:val="00EE27A0"/>
    <w:rsid w:val="00EE2A9F"/>
    <w:rsid w:val="00EE2EF7"/>
    <w:rsid w:val="00EE2F18"/>
    <w:rsid w:val="00EE327B"/>
    <w:rsid w:val="00EE3406"/>
    <w:rsid w:val="00EE3E28"/>
    <w:rsid w:val="00EE3F04"/>
    <w:rsid w:val="00EE40CC"/>
    <w:rsid w:val="00EE4283"/>
    <w:rsid w:val="00EE4799"/>
    <w:rsid w:val="00EE48D8"/>
    <w:rsid w:val="00EE490B"/>
    <w:rsid w:val="00EE56C6"/>
    <w:rsid w:val="00EE5A0A"/>
    <w:rsid w:val="00EE5A75"/>
    <w:rsid w:val="00EE5B7C"/>
    <w:rsid w:val="00EE65A7"/>
    <w:rsid w:val="00EE683D"/>
    <w:rsid w:val="00EE6E9E"/>
    <w:rsid w:val="00EE74AD"/>
    <w:rsid w:val="00EE74ED"/>
    <w:rsid w:val="00EE751C"/>
    <w:rsid w:val="00EE75A7"/>
    <w:rsid w:val="00EE7879"/>
    <w:rsid w:val="00EE7934"/>
    <w:rsid w:val="00EE7BA1"/>
    <w:rsid w:val="00EF095D"/>
    <w:rsid w:val="00EF0B1C"/>
    <w:rsid w:val="00EF0D3D"/>
    <w:rsid w:val="00EF0E8A"/>
    <w:rsid w:val="00EF12B2"/>
    <w:rsid w:val="00EF151F"/>
    <w:rsid w:val="00EF17E8"/>
    <w:rsid w:val="00EF203A"/>
    <w:rsid w:val="00EF24C1"/>
    <w:rsid w:val="00EF2726"/>
    <w:rsid w:val="00EF2750"/>
    <w:rsid w:val="00EF282D"/>
    <w:rsid w:val="00EF2C61"/>
    <w:rsid w:val="00EF2D0E"/>
    <w:rsid w:val="00EF398A"/>
    <w:rsid w:val="00EF3A12"/>
    <w:rsid w:val="00EF3D1A"/>
    <w:rsid w:val="00EF4216"/>
    <w:rsid w:val="00EF45D1"/>
    <w:rsid w:val="00EF5062"/>
    <w:rsid w:val="00EF58BE"/>
    <w:rsid w:val="00EF59AD"/>
    <w:rsid w:val="00EF5F55"/>
    <w:rsid w:val="00EF60AC"/>
    <w:rsid w:val="00EF616E"/>
    <w:rsid w:val="00EF6D10"/>
    <w:rsid w:val="00EF702B"/>
    <w:rsid w:val="00EF7149"/>
    <w:rsid w:val="00EF737F"/>
    <w:rsid w:val="00EF7873"/>
    <w:rsid w:val="00F004ED"/>
    <w:rsid w:val="00F00C25"/>
    <w:rsid w:val="00F00C62"/>
    <w:rsid w:val="00F00F6C"/>
    <w:rsid w:val="00F01B0F"/>
    <w:rsid w:val="00F01D9A"/>
    <w:rsid w:val="00F02473"/>
    <w:rsid w:val="00F025DB"/>
    <w:rsid w:val="00F0260B"/>
    <w:rsid w:val="00F02688"/>
    <w:rsid w:val="00F02835"/>
    <w:rsid w:val="00F02C6D"/>
    <w:rsid w:val="00F02F8A"/>
    <w:rsid w:val="00F034A2"/>
    <w:rsid w:val="00F0374C"/>
    <w:rsid w:val="00F03762"/>
    <w:rsid w:val="00F03966"/>
    <w:rsid w:val="00F03CE2"/>
    <w:rsid w:val="00F03FDE"/>
    <w:rsid w:val="00F04019"/>
    <w:rsid w:val="00F040A0"/>
    <w:rsid w:val="00F04503"/>
    <w:rsid w:val="00F0456B"/>
    <w:rsid w:val="00F045CA"/>
    <w:rsid w:val="00F045FB"/>
    <w:rsid w:val="00F04F5D"/>
    <w:rsid w:val="00F05157"/>
    <w:rsid w:val="00F05168"/>
    <w:rsid w:val="00F05AC6"/>
    <w:rsid w:val="00F05BBF"/>
    <w:rsid w:val="00F0615A"/>
    <w:rsid w:val="00F062C7"/>
    <w:rsid w:val="00F06330"/>
    <w:rsid w:val="00F068FC"/>
    <w:rsid w:val="00F06A79"/>
    <w:rsid w:val="00F06A98"/>
    <w:rsid w:val="00F06C84"/>
    <w:rsid w:val="00F06E11"/>
    <w:rsid w:val="00F070CC"/>
    <w:rsid w:val="00F073FF"/>
    <w:rsid w:val="00F07616"/>
    <w:rsid w:val="00F0775A"/>
    <w:rsid w:val="00F079E9"/>
    <w:rsid w:val="00F1027D"/>
    <w:rsid w:val="00F10AA5"/>
    <w:rsid w:val="00F1156A"/>
    <w:rsid w:val="00F11E67"/>
    <w:rsid w:val="00F11F33"/>
    <w:rsid w:val="00F11FCC"/>
    <w:rsid w:val="00F12519"/>
    <w:rsid w:val="00F12881"/>
    <w:rsid w:val="00F135A2"/>
    <w:rsid w:val="00F136AC"/>
    <w:rsid w:val="00F14435"/>
    <w:rsid w:val="00F14896"/>
    <w:rsid w:val="00F14973"/>
    <w:rsid w:val="00F14ABF"/>
    <w:rsid w:val="00F14EDE"/>
    <w:rsid w:val="00F15272"/>
    <w:rsid w:val="00F1532D"/>
    <w:rsid w:val="00F1545A"/>
    <w:rsid w:val="00F15630"/>
    <w:rsid w:val="00F15645"/>
    <w:rsid w:val="00F15851"/>
    <w:rsid w:val="00F158AC"/>
    <w:rsid w:val="00F1647C"/>
    <w:rsid w:val="00F16D7B"/>
    <w:rsid w:val="00F17135"/>
    <w:rsid w:val="00F17144"/>
    <w:rsid w:val="00F176F4"/>
    <w:rsid w:val="00F17BF1"/>
    <w:rsid w:val="00F17E01"/>
    <w:rsid w:val="00F201C8"/>
    <w:rsid w:val="00F201D4"/>
    <w:rsid w:val="00F205C6"/>
    <w:rsid w:val="00F20E12"/>
    <w:rsid w:val="00F21329"/>
    <w:rsid w:val="00F21395"/>
    <w:rsid w:val="00F222D6"/>
    <w:rsid w:val="00F225FC"/>
    <w:rsid w:val="00F22799"/>
    <w:rsid w:val="00F22FE6"/>
    <w:rsid w:val="00F230ED"/>
    <w:rsid w:val="00F23391"/>
    <w:rsid w:val="00F233FB"/>
    <w:rsid w:val="00F23CD8"/>
    <w:rsid w:val="00F241FE"/>
    <w:rsid w:val="00F24764"/>
    <w:rsid w:val="00F2494E"/>
    <w:rsid w:val="00F24A12"/>
    <w:rsid w:val="00F24E0A"/>
    <w:rsid w:val="00F2523A"/>
    <w:rsid w:val="00F2559C"/>
    <w:rsid w:val="00F2572A"/>
    <w:rsid w:val="00F259A2"/>
    <w:rsid w:val="00F25E23"/>
    <w:rsid w:val="00F26162"/>
    <w:rsid w:val="00F263EE"/>
    <w:rsid w:val="00F266A4"/>
    <w:rsid w:val="00F269E0"/>
    <w:rsid w:val="00F26ECE"/>
    <w:rsid w:val="00F271F3"/>
    <w:rsid w:val="00F272C0"/>
    <w:rsid w:val="00F27371"/>
    <w:rsid w:val="00F27689"/>
    <w:rsid w:val="00F27D69"/>
    <w:rsid w:val="00F27E47"/>
    <w:rsid w:val="00F27E92"/>
    <w:rsid w:val="00F30109"/>
    <w:rsid w:val="00F3016A"/>
    <w:rsid w:val="00F30EF0"/>
    <w:rsid w:val="00F31527"/>
    <w:rsid w:val="00F31965"/>
    <w:rsid w:val="00F31C46"/>
    <w:rsid w:val="00F31E58"/>
    <w:rsid w:val="00F32051"/>
    <w:rsid w:val="00F32101"/>
    <w:rsid w:val="00F321B2"/>
    <w:rsid w:val="00F324A1"/>
    <w:rsid w:val="00F3257A"/>
    <w:rsid w:val="00F32643"/>
    <w:rsid w:val="00F32B9A"/>
    <w:rsid w:val="00F3384B"/>
    <w:rsid w:val="00F33B0E"/>
    <w:rsid w:val="00F3403A"/>
    <w:rsid w:val="00F34748"/>
    <w:rsid w:val="00F3498D"/>
    <w:rsid w:val="00F35082"/>
    <w:rsid w:val="00F353BB"/>
    <w:rsid w:val="00F35613"/>
    <w:rsid w:val="00F35619"/>
    <w:rsid w:val="00F35ADA"/>
    <w:rsid w:val="00F36198"/>
    <w:rsid w:val="00F3695A"/>
    <w:rsid w:val="00F36B99"/>
    <w:rsid w:val="00F36ED9"/>
    <w:rsid w:val="00F36EE1"/>
    <w:rsid w:val="00F372A4"/>
    <w:rsid w:val="00F373EE"/>
    <w:rsid w:val="00F374F4"/>
    <w:rsid w:val="00F375D3"/>
    <w:rsid w:val="00F37A17"/>
    <w:rsid w:val="00F40244"/>
    <w:rsid w:val="00F40268"/>
    <w:rsid w:val="00F40796"/>
    <w:rsid w:val="00F40EF9"/>
    <w:rsid w:val="00F40F40"/>
    <w:rsid w:val="00F40FCE"/>
    <w:rsid w:val="00F415A5"/>
    <w:rsid w:val="00F41C80"/>
    <w:rsid w:val="00F41ECA"/>
    <w:rsid w:val="00F421F5"/>
    <w:rsid w:val="00F42608"/>
    <w:rsid w:val="00F42AED"/>
    <w:rsid w:val="00F4330A"/>
    <w:rsid w:val="00F4369F"/>
    <w:rsid w:val="00F436C4"/>
    <w:rsid w:val="00F436D2"/>
    <w:rsid w:val="00F439DA"/>
    <w:rsid w:val="00F43D7C"/>
    <w:rsid w:val="00F43DC2"/>
    <w:rsid w:val="00F4412B"/>
    <w:rsid w:val="00F441F8"/>
    <w:rsid w:val="00F44358"/>
    <w:rsid w:val="00F44476"/>
    <w:rsid w:val="00F44649"/>
    <w:rsid w:val="00F44EFB"/>
    <w:rsid w:val="00F45583"/>
    <w:rsid w:val="00F458FD"/>
    <w:rsid w:val="00F45A13"/>
    <w:rsid w:val="00F46B8E"/>
    <w:rsid w:val="00F46E69"/>
    <w:rsid w:val="00F4759A"/>
    <w:rsid w:val="00F47811"/>
    <w:rsid w:val="00F50F38"/>
    <w:rsid w:val="00F5146E"/>
    <w:rsid w:val="00F517ED"/>
    <w:rsid w:val="00F5195A"/>
    <w:rsid w:val="00F520AA"/>
    <w:rsid w:val="00F52781"/>
    <w:rsid w:val="00F5279D"/>
    <w:rsid w:val="00F52B50"/>
    <w:rsid w:val="00F52E01"/>
    <w:rsid w:val="00F530E9"/>
    <w:rsid w:val="00F536CC"/>
    <w:rsid w:val="00F537B6"/>
    <w:rsid w:val="00F53F5A"/>
    <w:rsid w:val="00F54054"/>
    <w:rsid w:val="00F54559"/>
    <w:rsid w:val="00F5499C"/>
    <w:rsid w:val="00F54ADE"/>
    <w:rsid w:val="00F55359"/>
    <w:rsid w:val="00F5559A"/>
    <w:rsid w:val="00F55A1F"/>
    <w:rsid w:val="00F561A1"/>
    <w:rsid w:val="00F56661"/>
    <w:rsid w:val="00F56851"/>
    <w:rsid w:val="00F56FE0"/>
    <w:rsid w:val="00F57123"/>
    <w:rsid w:val="00F5715C"/>
    <w:rsid w:val="00F57872"/>
    <w:rsid w:val="00F57DCD"/>
    <w:rsid w:val="00F60328"/>
    <w:rsid w:val="00F60913"/>
    <w:rsid w:val="00F60CF5"/>
    <w:rsid w:val="00F613DB"/>
    <w:rsid w:val="00F61581"/>
    <w:rsid w:val="00F6160E"/>
    <w:rsid w:val="00F61CB2"/>
    <w:rsid w:val="00F61FF5"/>
    <w:rsid w:val="00F62427"/>
    <w:rsid w:val="00F62491"/>
    <w:rsid w:val="00F62597"/>
    <w:rsid w:val="00F62B0E"/>
    <w:rsid w:val="00F62CE8"/>
    <w:rsid w:val="00F62E0C"/>
    <w:rsid w:val="00F6318C"/>
    <w:rsid w:val="00F631D5"/>
    <w:rsid w:val="00F635C5"/>
    <w:rsid w:val="00F63652"/>
    <w:rsid w:val="00F63A4C"/>
    <w:rsid w:val="00F63CB7"/>
    <w:rsid w:val="00F645A9"/>
    <w:rsid w:val="00F65706"/>
    <w:rsid w:val="00F6584D"/>
    <w:rsid w:val="00F65E35"/>
    <w:rsid w:val="00F65FE4"/>
    <w:rsid w:val="00F6610F"/>
    <w:rsid w:val="00F6612B"/>
    <w:rsid w:val="00F66889"/>
    <w:rsid w:val="00F66A28"/>
    <w:rsid w:val="00F66BAA"/>
    <w:rsid w:val="00F66BD7"/>
    <w:rsid w:val="00F66D97"/>
    <w:rsid w:val="00F6718E"/>
    <w:rsid w:val="00F6734A"/>
    <w:rsid w:val="00F6772C"/>
    <w:rsid w:val="00F679B3"/>
    <w:rsid w:val="00F67C50"/>
    <w:rsid w:val="00F67F38"/>
    <w:rsid w:val="00F70003"/>
    <w:rsid w:val="00F70631"/>
    <w:rsid w:val="00F7132F"/>
    <w:rsid w:val="00F716EA"/>
    <w:rsid w:val="00F71725"/>
    <w:rsid w:val="00F717B3"/>
    <w:rsid w:val="00F71974"/>
    <w:rsid w:val="00F719B5"/>
    <w:rsid w:val="00F719E1"/>
    <w:rsid w:val="00F71A6C"/>
    <w:rsid w:val="00F71C02"/>
    <w:rsid w:val="00F72436"/>
    <w:rsid w:val="00F726A3"/>
    <w:rsid w:val="00F727A8"/>
    <w:rsid w:val="00F72AA5"/>
    <w:rsid w:val="00F73412"/>
    <w:rsid w:val="00F73497"/>
    <w:rsid w:val="00F73D06"/>
    <w:rsid w:val="00F740CE"/>
    <w:rsid w:val="00F74326"/>
    <w:rsid w:val="00F74781"/>
    <w:rsid w:val="00F752F0"/>
    <w:rsid w:val="00F7576E"/>
    <w:rsid w:val="00F757F3"/>
    <w:rsid w:val="00F75FBD"/>
    <w:rsid w:val="00F7637E"/>
    <w:rsid w:val="00F7640D"/>
    <w:rsid w:val="00F76BE4"/>
    <w:rsid w:val="00F76E3C"/>
    <w:rsid w:val="00F7742C"/>
    <w:rsid w:val="00F77762"/>
    <w:rsid w:val="00F77C92"/>
    <w:rsid w:val="00F800A1"/>
    <w:rsid w:val="00F8030A"/>
    <w:rsid w:val="00F80516"/>
    <w:rsid w:val="00F80F12"/>
    <w:rsid w:val="00F81315"/>
    <w:rsid w:val="00F818FD"/>
    <w:rsid w:val="00F81A15"/>
    <w:rsid w:val="00F81C2B"/>
    <w:rsid w:val="00F82580"/>
    <w:rsid w:val="00F82ABA"/>
    <w:rsid w:val="00F833E5"/>
    <w:rsid w:val="00F83572"/>
    <w:rsid w:val="00F83790"/>
    <w:rsid w:val="00F838B8"/>
    <w:rsid w:val="00F839D2"/>
    <w:rsid w:val="00F84016"/>
    <w:rsid w:val="00F84735"/>
    <w:rsid w:val="00F849D7"/>
    <w:rsid w:val="00F84B2C"/>
    <w:rsid w:val="00F84C44"/>
    <w:rsid w:val="00F84C78"/>
    <w:rsid w:val="00F84F74"/>
    <w:rsid w:val="00F85046"/>
    <w:rsid w:val="00F857E5"/>
    <w:rsid w:val="00F86078"/>
    <w:rsid w:val="00F86231"/>
    <w:rsid w:val="00F863DB"/>
    <w:rsid w:val="00F86595"/>
    <w:rsid w:val="00F86979"/>
    <w:rsid w:val="00F86BB1"/>
    <w:rsid w:val="00F86EF2"/>
    <w:rsid w:val="00F8708F"/>
    <w:rsid w:val="00F8772B"/>
    <w:rsid w:val="00F87742"/>
    <w:rsid w:val="00F877D1"/>
    <w:rsid w:val="00F90582"/>
    <w:rsid w:val="00F90605"/>
    <w:rsid w:val="00F906B1"/>
    <w:rsid w:val="00F90C8C"/>
    <w:rsid w:val="00F90E04"/>
    <w:rsid w:val="00F90F15"/>
    <w:rsid w:val="00F91121"/>
    <w:rsid w:val="00F91A6F"/>
    <w:rsid w:val="00F91A78"/>
    <w:rsid w:val="00F91B9A"/>
    <w:rsid w:val="00F91C93"/>
    <w:rsid w:val="00F92573"/>
    <w:rsid w:val="00F92C74"/>
    <w:rsid w:val="00F932A2"/>
    <w:rsid w:val="00F93DA1"/>
    <w:rsid w:val="00F93DD3"/>
    <w:rsid w:val="00F94285"/>
    <w:rsid w:val="00F94677"/>
    <w:rsid w:val="00F949BD"/>
    <w:rsid w:val="00F949E4"/>
    <w:rsid w:val="00F94F51"/>
    <w:rsid w:val="00F9558B"/>
    <w:rsid w:val="00F95647"/>
    <w:rsid w:val="00F9572B"/>
    <w:rsid w:val="00F95DB7"/>
    <w:rsid w:val="00F96514"/>
    <w:rsid w:val="00F9675A"/>
    <w:rsid w:val="00F968D4"/>
    <w:rsid w:val="00F96ABE"/>
    <w:rsid w:val="00F96C95"/>
    <w:rsid w:val="00F96FC6"/>
    <w:rsid w:val="00F97663"/>
    <w:rsid w:val="00F97978"/>
    <w:rsid w:val="00F97D6C"/>
    <w:rsid w:val="00F97FFD"/>
    <w:rsid w:val="00FA008A"/>
    <w:rsid w:val="00FA06B3"/>
    <w:rsid w:val="00FA0A28"/>
    <w:rsid w:val="00FA186E"/>
    <w:rsid w:val="00FA2156"/>
    <w:rsid w:val="00FA2257"/>
    <w:rsid w:val="00FA2324"/>
    <w:rsid w:val="00FA2385"/>
    <w:rsid w:val="00FA24B6"/>
    <w:rsid w:val="00FA2A06"/>
    <w:rsid w:val="00FA2A1D"/>
    <w:rsid w:val="00FA2AF7"/>
    <w:rsid w:val="00FA31B8"/>
    <w:rsid w:val="00FA426B"/>
    <w:rsid w:val="00FA4941"/>
    <w:rsid w:val="00FA5015"/>
    <w:rsid w:val="00FA559A"/>
    <w:rsid w:val="00FA582F"/>
    <w:rsid w:val="00FA58D6"/>
    <w:rsid w:val="00FA59B4"/>
    <w:rsid w:val="00FA5A23"/>
    <w:rsid w:val="00FA5ACA"/>
    <w:rsid w:val="00FA690A"/>
    <w:rsid w:val="00FA69FF"/>
    <w:rsid w:val="00FA6EBD"/>
    <w:rsid w:val="00FA730B"/>
    <w:rsid w:val="00FA7385"/>
    <w:rsid w:val="00FA7468"/>
    <w:rsid w:val="00FA7610"/>
    <w:rsid w:val="00FA7AE2"/>
    <w:rsid w:val="00FA7F3C"/>
    <w:rsid w:val="00FB01A2"/>
    <w:rsid w:val="00FB03F5"/>
    <w:rsid w:val="00FB09E3"/>
    <w:rsid w:val="00FB1B17"/>
    <w:rsid w:val="00FB1D79"/>
    <w:rsid w:val="00FB1E5F"/>
    <w:rsid w:val="00FB262C"/>
    <w:rsid w:val="00FB3087"/>
    <w:rsid w:val="00FB3155"/>
    <w:rsid w:val="00FB32A6"/>
    <w:rsid w:val="00FB334D"/>
    <w:rsid w:val="00FB3D8C"/>
    <w:rsid w:val="00FB3FD6"/>
    <w:rsid w:val="00FB45D6"/>
    <w:rsid w:val="00FB4A49"/>
    <w:rsid w:val="00FB4C0E"/>
    <w:rsid w:val="00FB4D66"/>
    <w:rsid w:val="00FB4E87"/>
    <w:rsid w:val="00FB4FF5"/>
    <w:rsid w:val="00FB51C5"/>
    <w:rsid w:val="00FB52F3"/>
    <w:rsid w:val="00FB610B"/>
    <w:rsid w:val="00FB65EA"/>
    <w:rsid w:val="00FB67BD"/>
    <w:rsid w:val="00FB6F01"/>
    <w:rsid w:val="00FB754E"/>
    <w:rsid w:val="00FB7BD7"/>
    <w:rsid w:val="00FC002D"/>
    <w:rsid w:val="00FC004C"/>
    <w:rsid w:val="00FC04F9"/>
    <w:rsid w:val="00FC083E"/>
    <w:rsid w:val="00FC0891"/>
    <w:rsid w:val="00FC0C4E"/>
    <w:rsid w:val="00FC1342"/>
    <w:rsid w:val="00FC1512"/>
    <w:rsid w:val="00FC15B8"/>
    <w:rsid w:val="00FC16B6"/>
    <w:rsid w:val="00FC1ECC"/>
    <w:rsid w:val="00FC20D8"/>
    <w:rsid w:val="00FC2560"/>
    <w:rsid w:val="00FC27F1"/>
    <w:rsid w:val="00FC2AEB"/>
    <w:rsid w:val="00FC2D55"/>
    <w:rsid w:val="00FC2D77"/>
    <w:rsid w:val="00FC2E22"/>
    <w:rsid w:val="00FC2E2F"/>
    <w:rsid w:val="00FC2E85"/>
    <w:rsid w:val="00FC2FCB"/>
    <w:rsid w:val="00FC3128"/>
    <w:rsid w:val="00FC3AB4"/>
    <w:rsid w:val="00FC3EB6"/>
    <w:rsid w:val="00FC3F58"/>
    <w:rsid w:val="00FC4950"/>
    <w:rsid w:val="00FC578C"/>
    <w:rsid w:val="00FC5A31"/>
    <w:rsid w:val="00FC6970"/>
    <w:rsid w:val="00FC6F72"/>
    <w:rsid w:val="00FC6FCF"/>
    <w:rsid w:val="00FC7251"/>
    <w:rsid w:val="00FC7311"/>
    <w:rsid w:val="00FC7478"/>
    <w:rsid w:val="00FC74F7"/>
    <w:rsid w:val="00FD03A9"/>
    <w:rsid w:val="00FD0713"/>
    <w:rsid w:val="00FD0838"/>
    <w:rsid w:val="00FD0DB1"/>
    <w:rsid w:val="00FD128B"/>
    <w:rsid w:val="00FD1645"/>
    <w:rsid w:val="00FD1A54"/>
    <w:rsid w:val="00FD1E34"/>
    <w:rsid w:val="00FD1E46"/>
    <w:rsid w:val="00FD23EC"/>
    <w:rsid w:val="00FD2B17"/>
    <w:rsid w:val="00FD2F62"/>
    <w:rsid w:val="00FD2F9D"/>
    <w:rsid w:val="00FD305D"/>
    <w:rsid w:val="00FD3318"/>
    <w:rsid w:val="00FD3366"/>
    <w:rsid w:val="00FD39B9"/>
    <w:rsid w:val="00FD3B0E"/>
    <w:rsid w:val="00FD3F25"/>
    <w:rsid w:val="00FD3F31"/>
    <w:rsid w:val="00FD444D"/>
    <w:rsid w:val="00FD45F0"/>
    <w:rsid w:val="00FD4FBC"/>
    <w:rsid w:val="00FD516E"/>
    <w:rsid w:val="00FD5AB3"/>
    <w:rsid w:val="00FD5AC0"/>
    <w:rsid w:val="00FD5B34"/>
    <w:rsid w:val="00FD608B"/>
    <w:rsid w:val="00FD635E"/>
    <w:rsid w:val="00FD6388"/>
    <w:rsid w:val="00FD68DF"/>
    <w:rsid w:val="00FD6E51"/>
    <w:rsid w:val="00FD72B3"/>
    <w:rsid w:val="00FD76E5"/>
    <w:rsid w:val="00FD77D8"/>
    <w:rsid w:val="00FD78DF"/>
    <w:rsid w:val="00FD7B02"/>
    <w:rsid w:val="00FD7CA1"/>
    <w:rsid w:val="00FE0165"/>
    <w:rsid w:val="00FE07EE"/>
    <w:rsid w:val="00FE08C5"/>
    <w:rsid w:val="00FE0B4F"/>
    <w:rsid w:val="00FE0D03"/>
    <w:rsid w:val="00FE10E9"/>
    <w:rsid w:val="00FE1277"/>
    <w:rsid w:val="00FE14BE"/>
    <w:rsid w:val="00FE14F9"/>
    <w:rsid w:val="00FE1EBD"/>
    <w:rsid w:val="00FE1F0A"/>
    <w:rsid w:val="00FE26D8"/>
    <w:rsid w:val="00FE2C62"/>
    <w:rsid w:val="00FE2E30"/>
    <w:rsid w:val="00FE2E59"/>
    <w:rsid w:val="00FE2E71"/>
    <w:rsid w:val="00FE4122"/>
    <w:rsid w:val="00FE4AF1"/>
    <w:rsid w:val="00FE4B04"/>
    <w:rsid w:val="00FE5022"/>
    <w:rsid w:val="00FE5403"/>
    <w:rsid w:val="00FE5419"/>
    <w:rsid w:val="00FE542F"/>
    <w:rsid w:val="00FE5452"/>
    <w:rsid w:val="00FE547F"/>
    <w:rsid w:val="00FE5529"/>
    <w:rsid w:val="00FE5939"/>
    <w:rsid w:val="00FE5EC1"/>
    <w:rsid w:val="00FE5F92"/>
    <w:rsid w:val="00FE5F9B"/>
    <w:rsid w:val="00FE6080"/>
    <w:rsid w:val="00FE646A"/>
    <w:rsid w:val="00FE6B0D"/>
    <w:rsid w:val="00FE72A1"/>
    <w:rsid w:val="00FE74EA"/>
    <w:rsid w:val="00FE7B00"/>
    <w:rsid w:val="00FE7E2B"/>
    <w:rsid w:val="00FE7E3E"/>
    <w:rsid w:val="00FF0240"/>
    <w:rsid w:val="00FF0766"/>
    <w:rsid w:val="00FF0DAD"/>
    <w:rsid w:val="00FF1C20"/>
    <w:rsid w:val="00FF22FB"/>
    <w:rsid w:val="00FF23D5"/>
    <w:rsid w:val="00FF2439"/>
    <w:rsid w:val="00FF2BF3"/>
    <w:rsid w:val="00FF34E5"/>
    <w:rsid w:val="00FF3C33"/>
    <w:rsid w:val="00FF45E9"/>
    <w:rsid w:val="00FF502E"/>
    <w:rsid w:val="00FF5210"/>
    <w:rsid w:val="00FF5418"/>
    <w:rsid w:val="00FF54B4"/>
    <w:rsid w:val="00FF56F6"/>
    <w:rsid w:val="00FF57FF"/>
    <w:rsid w:val="00FF5801"/>
    <w:rsid w:val="00FF5C95"/>
    <w:rsid w:val="00FF6305"/>
    <w:rsid w:val="00FF635E"/>
    <w:rsid w:val="00FF64E8"/>
    <w:rsid w:val="00FF67A1"/>
    <w:rsid w:val="00FF6919"/>
    <w:rsid w:val="00FF6BE8"/>
    <w:rsid w:val="00FF6CE2"/>
    <w:rsid w:val="00FF6F79"/>
    <w:rsid w:val="00FF7148"/>
    <w:rsid w:val="00FF729A"/>
    <w:rsid w:val="00FF7371"/>
    <w:rsid w:val="00FF76FB"/>
    <w:rsid w:val="00FF7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5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footnote text" w:locked="0" w:qFormat="1"/>
    <w:lsdException w:name="header" w:uiPriority="0"/>
    <w:lsdException w:name="footer" w:locked="0"/>
    <w:lsdException w:name="caption" w:semiHidden="0" w:uiPriority="0" w:unhideWhenUsed="0" w:qFormat="1"/>
    <w:lsdException w:name="footnote reference" w:locked="0"/>
    <w:lsdException w:name="page number" w:locked="0" w:uiPriority="0"/>
    <w:lsdException w:name="Title" w:semiHidden="0" w:uiPriority="0" w:unhideWhenUsed="0" w:qFormat="1"/>
    <w:lsdException w:name="Default Paragraph Font" w:locked="0" w:uiPriority="1"/>
    <w:lsdException w:name="Subtitle" w:semiHidden="0" w:uiPriority="0" w:unhideWhenUsed="0" w:qFormat="1"/>
    <w:lsdException w:name="Hyperlink" w:lock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A4B26"/>
    <w:rPr>
      <w:rFonts w:cs="Calibri"/>
      <w:sz w:val="22"/>
      <w:szCs w:val="22"/>
      <w:lang w:eastAsia="en-US"/>
    </w:rPr>
  </w:style>
  <w:style w:type="paragraph" w:styleId="Heading1">
    <w:name w:val="heading 1"/>
    <w:basedOn w:val="Normal"/>
    <w:next w:val="Normal"/>
    <w:link w:val="Heading1Char"/>
    <w:uiPriority w:val="9"/>
    <w:qFormat/>
    <w:locked/>
    <w:rsid w:val="009E0F39"/>
    <w:pPr>
      <w:keepNext/>
      <w:keepLines/>
      <w:numPr>
        <w:ilvl w:val="1"/>
        <w:numId w:val="13"/>
      </w:numPr>
      <w:spacing w:before="480"/>
      <w:outlineLvl w:val="0"/>
    </w:pPr>
    <w:rPr>
      <w:rFonts w:ascii="Cambria" w:hAnsi="Cambria"/>
      <w:b/>
      <w:bCs/>
      <w:color w:val="365F91"/>
      <w:sz w:val="28"/>
      <w:szCs w:val="28"/>
    </w:rPr>
  </w:style>
  <w:style w:type="paragraph" w:styleId="Heading2">
    <w:name w:val="heading 2"/>
    <w:aliases w:val="AER Heading 2"/>
    <w:basedOn w:val="Normal"/>
    <w:next w:val="Normal"/>
    <w:uiPriority w:val="9"/>
    <w:qFormat/>
    <w:locked/>
    <w:rsid w:val="00735FCF"/>
    <w:pPr>
      <w:keepNext/>
      <w:numPr>
        <w:ilvl w:val="2"/>
        <w:numId w:val="13"/>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locked/>
    <w:rsid w:val="00735FCF"/>
    <w:pPr>
      <w:keepNext/>
      <w:numPr>
        <w:ilvl w:val="3"/>
        <w:numId w:val="13"/>
      </w:numPr>
      <w:spacing w:before="240" w:after="60"/>
      <w:outlineLvl w:val="2"/>
    </w:pPr>
    <w:rPr>
      <w:rFonts w:ascii="Arial" w:hAnsi="Arial" w:cs="Arial"/>
      <w:b/>
      <w:bCs/>
      <w:sz w:val="26"/>
      <w:szCs w:val="26"/>
    </w:rPr>
  </w:style>
  <w:style w:type="paragraph" w:styleId="Heading4">
    <w:name w:val="heading 4"/>
    <w:basedOn w:val="Normal"/>
    <w:next w:val="Normal"/>
    <w:qFormat/>
    <w:locked/>
    <w:rsid w:val="006521E3"/>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UnnumberedHeading"/>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uiPriority w:val="9"/>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3D3AB6"/>
    <w:pPr>
      <w:numPr>
        <w:ilvl w:val="0"/>
        <w:numId w:val="0"/>
      </w:numPr>
    </w:pPr>
  </w:style>
  <w:style w:type="paragraph" w:customStyle="1" w:styleId="AERfigureheading">
    <w:name w:val="AER figure heading"/>
    <w:basedOn w:val="Normal"/>
    <w:next w:val="AERbodytext"/>
    <w:qFormat/>
    <w:rsid w:val="00E968C9"/>
    <w:pPr>
      <w:keepNext/>
      <w:numPr>
        <w:ilvl w:val="3"/>
        <w:numId w:val="7"/>
      </w:numPr>
      <w:tabs>
        <w:tab w:val="left" w:pos="1474"/>
      </w:tabs>
      <w:spacing w:before="240" w:after="120"/>
      <w:outlineLvl w:val="3"/>
    </w:pPr>
    <w:rPr>
      <w:b/>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b/>
      <w:i/>
    </w:rPr>
  </w:style>
  <w:style w:type="character" w:customStyle="1" w:styleId="AERtextbold">
    <w:name w:val="AER text bold"/>
    <w:qFormat/>
    <w:rsid w:val="009E0F39"/>
    <w:rPr>
      <w:b/>
    </w:rPr>
  </w:style>
  <w:style w:type="paragraph" w:customStyle="1" w:styleId="AERbulletlistfirststyle">
    <w:name w:val="AER bullet list (first style)"/>
    <w:basedOn w:val="AERbodytext"/>
    <w:link w:val="AERbulletlistfirststyleChar"/>
    <w:qFormat/>
    <w:rsid w:val="00E5080D"/>
    <w:pPr>
      <w:tabs>
        <w:tab w:val="left" w:pos="0"/>
      </w:tabs>
    </w:pPr>
    <w:rPr>
      <w:szCs w:val="16"/>
    </w:rPr>
  </w:style>
  <w:style w:type="paragraph" w:customStyle="1" w:styleId="AERbulletlistsecondstyle">
    <w:name w:val="AER bullet list (second style)"/>
    <w:basedOn w:val="AERbodytext"/>
    <w:qFormat/>
    <w:rsid w:val="00E5080D"/>
    <w:pPr>
      <w:numPr>
        <w:numId w:val="1"/>
      </w:numPr>
      <w:spacing w:after="200"/>
    </w:pPr>
  </w:style>
  <w:style w:type="paragraph" w:customStyle="1" w:styleId="AERbulletlistthirdstyle">
    <w:name w:val="AER bullet list (third style)"/>
    <w:basedOn w:val="AERbodytext"/>
    <w:rsid w:val="009E0F39"/>
    <w:pPr>
      <w:numPr>
        <w:numId w:val="2"/>
      </w:numPr>
      <w:tabs>
        <w:tab w:val="clear" w:pos="870"/>
        <w:tab w:val="left" w:pos="1077"/>
      </w:tabs>
      <w:spacing w:after="200"/>
      <w:ind w:left="1077" w:hanging="357"/>
    </w:pPr>
  </w:style>
  <w:style w:type="paragraph" w:customStyle="1" w:styleId="AERheading1">
    <w:name w:val="AER heading 1"/>
    <w:basedOn w:val="Heading1"/>
    <w:next w:val="AERbodytext"/>
    <w:link w:val="AERheading1Char"/>
    <w:qFormat/>
    <w:rsid w:val="00FB1B17"/>
    <w:pPr>
      <w:keepLines w:val="0"/>
      <w:pageBreakBefore/>
      <w:numPr>
        <w:ilvl w:val="0"/>
        <w:numId w:val="7"/>
      </w:numPr>
      <w:spacing w:before="240" w:after="240"/>
    </w:pPr>
    <w:rPr>
      <w:rFonts w:ascii="Gautami" w:hAnsi="Gautami" w:cs="Arial"/>
      <w:color w:val="F2750E"/>
      <w:kern w:val="32"/>
      <w:sz w:val="36"/>
      <w:szCs w:val="32"/>
    </w:rPr>
  </w:style>
  <w:style w:type="paragraph" w:customStyle="1" w:styleId="AERheading2">
    <w:name w:val="AER heading 2"/>
    <w:basedOn w:val="AERheading1"/>
    <w:next w:val="AERbodytext"/>
    <w:link w:val="AERheading2Char"/>
    <w:qFormat/>
    <w:rsid w:val="00FB1B17"/>
    <w:pPr>
      <w:pageBreakBefore w:val="0"/>
      <w:numPr>
        <w:ilvl w:val="1"/>
      </w:numPr>
    </w:pPr>
    <w:rPr>
      <w:sz w:val="28"/>
      <w:szCs w:val="30"/>
    </w:rPr>
  </w:style>
  <w:style w:type="paragraph" w:customStyle="1" w:styleId="AERheading3">
    <w:name w:val="AER heading 3"/>
    <w:basedOn w:val="AERheading2"/>
    <w:next w:val="AERbodytext"/>
    <w:link w:val="AERheading3Char"/>
    <w:qFormat/>
    <w:rsid w:val="00557653"/>
    <w:pPr>
      <w:numPr>
        <w:ilvl w:val="2"/>
      </w:numPr>
      <w:spacing w:before="120"/>
    </w:pPr>
    <w:rPr>
      <w:color w:val="auto"/>
      <w:sz w:val="24"/>
      <w:szCs w:val="24"/>
    </w:rPr>
  </w:style>
  <w:style w:type="paragraph" w:customStyle="1" w:styleId="AERnumberedlistfirststyle">
    <w:name w:val="AER numbered list (first style)"/>
    <w:basedOn w:val="AERbodytext"/>
    <w:qFormat/>
    <w:rsid w:val="009E0F39"/>
    <w:pPr>
      <w:numPr>
        <w:numId w:val="4"/>
      </w:numPr>
      <w:spacing w:after="200" w:line="200" w:lineRule="atLeast"/>
    </w:pPr>
  </w:style>
  <w:style w:type="paragraph" w:customStyle="1" w:styleId="AERnumberedlistsecondstyle">
    <w:name w:val="AER numbered list (second style)"/>
    <w:basedOn w:val="AERnumberedlistfirststyle"/>
    <w:qFormat/>
    <w:rsid w:val="009E0F39"/>
    <w:pPr>
      <w:numPr>
        <w:numId w:val="5"/>
      </w:numPr>
    </w:pPr>
  </w:style>
  <w:style w:type="paragraph" w:customStyle="1" w:styleId="AERnumberedlistthirdstyle">
    <w:name w:val="AER numbered list (third style)"/>
    <w:basedOn w:val="AERbodytext"/>
    <w:qFormat/>
    <w:rsid w:val="009E0F39"/>
    <w:pPr>
      <w:numPr>
        <w:numId w:val="3"/>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numberedlistfirststyle"/>
    <w:rsid w:val="009E0F39"/>
    <w:pPr>
      <w:numPr>
        <w:numId w:val="0"/>
      </w:numPr>
    </w:pPr>
    <w:rPr>
      <w:sz w:val="16"/>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pPr>
    <w:rPr>
      <w:sz w:val="16"/>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customStyle="1" w:styleId="AERheading4">
    <w:name w:val="AER heading 4"/>
    <w:next w:val="AERbodytext"/>
    <w:qFormat/>
    <w:rsid w:val="00300F5E"/>
    <w:pPr>
      <w:keepNext/>
      <w:spacing w:after="240"/>
    </w:pPr>
    <w:rPr>
      <w:rFonts w:ascii="Gautami" w:eastAsia="Times New Roman" w:hAnsi="Gautami" w:cs="Arial"/>
      <w:b/>
      <w:bCs/>
      <w:kern w:val="32"/>
      <w:sz w:val="22"/>
      <w:szCs w:val="24"/>
      <w:lang w:eastAsia="en-US"/>
    </w:rPr>
  </w:style>
  <w:style w:type="paragraph" w:styleId="Footer">
    <w:name w:val="footer"/>
    <w:basedOn w:val="Normal"/>
    <w:link w:val="FooterChar"/>
    <w:uiPriority w:val="99"/>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9E0F39"/>
    <w:pPr>
      <w:ind w:left="72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9E0F39"/>
    <w:pPr>
      <w:ind w:left="1077" w:right="1797"/>
    </w:pPr>
  </w:style>
  <w:style w:type="paragraph" w:customStyle="1" w:styleId="AERquoteindent3">
    <w:name w:val="AER quote (indent 3)"/>
    <w:basedOn w:val="AERquoteindent2"/>
    <w:rsid w:val="009E0F39"/>
    <w:pPr>
      <w:ind w:left="1440" w:right="2160"/>
    </w:pPr>
  </w:style>
  <w:style w:type="character" w:customStyle="1" w:styleId="AERtexthighlight">
    <w:name w:val="AER text highligh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link w:val="AERheading5Char"/>
    <w:qFormat/>
    <w:rsid w:val="00300F5E"/>
    <w:pPr>
      <w:keepLines w:val="0"/>
      <w:spacing w:before="120" w:after="240" w:line="240" w:lineRule="atLeast"/>
      <w:ind w:left="720"/>
    </w:pPr>
    <w:rPr>
      <w:rFonts w:ascii="Gautami" w:hAnsi="Gautami" w:cs="Arial"/>
      <w:b/>
      <w:bCs/>
      <w:color w:val="auto"/>
      <w:kern w:val="32"/>
    </w:rPr>
  </w:style>
  <w:style w:type="paragraph" w:customStyle="1" w:styleId="AERheading6">
    <w:name w:val="AER heading 6"/>
    <w:basedOn w:val="Heading6"/>
    <w:next w:val="AERbodytext"/>
    <w:rsid w:val="00300F5E"/>
    <w:pPr>
      <w:keepLines w:val="0"/>
      <w:spacing w:before="120" w:after="120"/>
      <w:ind w:left="1440"/>
    </w:pPr>
    <w:rPr>
      <w:rFonts w:ascii="Gautami" w:hAnsi="Gautami" w:cs="Arial"/>
      <w:bCs/>
      <w:iCs w:val="0"/>
      <w:color w:val="auto"/>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9E0F39"/>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uiPriority w:val="99"/>
    <w:semiHidden/>
    <w:locked/>
    <w:rsid w:val="009E0F39"/>
    <w:rPr>
      <w:sz w:val="16"/>
      <w:szCs w:val="16"/>
    </w:rPr>
  </w:style>
  <w:style w:type="paragraph" w:styleId="CommentText">
    <w:name w:val="annotation text"/>
    <w:basedOn w:val="Normal"/>
    <w:link w:val="CommentTextChar"/>
    <w:uiPriority w:val="99"/>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qFormat/>
    <w:rsid w:val="009E0F39"/>
    <w:pPr>
      <w:tabs>
        <w:tab w:val="left" w:pos="454"/>
      </w:tabs>
      <w:ind w:left="454" w:hanging="454"/>
    </w:pPr>
    <w:rPr>
      <w:sz w:val="16"/>
      <w:szCs w:val="20"/>
    </w:rPr>
  </w:style>
  <w:style w:type="character" w:customStyle="1" w:styleId="AERbody">
    <w:name w:val="AER body"/>
    <w:basedOn w:val="DefaultParagraphFont"/>
    <w:rsid w:val="003B7459"/>
    <w:rPr>
      <w:rFonts w:ascii="Gautami" w:hAnsi="Gautami"/>
      <w:sz w:val="20"/>
    </w:rPr>
  </w:style>
  <w:style w:type="paragraph" w:customStyle="1" w:styleId="AERtabletext-numbers">
    <w:name w:val="AER table text - numbers"/>
    <w:basedOn w:val="AERtabletext"/>
    <w:uiPriority w:val="99"/>
    <w:qFormat/>
    <w:rsid w:val="009E0F3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paragraph" w:styleId="TOC1">
    <w:name w:val="toc 1"/>
    <w:basedOn w:val="Normal"/>
    <w:next w:val="Normal"/>
    <w:uiPriority w:val="39"/>
    <w:rsid w:val="00DC76BD"/>
    <w:pPr>
      <w:tabs>
        <w:tab w:val="left" w:pos="567"/>
        <w:tab w:val="right" w:leader="dot" w:pos="8307"/>
      </w:tabs>
      <w:spacing w:before="120" w:after="120" w:line="276" w:lineRule="auto"/>
    </w:pPr>
    <w:rPr>
      <w:b/>
    </w:rPr>
  </w:style>
  <w:style w:type="paragraph" w:styleId="TOC2">
    <w:name w:val="toc 2"/>
    <w:basedOn w:val="Normal"/>
    <w:next w:val="Normal"/>
    <w:uiPriority w:val="39"/>
    <w:rsid w:val="004D044A"/>
    <w:pPr>
      <w:tabs>
        <w:tab w:val="left" w:pos="1080"/>
        <w:tab w:val="right" w:leader="dot" w:pos="8307"/>
      </w:tabs>
      <w:ind w:left="1134" w:hanging="567"/>
    </w:pPr>
  </w:style>
  <w:style w:type="paragraph" w:styleId="TOC3">
    <w:name w:val="toc 3"/>
    <w:basedOn w:val="Normal"/>
    <w:next w:val="Normal"/>
    <w:uiPriority w:val="39"/>
    <w:rsid w:val="004D044A"/>
    <w:pPr>
      <w:tabs>
        <w:tab w:val="left" w:pos="1980"/>
        <w:tab w:val="right" w:leader="dot" w:pos="8307"/>
      </w:tabs>
      <w:ind w:left="1980" w:hanging="900"/>
    </w:pPr>
  </w:style>
  <w:style w:type="paragraph" w:customStyle="1" w:styleId="AERunnumberedheading">
    <w:name w:val="AER unnumbered heading"/>
    <w:basedOn w:val="AERheading1"/>
    <w:rsid w:val="00033718"/>
    <w:pPr>
      <w:numPr>
        <w:numId w:val="0"/>
      </w:numPr>
      <w:spacing w:after="120"/>
    </w:pPr>
  </w:style>
  <w:style w:type="paragraph" w:customStyle="1" w:styleId="AERTitle1">
    <w:name w:val="AER Title 1"/>
    <w:basedOn w:val="AERheading4"/>
    <w:rsid w:val="00A052AB"/>
    <w:pPr>
      <w:jc w:val="center"/>
    </w:pPr>
    <w:rPr>
      <w:sz w:val="40"/>
    </w:rPr>
  </w:style>
  <w:style w:type="paragraph" w:customStyle="1" w:styleId="AERTitle2">
    <w:name w:val="AER Title 2"/>
    <w:basedOn w:val="AERTitle1"/>
    <w:rsid w:val="00A052AB"/>
    <w:pPr>
      <w:spacing w:before="1680"/>
    </w:pPr>
    <w:rPr>
      <w:b w:val="0"/>
      <w:sz w:val="32"/>
    </w:rPr>
  </w:style>
  <w:style w:type="character" w:styleId="Hyperlink">
    <w:name w:val="Hyperlink"/>
    <w:basedOn w:val="DefaultParagraphFont"/>
    <w:uiPriority w:val="99"/>
    <w:rsid w:val="00D023EF"/>
    <w:rPr>
      <w:rFonts w:ascii="Gautami" w:hAnsi="Gautami"/>
      <w:color w:val="0000FF"/>
      <w:u w:val="single"/>
    </w:rPr>
  </w:style>
  <w:style w:type="paragraph" w:customStyle="1" w:styleId="AERtableheadingright">
    <w:name w:val="AER table heading right"/>
    <w:basedOn w:val="AERtabletextheading"/>
    <w:rsid w:val="00BB00F8"/>
    <w:pPr>
      <w:jc w:val="right"/>
    </w:pPr>
  </w:style>
  <w:style w:type="table" w:styleId="TableGrid">
    <w:name w:val="Table Grid"/>
    <w:basedOn w:val="TableNormal"/>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unnumberedtabletitle">
    <w:name w:val="AER unnumbered table title"/>
    <w:basedOn w:val="AERtabletitle"/>
    <w:rsid w:val="0058387D"/>
  </w:style>
  <w:style w:type="paragraph" w:customStyle="1" w:styleId="AERgenericboldheading">
    <w:name w:val="AER generic bold heading"/>
    <w:basedOn w:val="AERbodytext"/>
    <w:rsid w:val="00B11AF7"/>
    <w:pPr>
      <w:keepNext/>
      <w:tabs>
        <w:tab w:val="left" w:pos="1440"/>
      </w:tabs>
      <w:spacing w:after="120" w:line="240" w:lineRule="auto"/>
      <w:ind w:left="1440" w:hanging="1440"/>
    </w:pPr>
    <w:rPr>
      <w:b/>
    </w:rPr>
  </w:style>
  <w:style w:type="paragraph" w:customStyle="1" w:styleId="AERbodynospacing">
    <w:name w:val="AER body no spacing"/>
    <w:basedOn w:val="AERbodytext"/>
    <w:rsid w:val="00825200"/>
    <w:pPr>
      <w:spacing w:after="0"/>
    </w:pPr>
  </w:style>
  <w:style w:type="paragraph" w:styleId="EndnoteText">
    <w:name w:val="endnote text"/>
    <w:basedOn w:val="Normal"/>
    <w:link w:val="EndnoteTextChar"/>
    <w:uiPriority w:val="99"/>
    <w:semiHidden/>
    <w:locked/>
    <w:rsid w:val="00F968D4"/>
    <w:rPr>
      <w:szCs w:val="20"/>
    </w:rPr>
  </w:style>
  <w:style w:type="character" w:styleId="EndnoteReference">
    <w:name w:val="endnote reference"/>
    <w:basedOn w:val="DefaultParagraphFont"/>
    <w:uiPriority w:val="99"/>
    <w:semiHidden/>
    <w:locked/>
    <w:rsid w:val="00F968D4"/>
    <w:rPr>
      <w:vertAlign w:val="superscript"/>
    </w:rPr>
  </w:style>
  <w:style w:type="character" w:styleId="FollowedHyperlink">
    <w:name w:val="FollowedHyperlink"/>
    <w:basedOn w:val="DefaultParagraphFont"/>
    <w:locked/>
    <w:rsid w:val="001B42D7"/>
    <w:rPr>
      <w:color w:val="800080"/>
      <w:u w:val="single"/>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qFormat/>
    <w:locked/>
    <w:rsid w:val="006A4343"/>
    <w:pPr>
      <w:spacing w:before="240" w:after="60"/>
      <w:jc w:val="center"/>
      <w:outlineLvl w:val="0"/>
    </w:pPr>
    <w:rPr>
      <w:rFonts w:ascii="Arial" w:hAnsi="Arial" w:cs="Arial"/>
      <w:b/>
      <w:bCs/>
      <w:kern w:val="28"/>
      <w:sz w:val="32"/>
      <w:szCs w:val="32"/>
    </w:rPr>
  </w:style>
  <w:style w:type="paragraph" w:styleId="Subtitle">
    <w:name w:val="Subtitle"/>
    <w:basedOn w:val="Normal"/>
    <w:qFormat/>
    <w:locked/>
    <w:rsid w:val="006A4343"/>
    <w:pPr>
      <w:spacing w:after="60"/>
      <w:jc w:val="center"/>
      <w:outlineLvl w:val="1"/>
    </w:pPr>
    <w:rPr>
      <w:rFonts w:ascii="Arial" w:hAnsi="Arial" w:cs="Arial"/>
      <w:sz w:val="24"/>
    </w:rPr>
  </w:style>
  <w:style w:type="paragraph" w:styleId="Caption">
    <w:name w:val="caption"/>
    <w:basedOn w:val="Normal"/>
    <w:next w:val="Normal"/>
    <w:qFormat/>
    <w:locked/>
    <w:rsid w:val="006A4343"/>
    <w:rPr>
      <w:b/>
      <w:bCs/>
      <w:szCs w:val="20"/>
    </w:rPr>
  </w:style>
  <w:style w:type="paragraph" w:styleId="ListBullet">
    <w:name w:val="List Bullet"/>
    <w:basedOn w:val="Normal"/>
    <w:uiPriority w:val="99"/>
    <w:semiHidden/>
    <w:unhideWhenUsed/>
    <w:locked/>
    <w:rsid w:val="000733BC"/>
    <w:pPr>
      <w:numPr>
        <w:numId w:val="6"/>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locked/>
    <w:rsid w:val="00FA426B"/>
    <w:rPr>
      <w:rFonts w:ascii="Gautami" w:eastAsia="Times New Roman" w:hAnsi="Gautami"/>
      <w:sz w:val="16"/>
    </w:rPr>
  </w:style>
  <w:style w:type="character" w:customStyle="1" w:styleId="AERbodytextChar">
    <w:name w:val="AER body text Char"/>
    <w:basedOn w:val="DefaultParagraphFont"/>
    <w:link w:val="AERbodytext"/>
    <w:rsid w:val="00FA426B"/>
    <w:rPr>
      <w:rFonts w:ascii="Gautami" w:eastAsia="Times New Roman" w:hAnsi="Gautami"/>
      <w:szCs w:val="24"/>
      <w:lang w:val="en-AU" w:eastAsia="en-US" w:bidi="ar-SA"/>
    </w:rPr>
  </w:style>
  <w:style w:type="character" w:customStyle="1" w:styleId="AERbulletlistfirststyleChar">
    <w:name w:val="AER bullet list (first style) Char"/>
    <w:basedOn w:val="DefaultParagraphFont"/>
    <w:link w:val="AERbulletlistfirststyle"/>
    <w:rsid w:val="00E5080D"/>
    <w:rPr>
      <w:rFonts w:ascii="Gautami" w:eastAsia="Times New Roman" w:hAnsi="Gautami"/>
      <w:szCs w:val="16"/>
      <w:lang w:eastAsia="en-US"/>
    </w:rPr>
  </w:style>
  <w:style w:type="character" w:customStyle="1" w:styleId="AERtabletextChar">
    <w:name w:val="AER table text Char"/>
    <w:basedOn w:val="DefaultParagraphFont"/>
    <w:link w:val="AERtabletext"/>
    <w:locked/>
    <w:rsid w:val="00445784"/>
    <w:rPr>
      <w:rFonts w:ascii="Gautami" w:eastAsia="Times New Roman" w:hAnsi="Gautami"/>
      <w:sz w:val="16"/>
      <w:szCs w:val="24"/>
      <w:lang w:eastAsia="en-US"/>
    </w:rPr>
  </w:style>
  <w:style w:type="character" w:customStyle="1" w:styleId="CommentTextChar">
    <w:name w:val="Comment Text Char"/>
    <w:basedOn w:val="DefaultParagraphFont"/>
    <w:link w:val="CommentText"/>
    <w:uiPriority w:val="99"/>
    <w:rsid w:val="00DD0A93"/>
    <w:rPr>
      <w:rFonts w:ascii="Gautami" w:eastAsia="Times New Roman" w:hAnsi="Gautami"/>
    </w:rPr>
  </w:style>
  <w:style w:type="paragraph" w:styleId="ListParagraph">
    <w:name w:val="List Paragraph"/>
    <w:basedOn w:val="Normal"/>
    <w:uiPriority w:val="34"/>
    <w:qFormat/>
    <w:rsid w:val="0079386D"/>
    <w:pPr>
      <w:spacing w:after="200" w:line="276" w:lineRule="auto"/>
      <w:ind w:left="720"/>
      <w:contextualSpacing/>
    </w:pPr>
  </w:style>
  <w:style w:type="paragraph" w:customStyle="1" w:styleId="LegalFirstLevel">
    <w:name w:val="Legal First Level"/>
    <w:rsid w:val="00203C6E"/>
    <w:pPr>
      <w:numPr>
        <w:numId w:val="8"/>
      </w:numPr>
      <w:spacing w:after="240"/>
      <w:jc w:val="both"/>
    </w:pPr>
    <w:rPr>
      <w:rFonts w:ascii="Times New Roman" w:eastAsia="Times New Roman" w:hAnsi="Times New Roman"/>
      <w:sz w:val="24"/>
      <w:szCs w:val="22"/>
      <w:lang w:eastAsia="en-US"/>
    </w:rPr>
  </w:style>
  <w:style w:type="paragraph" w:customStyle="1" w:styleId="LegalSecondLevel">
    <w:name w:val="Legal Second Level"/>
    <w:basedOn w:val="LegalFirstLevel"/>
    <w:rsid w:val="00203C6E"/>
    <w:pPr>
      <w:numPr>
        <w:ilvl w:val="1"/>
      </w:numPr>
    </w:pPr>
  </w:style>
  <w:style w:type="paragraph" w:customStyle="1" w:styleId="LegalThirdLevel">
    <w:name w:val="Legal Third Level"/>
    <w:basedOn w:val="LegalSecondLevel"/>
    <w:rsid w:val="00203C6E"/>
    <w:pPr>
      <w:numPr>
        <w:ilvl w:val="2"/>
      </w:numPr>
    </w:pPr>
  </w:style>
  <w:style w:type="paragraph" w:customStyle="1" w:styleId="Default">
    <w:name w:val="Default"/>
    <w:rsid w:val="00203C6E"/>
    <w:pPr>
      <w:autoSpaceDE w:val="0"/>
      <w:autoSpaceDN w:val="0"/>
      <w:adjustRightInd w:val="0"/>
    </w:pPr>
    <w:rPr>
      <w:rFonts w:cs="Calibri"/>
      <w:color w:val="000000"/>
      <w:sz w:val="24"/>
      <w:szCs w:val="24"/>
    </w:rPr>
  </w:style>
  <w:style w:type="paragraph" w:customStyle="1" w:styleId="ShortT">
    <w:name w:val="ShortT"/>
    <w:basedOn w:val="Normal"/>
    <w:next w:val="Normal"/>
    <w:qFormat/>
    <w:rsid w:val="00203C6E"/>
    <w:rPr>
      <w:rFonts w:ascii="Times New Roman" w:hAnsi="Times New Roman"/>
      <w:b/>
      <w:sz w:val="40"/>
      <w:szCs w:val="20"/>
    </w:rPr>
  </w:style>
  <w:style w:type="character" w:customStyle="1" w:styleId="AERtabletextheadingChar">
    <w:name w:val="AER table text heading Char"/>
    <w:basedOn w:val="DefaultParagraphFont"/>
    <w:link w:val="AERtabletextheading"/>
    <w:locked/>
    <w:rsid w:val="00203C6E"/>
    <w:rPr>
      <w:rFonts w:ascii="Gautami" w:eastAsia="Times New Roman" w:hAnsi="Gautami"/>
      <w:b/>
      <w:sz w:val="16"/>
      <w:szCs w:val="16"/>
      <w:lang w:val="en-AU" w:eastAsia="en-US" w:bidi="ar-SA"/>
    </w:rPr>
  </w:style>
  <w:style w:type="paragraph" w:customStyle="1" w:styleId="AERconfidentialoappendixheading1">
    <w:name w:val="AER confidentialo appendix heading 1"/>
    <w:basedOn w:val="Heading1"/>
    <w:next w:val="AERbodytext"/>
    <w:rsid w:val="00203C6E"/>
    <w:pPr>
      <w:keepLines w:val="0"/>
      <w:pageBreakBefore/>
      <w:tabs>
        <w:tab w:val="num" w:pos="357"/>
      </w:tabs>
      <w:spacing w:before="240" w:after="240"/>
      <w:ind w:left="1071" w:hanging="1071"/>
    </w:pPr>
    <w:rPr>
      <w:rFonts w:ascii="Gautami" w:hAnsi="Gautami" w:cs="Arial"/>
      <w:color w:val="F2750E"/>
      <w:kern w:val="32"/>
      <w:sz w:val="36"/>
      <w:szCs w:val="32"/>
    </w:rPr>
  </w:style>
  <w:style w:type="character" w:customStyle="1" w:styleId="FootnoteTextChar1">
    <w:name w:val="Footnote Text Char1"/>
    <w:aliases w:val="ALTS FOOTNOTE Char2,(NECG) Footnote Text Char1,Footnote text Char1,AR Footnote Text Char1,AR Footnote Text Char Char Char Char Char Char1,ALTS FOOTNOTE Char1 Char1,Footnote TextText Char1 Char Char Char Char1,fn Char1,f Char"/>
    <w:basedOn w:val="DefaultParagraphFont"/>
    <w:locked/>
    <w:rsid w:val="00203C6E"/>
    <w:rPr>
      <w:rFonts w:ascii="Gautami" w:hAnsi="Gautami" w:cs="Times New Roman"/>
      <w:sz w:val="16"/>
      <w:lang w:val="en-AU" w:eastAsia="en-AU" w:bidi="ar-SA"/>
    </w:rPr>
  </w:style>
  <w:style w:type="paragraph" w:customStyle="1" w:styleId="AERHeading10">
    <w:name w:val="AER Heading 1"/>
    <w:basedOn w:val="AERbodytext"/>
    <w:link w:val="AERHeading1Char0"/>
    <w:qFormat/>
    <w:rsid w:val="00320E76"/>
  </w:style>
  <w:style w:type="character" w:customStyle="1" w:styleId="AERheading3Char">
    <w:name w:val="AER heading 3 Char"/>
    <w:basedOn w:val="DefaultParagraphFont"/>
    <w:link w:val="AERheading3"/>
    <w:rsid w:val="00557653"/>
    <w:rPr>
      <w:rFonts w:ascii="Gautami" w:eastAsiaTheme="minorHAnsi" w:hAnsi="Gautami" w:cs="Arial"/>
      <w:b/>
      <w:bCs/>
      <w:kern w:val="32"/>
      <w:sz w:val="24"/>
      <w:szCs w:val="24"/>
      <w:lang w:eastAsia="en-US"/>
    </w:rPr>
  </w:style>
  <w:style w:type="character" w:customStyle="1" w:styleId="AERHeading1Char0">
    <w:name w:val="AER Heading 1 Char"/>
    <w:basedOn w:val="AERbodytextChar"/>
    <w:link w:val="AERHeading10"/>
    <w:rsid w:val="00320E76"/>
    <w:rPr>
      <w:rFonts w:ascii="Gautami" w:eastAsia="Times New Roman" w:hAnsi="Gautami"/>
      <w:szCs w:val="24"/>
      <w:lang w:val="en-AU" w:eastAsia="en-US" w:bidi="ar-SA"/>
    </w:rPr>
  </w:style>
  <w:style w:type="character" w:customStyle="1" w:styleId="AERheading5Char">
    <w:name w:val="AER heading 5 Char"/>
    <w:basedOn w:val="DefaultParagraphFont"/>
    <w:link w:val="AERheading5"/>
    <w:rsid w:val="00BB76F8"/>
    <w:rPr>
      <w:rFonts w:ascii="Gautami" w:eastAsia="Times New Roman" w:hAnsi="Gautami" w:cs="Arial"/>
      <w:b/>
      <w:bCs/>
      <w:kern w:val="32"/>
      <w:szCs w:val="24"/>
      <w:lang w:eastAsia="en-US"/>
    </w:rPr>
  </w:style>
  <w:style w:type="numbering" w:styleId="1ai">
    <w:name w:val="Outline List 1"/>
    <w:aliases w:val="AER Numbered List"/>
    <w:basedOn w:val="NoList"/>
    <w:locked/>
    <w:rsid w:val="00BB76F8"/>
    <w:pPr>
      <w:numPr>
        <w:numId w:val="9"/>
      </w:numPr>
    </w:pPr>
  </w:style>
  <w:style w:type="paragraph" w:customStyle="1" w:styleId="AERTableFigureheading">
    <w:name w:val="AER Table &amp; Figure heading"/>
    <w:basedOn w:val="Normal"/>
    <w:rsid w:val="00BB76F8"/>
    <w:pPr>
      <w:keepNext/>
      <w:tabs>
        <w:tab w:val="left" w:pos="360"/>
        <w:tab w:val="right" w:leader="dot" w:pos="8453"/>
      </w:tabs>
      <w:spacing w:before="120" w:after="120"/>
      <w:ind w:left="1134" w:hanging="1134"/>
    </w:pPr>
    <w:rPr>
      <w:rFonts w:ascii="Times New Roman" w:hAnsi="Times New Roman"/>
      <w:b/>
      <w:sz w:val="24"/>
      <w:szCs w:val="20"/>
    </w:rPr>
  </w:style>
  <w:style w:type="paragraph" w:customStyle="1" w:styleId="AERtablesources">
    <w:name w:val="AER table sources"/>
    <w:basedOn w:val="AERbodytext"/>
    <w:next w:val="AERbodytext"/>
    <w:rsid w:val="00BB76F8"/>
    <w:pPr>
      <w:spacing w:before="60" w:line="240" w:lineRule="auto"/>
      <w:jc w:val="left"/>
    </w:pPr>
    <w:rPr>
      <w:rFonts w:ascii="Times New Roman" w:hAnsi="Times New Roman"/>
      <w:szCs w:val="20"/>
      <w:lang w:eastAsia="en-AU"/>
    </w:rPr>
  </w:style>
  <w:style w:type="character" w:customStyle="1" w:styleId="FootnoteReference1">
    <w:name w:val="Footnote Reference1"/>
    <w:rsid w:val="00EA57C3"/>
    <w:rPr>
      <w:color w:val="000000"/>
      <w:vertAlign w:val="superscript"/>
    </w:rPr>
  </w:style>
  <w:style w:type="character" w:customStyle="1" w:styleId="Heading7Char">
    <w:name w:val="Heading 7 Char"/>
    <w:basedOn w:val="DefaultParagraphFont"/>
    <w:link w:val="Heading7"/>
    <w:uiPriority w:val="9"/>
    <w:rsid w:val="00CF67B7"/>
    <w:rPr>
      <w:rFonts w:ascii="Gautami" w:eastAsiaTheme="minorHAnsi" w:hAnsi="Gautami"/>
      <w:b/>
      <w:bCs/>
      <w:iCs/>
      <w:color w:val="E36C0A"/>
      <w:sz w:val="36"/>
      <w:szCs w:val="24"/>
      <w:lang w:eastAsia="en-US"/>
    </w:rPr>
  </w:style>
  <w:style w:type="character" w:customStyle="1" w:styleId="Heading8Char">
    <w:name w:val="Heading 8 Char"/>
    <w:basedOn w:val="DefaultParagraphFont"/>
    <w:link w:val="Heading8"/>
    <w:uiPriority w:val="9"/>
    <w:rsid w:val="00CF67B7"/>
    <w:rPr>
      <w:rFonts w:ascii="Gautami" w:eastAsiaTheme="minorHAnsi" w:hAnsi="Gautami"/>
      <w:b/>
      <w:bCs/>
      <w:iCs/>
      <w:color w:val="E36C0A"/>
      <w:sz w:val="28"/>
      <w:lang w:eastAsia="en-US"/>
    </w:rPr>
  </w:style>
  <w:style w:type="character" w:customStyle="1" w:styleId="Heading9Char">
    <w:name w:val="Heading 9 Char"/>
    <w:basedOn w:val="DefaultParagraphFont"/>
    <w:link w:val="Heading9"/>
    <w:uiPriority w:val="9"/>
    <w:rsid w:val="00CF67B7"/>
    <w:rPr>
      <w:rFonts w:ascii="Gautami" w:eastAsiaTheme="minorHAnsi" w:hAnsi="Gautami"/>
      <w:b/>
      <w:bCs/>
      <w:color w:val="E36C0A"/>
      <w:sz w:val="24"/>
      <w:lang w:eastAsia="en-US"/>
    </w:rPr>
  </w:style>
  <w:style w:type="numbering" w:customStyle="1" w:styleId="AERHeadings">
    <w:name w:val="AER Headings"/>
    <w:uiPriority w:val="99"/>
    <w:rsid w:val="00CF67B7"/>
    <w:pPr>
      <w:numPr>
        <w:numId w:val="10"/>
      </w:numPr>
    </w:pPr>
  </w:style>
  <w:style w:type="paragraph" w:customStyle="1" w:styleId="UnnumberedHeading">
    <w:name w:val="Unnumbered Heading"/>
    <w:basedOn w:val="Heading1"/>
    <w:next w:val="AERbodytext"/>
    <w:link w:val="UnnumberedHeadingChar"/>
    <w:qFormat/>
    <w:rsid w:val="00CF67B7"/>
    <w:pPr>
      <w:pageBreakBefore/>
      <w:numPr>
        <w:ilvl w:val="0"/>
      </w:numPr>
      <w:spacing w:before="120" w:after="120"/>
    </w:pPr>
    <w:rPr>
      <w:rFonts w:ascii="Gautami" w:hAnsi="Gautami"/>
      <w:color w:val="E36C0A"/>
      <w:sz w:val="36"/>
    </w:rPr>
  </w:style>
  <w:style w:type="paragraph" w:customStyle="1" w:styleId="AERtabletextheadingright">
    <w:name w:val="AER table text heading right"/>
    <w:rsid w:val="00CF67B7"/>
    <w:pPr>
      <w:spacing w:before="120" w:after="80" w:line="288" w:lineRule="auto"/>
      <w:jc w:val="right"/>
    </w:pPr>
    <w:rPr>
      <w:rFonts w:ascii="Gautami" w:eastAsia="Times New Roman" w:hAnsi="Gautami"/>
      <w:b/>
      <w:sz w:val="16"/>
      <w:szCs w:val="24"/>
      <w:lang w:eastAsia="en-US"/>
    </w:rPr>
  </w:style>
  <w:style w:type="paragraph" w:styleId="Quote">
    <w:name w:val="Quote"/>
    <w:basedOn w:val="Normal"/>
    <w:next w:val="Normal"/>
    <w:link w:val="QuoteChar"/>
    <w:uiPriority w:val="29"/>
    <w:qFormat/>
    <w:rsid w:val="00CF67B7"/>
    <w:rPr>
      <w:i/>
      <w:iCs/>
      <w:color w:val="000000"/>
    </w:rPr>
  </w:style>
  <w:style w:type="character" w:customStyle="1" w:styleId="QuoteChar">
    <w:name w:val="Quote Char"/>
    <w:basedOn w:val="DefaultParagraphFont"/>
    <w:link w:val="Quote"/>
    <w:uiPriority w:val="29"/>
    <w:rsid w:val="00CF67B7"/>
    <w:rPr>
      <w:rFonts w:ascii="Gautami" w:eastAsia="Times New Roman" w:hAnsi="Gautami"/>
      <w:i/>
      <w:iCs/>
      <w:color w:val="000000"/>
      <w:szCs w:val="24"/>
    </w:rPr>
  </w:style>
  <w:style w:type="character" w:customStyle="1" w:styleId="AERbodytextbold">
    <w:name w:val="AER body text bold"/>
    <w:basedOn w:val="DefaultParagraphFont"/>
    <w:rsid w:val="00B80EE9"/>
    <w:rPr>
      <w:rFonts w:ascii="Gautami" w:hAnsi="Gautami"/>
      <w:b/>
      <w:sz w:val="24"/>
    </w:rPr>
  </w:style>
  <w:style w:type="character" w:customStyle="1" w:styleId="FooterChar">
    <w:name w:val="Footer Char"/>
    <w:basedOn w:val="DefaultParagraphFont"/>
    <w:link w:val="Footer"/>
    <w:uiPriority w:val="99"/>
    <w:rsid w:val="00C23B50"/>
    <w:rPr>
      <w:rFonts w:ascii="Gautami" w:eastAsia="Times New Roman" w:hAnsi="Gautami"/>
      <w:szCs w:val="24"/>
    </w:rPr>
  </w:style>
  <w:style w:type="paragraph" w:styleId="BodyText">
    <w:name w:val="Body Text"/>
    <w:basedOn w:val="Normal"/>
    <w:link w:val="BodyTextChar"/>
    <w:uiPriority w:val="99"/>
    <w:locked/>
    <w:rsid w:val="00310EAA"/>
    <w:pPr>
      <w:spacing w:before="120" w:after="120"/>
    </w:pPr>
    <w:rPr>
      <w:rFonts w:ascii="Arial" w:hAnsi="Arial"/>
      <w:szCs w:val="20"/>
    </w:rPr>
  </w:style>
  <w:style w:type="character" w:customStyle="1" w:styleId="BodyTextChar">
    <w:name w:val="Body Text Char"/>
    <w:basedOn w:val="DefaultParagraphFont"/>
    <w:link w:val="BodyText"/>
    <w:uiPriority w:val="99"/>
    <w:rsid w:val="00310EAA"/>
    <w:rPr>
      <w:rFonts w:ascii="Arial" w:eastAsia="Times New Roman" w:hAnsi="Arial"/>
      <w:sz w:val="22"/>
      <w:lang w:eastAsia="en-US"/>
    </w:rPr>
  </w:style>
  <w:style w:type="paragraph" w:customStyle="1" w:styleId="FootnoteTextA">
    <w:name w:val="Footnote Text A"/>
    <w:rsid w:val="00EA57C3"/>
    <w:pPr>
      <w:spacing w:before="240" w:after="120"/>
    </w:pPr>
    <w:rPr>
      <w:rFonts w:ascii="Times New Roman" w:eastAsia="ヒラギノ角ゴ Pro W3" w:hAnsi="Times New Roman"/>
      <w:color w:val="000000"/>
    </w:rPr>
  </w:style>
  <w:style w:type="paragraph" w:customStyle="1" w:styleId="AERBullet1">
    <w:name w:val="AER Bullet 1"/>
    <w:basedOn w:val="Normal"/>
    <w:rsid w:val="00EA57C3"/>
    <w:pPr>
      <w:spacing w:before="240" w:after="120"/>
    </w:pPr>
    <w:rPr>
      <w:rFonts w:ascii="Times New Roman" w:hAnsi="Times New Roman"/>
      <w:sz w:val="24"/>
    </w:rPr>
  </w:style>
  <w:style w:type="character" w:customStyle="1" w:styleId="displayonly">
    <w:name w:val="display_only"/>
    <w:basedOn w:val="DefaultParagraphFont"/>
    <w:rsid w:val="00791BFA"/>
  </w:style>
  <w:style w:type="numbering" w:customStyle="1" w:styleId="AERnumberedlist">
    <w:name w:val="AER numbered list"/>
    <w:uiPriority w:val="99"/>
    <w:rsid w:val="00EF2D0E"/>
    <w:pPr>
      <w:numPr>
        <w:numId w:val="12"/>
      </w:numPr>
    </w:pPr>
  </w:style>
  <w:style w:type="character" w:customStyle="1" w:styleId="UnnumberedHeadingChar">
    <w:name w:val="Unnumbered Heading Char"/>
    <w:basedOn w:val="DefaultParagraphFont"/>
    <w:link w:val="UnnumberedHeading"/>
    <w:rsid w:val="00EF2D0E"/>
    <w:rPr>
      <w:rFonts w:ascii="Gautami" w:eastAsiaTheme="minorHAnsi" w:hAnsi="Gautami"/>
      <w:b/>
      <w:bCs/>
      <w:color w:val="E36C0A"/>
      <w:sz w:val="36"/>
      <w:szCs w:val="28"/>
      <w:lang w:eastAsia="en-US"/>
    </w:rPr>
  </w:style>
  <w:style w:type="character" w:customStyle="1" w:styleId="st1">
    <w:name w:val="st1"/>
    <w:basedOn w:val="DefaultParagraphFont"/>
    <w:rsid w:val="009A334E"/>
  </w:style>
  <w:style w:type="paragraph" w:customStyle="1" w:styleId="AERcopyrighttext">
    <w:name w:val="AER copyright text"/>
    <w:basedOn w:val="Normal"/>
    <w:rsid w:val="0020321C"/>
    <w:pPr>
      <w:spacing w:before="240" w:after="240"/>
    </w:pPr>
    <w:rPr>
      <w:rFonts w:ascii="Times New Roman" w:hAnsi="Times New Roman"/>
    </w:rPr>
  </w:style>
  <w:style w:type="character" w:customStyle="1" w:styleId="AERbulletlistfirststyleCharChar">
    <w:name w:val="AER bullet list (first style) Char Char"/>
    <w:basedOn w:val="DefaultParagraphFont"/>
    <w:rsid w:val="009930C1"/>
    <w:rPr>
      <w:sz w:val="24"/>
      <w:szCs w:val="24"/>
      <w:lang w:eastAsia="en-US"/>
    </w:rPr>
  </w:style>
  <w:style w:type="character" w:customStyle="1" w:styleId="AERbodytextCharChar">
    <w:name w:val="AER body text Char Char"/>
    <w:basedOn w:val="DefaultParagraphFont"/>
    <w:rsid w:val="009930C1"/>
    <w:rPr>
      <w:sz w:val="24"/>
      <w:szCs w:val="24"/>
      <w:lang w:val="en-AU" w:eastAsia="en-US" w:bidi="ar-SA"/>
    </w:rPr>
  </w:style>
  <w:style w:type="paragraph" w:customStyle="1" w:styleId="aerheading40">
    <w:name w:val="aerheading4"/>
    <w:basedOn w:val="Normal"/>
    <w:rsid w:val="009930C1"/>
    <w:pPr>
      <w:keepNext/>
      <w:tabs>
        <w:tab w:val="num" w:pos="2880"/>
      </w:tabs>
      <w:spacing w:after="120"/>
      <w:ind w:left="2880" w:hanging="360"/>
    </w:pPr>
    <w:rPr>
      <w:rFonts w:ascii="Times New Roman" w:hAnsi="Times New Roman"/>
      <w:b/>
      <w:bCs/>
    </w:rPr>
  </w:style>
  <w:style w:type="character" w:customStyle="1" w:styleId="AERbodytextCharCharCharChar">
    <w:name w:val="AER body text Char Char Char Char"/>
    <w:basedOn w:val="DefaultParagraphFont"/>
    <w:link w:val="AERbodytextCharCharChar"/>
    <w:locked/>
    <w:rsid w:val="00564940"/>
    <w:rPr>
      <w:rFonts w:eastAsia="Calibri"/>
      <w:sz w:val="24"/>
      <w:szCs w:val="24"/>
    </w:rPr>
  </w:style>
  <w:style w:type="paragraph" w:customStyle="1" w:styleId="AERbodytextCharCharChar">
    <w:name w:val="AER body text Char Char Char"/>
    <w:basedOn w:val="Normal"/>
    <w:link w:val="AERbodytextCharCharCharChar"/>
    <w:rsid w:val="00564940"/>
    <w:pPr>
      <w:spacing w:after="240"/>
    </w:pPr>
    <w:rPr>
      <w:sz w:val="24"/>
    </w:rPr>
  </w:style>
  <w:style w:type="paragraph" w:styleId="NormalWeb">
    <w:name w:val="Normal (Web)"/>
    <w:basedOn w:val="Normal"/>
    <w:uiPriority w:val="99"/>
    <w:unhideWhenUsed/>
    <w:locked/>
    <w:rsid w:val="000D605D"/>
    <w:pPr>
      <w:spacing w:before="204" w:after="204"/>
    </w:pPr>
    <w:rPr>
      <w:rFonts w:ascii="Times New Roman" w:eastAsia="Times New Roman" w:hAnsi="Times New Roman"/>
      <w:sz w:val="24"/>
      <w:szCs w:val="24"/>
    </w:rPr>
  </w:style>
  <w:style w:type="paragraph" w:customStyle="1" w:styleId="QCRunnumberedunboldheading">
    <w:name w:val="QCR unnumbered unbold heading"/>
    <w:basedOn w:val="AERheading2"/>
    <w:link w:val="QCRunnumberedunboldheadingChar"/>
    <w:qFormat/>
    <w:rsid w:val="002C7158"/>
    <w:pPr>
      <w:numPr>
        <w:ilvl w:val="0"/>
        <w:numId w:val="0"/>
      </w:numPr>
      <w:spacing w:before="0" w:after="120" w:line="360" w:lineRule="auto"/>
      <w:ind w:left="357" w:hanging="357"/>
      <w:outlineLvl w:val="9"/>
    </w:pPr>
    <w:rPr>
      <w:b w:val="0"/>
      <w:sz w:val="36"/>
      <w:szCs w:val="36"/>
    </w:rPr>
  </w:style>
  <w:style w:type="paragraph" w:customStyle="1" w:styleId="QCRHeading1">
    <w:name w:val="QCR Heading 1"/>
    <w:basedOn w:val="AERheading1"/>
    <w:link w:val="QCRHeading1Char"/>
    <w:qFormat/>
    <w:rsid w:val="002C7158"/>
  </w:style>
  <w:style w:type="character" w:customStyle="1" w:styleId="Heading1Char">
    <w:name w:val="Heading 1 Char"/>
    <w:basedOn w:val="DefaultParagraphFont"/>
    <w:link w:val="Heading1"/>
    <w:uiPriority w:val="9"/>
    <w:rsid w:val="002C7158"/>
    <w:rPr>
      <w:rFonts w:ascii="Cambria" w:eastAsiaTheme="minorHAnsi" w:hAnsi="Cambria"/>
      <w:b/>
      <w:bCs/>
      <w:color w:val="365F91"/>
      <w:sz w:val="28"/>
      <w:szCs w:val="28"/>
    </w:rPr>
  </w:style>
  <w:style w:type="character" w:customStyle="1" w:styleId="AERheading1Char">
    <w:name w:val="AER heading 1 Char"/>
    <w:basedOn w:val="Heading1Char"/>
    <w:link w:val="AERheading1"/>
    <w:rsid w:val="002C7158"/>
    <w:rPr>
      <w:rFonts w:ascii="Gautami" w:eastAsiaTheme="minorHAnsi" w:hAnsi="Gautami" w:cs="Arial"/>
      <w:b/>
      <w:bCs/>
      <w:color w:val="F2750E"/>
      <w:kern w:val="32"/>
      <w:sz w:val="36"/>
      <w:szCs w:val="32"/>
      <w:lang w:eastAsia="en-US"/>
    </w:rPr>
  </w:style>
  <w:style w:type="character" w:customStyle="1" w:styleId="AERheading2Char">
    <w:name w:val="AER heading 2 Char"/>
    <w:basedOn w:val="AERheading1Char"/>
    <w:link w:val="AERheading2"/>
    <w:rsid w:val="002C7158"/>
    <w:rPr>
      <w:rFonts w:ascii="Gautami" w:eastAsiaTheme="minorHAnsi" w:hAnsi="Gautami" w:cs="Arial"/>
      <w:b/>
      <w:bCs/>
      <w:color w:val="F2750E"/>
      <w:kern w:val="32"/>
      <w:sz w:val="28"/>
      <w:szCs w:val="30"/>
      <w:lang w:eastAsia="en-US"/>
    </w:rPr>
  </w:style>
  <w:style w:type="character" w:customStyle="1" w:styleId="QCRunnumberedunboldheadingChar">
    <w:name w:val="QCR unnumbered unbold heading Char"/>
    <w:basedOn w:val="AERheading2Char"/>
    <w:link w:val="QCRunnumberedunboldheading"/>
    <w:rsid w:val="002C7158"/>
    <w:rPr>
      <w:rFonts w:ascii="Gautami" w:eastAsiaTheme="minorHAnsi" w:hAnsi="Gautami" w:cs="Arial"/>
      <w:b/>
      <w:bCs/>
      <w:color w:val="F2750E"/>
      <w:kern w:val="32"/>
      <w:sz w:val="36"/>
      <w:szCs w:val="36"/>
      <w:lang w:eastAsia="en-US"/>
    </w:rPr>
  </w:style>
  <w:style w:type="character" w:customStyle="1" w:styleId="QCRHeading1Char">
    <w:name w:val="QCR Heading 1 Char"/>
    <w:basedOn w:val="AERheading1Char"/>
    <w:link w:val="QCRHeading1"/>
    <w:rsid w:val="002C7158"/>
    <w:rPr>
      <w:rFonts w:ascii="Gautami" w:eastAsiaTheme="minorHAnsi" w:hAnsi="Gautami" w:cs="Arial"/>
      <w:b/>
      <w:bCs/>
      <w:color w:val="F2750E"/>
      <w:kern w:val="32"/>
      <w:sz w:val="36"/>
      <w:szCs w:val="32"/>
      <w:lang w:eastAsia="en-US"/>
    </w:rPr>
  </w:style>
  <w:style w:type="paragraph" w:customStyle="1" w:styleId="aerbodytext0">
    <w:name w:val="aerbodytext"/>
    <w:basedOn w:val="Normal"/>
    <w:rsid w:val="00C421DA"/>
    <w:pPr>
      <w:spacing w:after="240"/>
    </w:pPr>
    <w:rPr>
      <w:rFonts w:ascii="Times New Roman" w:hAnsi="Times New Roman" w:cs="Times New Roman"/>
      <w:sz w:val="24"/>
      <w:szCs w:val="24"/>
      <w:lang w:eastAsia="en-AU"/>
    </w:rPr>
  </w:style>
  <w:style w:type="paragraph" w:customStyle="1" w:styleId="Pa8">
    <w:name w:val="Pa8"/>
    <w:basedOn w:val="Normal"/>
    <w:uiPriority w:val="99"/>
    <w:rsid w:val="007F4039"/>
    <w:pPr>
      <w:autoSpaceDE w:val="0"/>
      <w:autoSpaceDN w:val="0"/>
      <w:spacing w:line="171" w:lineRule="atLeast"/>
    </w:pPr>
    <w:rPr>
      <w:rFonts w:ascii="HelveticaNeueLT Std" w:hAnsi="HelveticaNeueLT Std" w:cs="Times New Roman"/>
      <w:sz w:val="24"/>
      <w:szCs w:val="24"/>
      <w:lang w:eastAsia="en-AU"/>
    </w:rPr>
  </w:style>
  <w:style w:type="character" w:styleId="Emphasis">
    <w:name w:val="Emphasis"/>
    <w:uiPriority w:val="20"/>
    <w:qFormat/>
    <w:locked/>
    <w:rsid w:val="00696E6D"/>
    <w:rPr>
      <w:b/>
      <w:bCs/>
      <w:i w:val="0"/>
      <w:iCs w:val="0"/>
    </w:rPr>
  </w:style>
  <w:style w:type="character" w:customStyle="1" w:styleId="EndnoteTextChar">
    <w:name w:val="Endnote Text Char"/>
    <w:link w:val="EndnoteText"/>
    <w:uiPriority w:val="99"/>
    <w:semiHidden/>
    <w:rsid w:val="004D74CD"/>
    <w:rPr>
      <w:rFonts w:cs="Calibr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bodytext">
    <w:name w:val="1ai"/>
    <w:pPr>
      <w:numPr>
        <w:numId w:val="9"/>
      </w:numPr>
    </w:pPr>
  </w:style>
  <w:style w:type="numbering" w:customStyle="1" w:styleId="AERtabletitle">
    <w:name w:val="AERHeadings"/>
    <w:pPr>
      <w:numPr>
        <w:numId w:val="10"/>
      </w:numPr>
    </w:pPr>
  </w:style>
  <w:style w:type="numbering" w:customStyle="1" w:styleId="AERfigureheading">
    <w:name w:val="AERnumbered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40517832">
      <w:bodyDiv w:val="1"/>
      <w:marLeft w:val="0"/>
      <w:marRight w:val="0"/>
      <w:marTop w:val="0"/>
      <w:marBottom w:val="0"/>
      <w:divBdr>
        <w:top w:val="none" w:sz="0" w:space="0" w:color="auto"/>
        <w:left w:val="none" w:sz="0" w:space="0" w:color="auto"/>
        <w:bottom w:val="none" w:sz="0" w:space="0" w:color="auto"/>
        <w:right w:val="none" w:sz="0" w:space="0" w:color="auto"/>
      </w:divBdr>
    </w:div>
    <w:div w:id="84349877">
      <w:bodyDiv w:val="1"/>
      <w:marLeft w:val="0"/>
      <w:marRight w:val="0"/>
      <w:marTop w:val="0"/>
      <w:marBottom w:val="0"/>
      <w:divBdr>
        <w:top w:val="none" w:sz="0" w:space="0" w:color="auto"/>
        <w:left w:val="none" w:sz="0" w:space="0" w:color="auto"/>
        <w:bottom w:val="none" w:sz="0" w:space="0" w:color="auto"/>
        <w:right w:val="none" w:sz="0" w:space="0" w:color="auto"/>
      </w:divBdr>
    </w:div>
    <w:div w:id="110365243">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41598693">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24000526">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683360864">
      <w:bodyDiv w:val="1"/>
      <w:marLeft w:val="0"/>
      <w:marRight w:val="0"/>
      <w:marTop w:val="0"/>
      <w:marBottom w:val="0"/>
      <w:divBdr>
        <w:top w:val="none" w:sz="0" w:space="0" w:color="auto"/>
        <w:left w:val="none" w:sz="0" w:space="0" w:color="auto"/>
        <w:bottom w:val="none" w:sz="0" w:space="0" w:color="auto"/>
        <w:right w:val="none" w:sz="0" w:space="0" w:color="auto"/>
      </w:divBdr>
      <w:divsChild>
        <w:div w:id="1960528021">
          <w:marLeft w:val="0"/>
          <w:marRight w:val="0"/>
          <w:marTop w:val="0"/>
          <w:marBottom w:val="0"/>
          <w:divBdr>
            <w:top w:val="none" w:sz="0" w:space="0" w:color="auto"/>
            <w:left w:val="none" w:sz="0" w:space="0" w:color="auto"/>
            <w:bottom w:val="none" w:sz="0" w:space="0" w:color="auto"/>
            <w:right w:val="none" w:sz="0" w:space="0" w:color="auto"/>
          </w:divBdr>
          <w:divsChild>
            <w:div w:id="159581451">
              <w:marLeft w:val="-14"/>
              <w:marRight w:val="0"/>
              <w:marTop w:val="0"/>
              <w:marBottom w:val="0"/>
              <w:divBdr>
                <w:top w:val="none" w:sz="0" w:space="0" w:color="auto"/>
                <w:left w:val="single" w:sz="6" w:space="0" w:color="FFFFFF"/>
                <w:bottom w:val="none" w:sz="0" w:space="0" w:color="auto"/>
                <w:right w:val="none" w:sz="0" w:space="0" w:color="auto"/>
              </w:divBdr>
              <w:divsChild>
                <w:div w:id="1012145978">
                  <w:marLeft w:val="0"/>
                  <w:marRight w:val="0"/>
                  <w:marTop w:val="0"/>
                  <w:marBottom w:val="0"/>
                  <w:divBdr>
                    <w:top w:val="none" w:sz="0" w:space="0" w:color="auto"/>
                    <w:left w:val="none" w:sz="0" w:space="0" w:color="auto"/>
                    <w:bottom w:val="none" w:sz="0" w:space="0" w:color="auto"/>
                    <w:right w:val="none" w:sz="0" w:space="0" w:color="auto"/>
                  </w:divBdr>
                  <w:divsChild>
                    <w:div w:id="20558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7991">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09769043">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901984436">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72834358">
      <w:bodyDiv w:val="1"/>
      <w:marLeft w:val="0"/>
      <w:marRight w:val="0"/>
      <w:marTop w:val="0"/>
      <w:marBottom w:val="0"/>
      <w:divBdr>
        <w:top w:val="none" w:sz="0" w:space="0" w:color="auto"/>
        <w:left w:val="none" w:sz="0" w:space="0" w:color="auto"/>
        <w:bottom w:val="none" w:sz="0" w:space="0" w:color="auto"/>
        <w:right w:val="none" w:sz="0" w:space="0" w:color="auto"/>
      </w:divBdr>
    </w:div>
    <w:div w:id="975524435">
      <w:bodyDiv w:val="1"/>
      <w:marLeft w:val="0"/>
      <w:marRight w:val="0"/>
      <w:marTop w:val="0"/>
      <w:marBottom w:val="0"/>
      <w:divBdr>
        <w:top w:val="none" w:sz="0" w:space="0" w:color="auto"/>
        <w:left w:val="none" w:sz="0" w:space="0" w:color="auto"/>
        <w:bottom w:val="none" w:sz="0" w:space="0" w:color="auto"/>
        <w:right w:val="none" w:sz="0" w:space="0" w:color="auto"/>
      </w:divBdr>
    </w:div>
    <w:div w:id="977733076">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15618704">
      <w:bodyDiv w:val="1"/>
      <w:marLeft w:val="0"/>
      <w:marRight w:val="0"/>
      <w:marTop w:val="0"/>
      <w:marBottom w:val="0"/>
      <w:divBdr>
        <w:top w:val="none" w:sz="0" w:space="0" w:color="auto"/>
        <w:left w:val="none" w:sz="0" w:space="0" w:color="auto"/>
        <w:bottom w:val="none" w:sz="0" w:space="0" w:color="auto"/>
        <w:right w:val="none" w:sz="0" w:space="0" w:color="auto"/>
      </w:divBdr>
    </w:div>
    <w:div w:id="1028291324">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127577706">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214779220">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246381951">
      <w:bodyDiv w:val="1"/>
      <w:marLeft w:val="0"/>
      <w:marRight w:val="0"/>
      <w:marTop w:val="0"/>
      <w:marBottom w:val="0"/>
      <w:divBdr>
        <w:top w:val="none" w:sz="0" w:space="0" w:color="auto"/>
        <w:left w:val="none" w:sz="0" w:space="0" w:color="auto"/>
        <w:bottom w:val="none" w:sz="0" w:space="0" w:color="auto"/>
        <w:right w:val="none" w:sz="0" w:space="0" w:color="auto"/>
      </w:divBdr>
    </w:div>
    <w:div w:id="1344436445">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57579198">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6834967">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545143400">
      <w:bodyDiv w:val="1"/>
      <w:marLeft w:val="0"/>
      <w:marRight w:val="0"/>
      <w:marTop w:val="0"/>
      <w:marBottom w:val="0"/>
      <w:divBdr>
        <w:top w:val="none" w:sz="0" w:space="0" w:color="auto"/>
        <w:left w:val="none" w:sz="0" w:space="0" w:color="auto"/>
        <w:bottom w:val="none" w:sz="0" w:space="0" w:color="auto"/>
        <w:right w:val="none" w:sz="0" w:space="0" w:color="auto"/>
      </w:divBdr>
    </w:div>
    <w:div w:id="1546982685">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03884360">
      <w:bodyDiv w:val="1"/>
      <w:marLeft w:val="0"/>
      <w:marRight w:val="0"/>
      <w:marTop w:val="0"/>
      <w:marBottom w:val="0"/>
      <w:divBdr>
        <w:top w:val="none" w:sz="0" w:space="0" w:color="auto"/>
        <w:left w:val="none" w:sz="0" w:space="0" w:color="auto"/>
        <w:bottom w:val="none" w:sz="0" w:space="0" w:color="auto"/>
        <w:right w:val="none" w:sz="0" w:space="0" w:color="auto"/>
      </w:divBdr>
    </w:div>
    <w:div w:id="1833183396">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40674549">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1973099559">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er.gov.au/node/20005" TargetMode="External"/><Relationship Id="rId26" Type="http://schemas.openxmlformats.org/officeDocument/2006/relationships/image" Target="media/image9.emf"/><Relationship Id="rId39" Type="http://schemas.openxmlformats.org/officeDocument/2006/relationships/hyperlink" Target="http://www.legislation.sa.gov.au/LZ/C/A/NATIONAL%20ELECTRICITY%20(SOUTH%20AUSTRALIA)%20ACT%201996.aspx"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www.aemo.com.au/" TargetMode="External"/><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er.gov.au/sites/default/files/AER%20compliance%20and%20enforcement%C3%A2%E2%82%AC%E2%80%9Dstatement%20of%20approach%20%28December%202010%29.pdf" TargetMode="External"/><Relationship Id="rId25" Type="http://schemas.openxmlformats.org/officeDocument/2006/relationships/image" Target="media/image8.emf"/><Relationship Id="rId33" Type="http://schemas.openxmlformats.org/officeDocument/2006/relationships/hyperlink" Target="http://www.accc.gov.au" TargetMode="External"/><Relationship Id="rId38" Type="http://schemas.openxmlformats.org/officeDocument/2006/relationships/hyperlink" Target="http://aemc.gov.au/Gas/National-Gas-Rules/Current-Rules.html" TargetMode="External"/><Relationship Id="rId2" Type="http://schemas.openxmlformats.org/officeDocument/2006/relationships/numbering" Target="numbering.xml"/><Relationship Id="rId16" Type="http://schemas.openxmlformats.org/officeDocument/2006/relationships/hyperlink" Target="mailto:AERInquiry@aer.gov.au" TargetMode="External"/><Relationship Id="rId20" Type="http://schemas.openxmlformats.org/officeDocument/2006/relationships/image" Target="media/image3.emf"/><Relationship Id="rId29" Type="http://schemas.openxmlformats.org/officeDocument/2006/relationships/hyperlink" Target="http://www.aer.gov.au/node/23305"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yperlink" Target="http://www.aer.gov.au/node/21258" TargetMode="External"/><Relationship Id="rId37" Type="http://schemas.openxmlformats.org/officeDocument/2006/relationships/hyperlink" Target="http://www.legislation.sa.gov.au/LZ/C/R/NATIONAL%20GAS%20(SOUTH%20AUSTRALIA)%20REGULATIONS.aspx" TargetMode="External"/><Relationship Id="rId40" Type="http://schemas.openxmlformats.org/officeDocument/2006/relationships/hyperlink" Target="http://www.legislation.sa.gov.au/LZ/C/A/NATIONAL%20GAS%20(SOUTH%20AUSTRALIA)%20ACT%202008.aspx"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hyperlink" Target="http://www.aer.gov.au/node/22460" TargetMode="External"/><Relationship Id="rId36" Type="http://schemas.openxmlformats.org/officeDocument/2006/relationships/hyperlink" Target="http://aemc.gov.au/Electricity/National-Electricity-Rules/Current-Rules.html" TargetMode="Externa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yperlink" Target="http://www.aer.gov.au/node/22460" TargetMode="External"/><Relationship Id="rId35" Type="http://schemas.openxmlformats.org/officeDocument/2006/relationships/hyperlink" Target="http://www.aer.gov.au/"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er.gov.au/node/19491" TargetMode="External"/><Relationship Id="rId2" Type="http://schemas.openxmlformats.org/officeDocument/2006/relationships/hyperlink" Target="http://aemc.gov.au/" TargetMode="External"/><Relationship Id="rId1" Type="http://schemas.openxmlformats.org/officeDocument/2006/relationships/hyperlink" Target="http://www.aer.gov.au/wholesale-markets/compliance-reporting" TargetMode="External"/><Relationship Id="rId4" Type="http://schemas.openxmlformats.org/officeDocument/2006/relationships/hyperlink" Target="http://www.aer.gov.au/node/15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3C480-B352-4DDD-8032-42F14444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604FF95F.dotm</Template>
  <TotalTime>0</TotalTime>
  <Pages>31</Pages>
  <Words>10174</Words>
  <Characters>57997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QCR December 2013</vt:lpstr>
    </vt:vector>
  </TitlesOfParts>
  <Company/>
  <LinksUpToDate>false</LinksUpToDate>
  <CharactersWithSpaces>68035</CharactersWithSpaces>
  <SharedDoc>false</SharedDoc>
  <HLinks>
    <vt:vector size="276" baseType="variant">
      <vt:variant>
        <vt:i4>79</vt:i4>
      </vt:variant>
      <vt:variant>
        <vt:i4>186</vt:i4>
      </vt:variant>
      <vt:variant>
        <vt:i4>0</vt:i4>
      </vt:variant>
      <vt:variant>
        <vt:i4>5</vt:i4>
      </vt:variant>
      <vt:variant>
        <vt:lpwstr>http://www.legislation.sa.gov.au/LZ/C/A/NATIONAL GAS (SOUTH AUSTRALIA) ACT 2008.aspx</vt:lpwstr>
      </vt:variant>
      <vt:variant>
        <vt:lpwstr/>
      </vt:variant>
      <vt:variant>
        <vt:i4>1245251</vt:i4>
      </vt:variant>
      <vt:variant>
        <vt:i4>183</vt:i4>
      </vt:variant>
      <vt:variant>
        <vt:i4>0</vt:i4>
      </vt:variant>
      <vt:variant>
        <vt:i4>5</vt:i4>
      </vt:variant>
      <vt:variant>
        <vt:lpwstr>http://www.legislation.sa.gov.au/LZ/C/A/NATIONAL ELECTRICITY (SOUTH AUSTRALIA) ACT 1996.aspx</vt:lpwstr>
      </vt:variant>
      <vt:variant>
        <vt:lpwstr/>
      </vt:variant>
      <vt:variant>
        <vt:i4>2687022</vt:i4>
      </vt:variant>
      <vt:variant>
        <vt:i4>180</vt:i4>
      </vt:variant>
      <vt:variant>
        <vt:i4>0</vt:i4>
      </vt:variant>
      <vt:variant>
        <vt:i4>5</vt:i4>
      </vt:variant>
      <vt:variant>
        <vt:lpwstr>http://www.aemc.gov.au/gas.php</vt:lpwstr>
      </vt:variant>
      <vt:variant>
        <vt:lpwstr/>
      </vt:variant>
      <vt:variant>
        <vt:i4>3276845</vt:i4>
      </vt:variant>
      <vt:variant>
        <vt:i4>177</vt:i4>
      </vt:variant>
      <vt:variant>
        <vt:i4>0</vt:i4>
      </vt:variant>
      <vt:variant>
        <vt:i4>5</vt:i4>
      </vt:variant>
      <vt:variant>
        <vt:lpwstr>http://www.legislation.sa.gov.au/LZ/C/R/NATIONAL GAS (SOUTH AUSTRALIA) REGULATIONS.aspx</vt:lpwstr>
      </vt:variant>
      <vt:variant>
        <vt:lpwstr/>
      </vt:variant>
      <vt:variant>
        <vt:i4>5242975</vt:i4>
      </vt:variant>
      <vt:variant>
        <vt:i4>174</vt:i4>
      </vt:variant>
      <vt:variant>
        <vt:i4>0</vt:i4>
      </vt:variant>
      <vt:variant>
        <vt:i4>5</vt:i4>
      </vt:variant>
      <vt:variant>
        <vt:lpwstr>http://www.aemc.gov.au/rules.php</vt:lpwstr>
      </vt:variant>
      <vt:variant>
        <vt:lpwstr/>
      </vt:variant>
      <vt:variant>
        <vt:i4>1900617</vt:i4>
      </vt:variant>
      <vt:variant>
        <vt:i4>171</vt:i4>
      </vt:variant>
      <vt:variant>
        <vt:i4>0</vt:i4>
      </vt:variant>
      <vt:variant>
        <vt:i4>5</vt:i4>
      </vt:variant>
      <vt:variant>
        <vt:lpwstr>http://www.gasbb.com.au/</vt:lpwstr>
      </vt:variant>
      <vt:variant>
        <vt:lpwstr/>
      </vt:variant>
      <vt:variant>
        <vt:i4>6750255</vt:i4>
      </vt:variant>
      <vt:variant>
        <vt:i4>168</vt:i4>
      </vt:variant>
      <vt:variant>
        <vt:i4>0</vt:i4>
      </vt:variant>
      <vt:variant>
        <vt:i4>5</vt:i4>
      </vt:variant>
      <vt:variant>
        <vt:lpwstr>http://www.aer.gov.au/</vt:lpwstr>
      </vt:variant>
      <vt:variant>
        <vt:lpwstr/>
      </vt:variant>
      <vt:variant>
        <vt:i4>3997749</vt:i4>
      </vt:variant>
      <vt:variant>
        <vt:i4>165</vt:i4>
      </vt:variant>
      <vt:variant>
        <vt:i4>0</vt:i4>
      </vt:variant>
      <vt:variant>
        <vt:i4>5</vt:i4>
      </vt:variant>
      <vt:variant>
        <vt:lpwstr>http://www.aemo.com.au/</vt:lpwstr>
      </vt:variant>
      <vt:variant>
        <vt:lpwstr/>
      </vt:variant>
      <vt:variant>
        <vt:i4>3342368</vt:i4>
      </vt:variant>
      <vt:variant>
        <vt:i4>162</vt:i4>
      </vt:variant>
      <vt:variant>
        <vt:i4>0</vt:i4>
      </vt:variant>
      <vt:variant>
        <vt:i4>5</vt:i4>
      </vt:variant>
      <vt:variant>
        <vt:lpwstr>http://www.accc.gov.au/</vt:lpwstr>
      </vt:variant>
      <vt:variant>
        <vt:lpwstr/>
      </vt:variant>
      <vt:variant>
        <vt:i4>1441851</vt:i4>
      </vt:variant>
      <vt:variant>
        <vt:i4>155</vt:i4>
      </vt:variant>
      <vt:variant>
        <vt:i4>0</vt:i4>
      </vt:variant>
      <vt:variant>
        <vt:i4>5</vt:i4>
      </vt:variant>
      <vt:variant>
        <vt:lpwstr/>
      </vt:variant>
      <vt:variant>
        <vt:lpwstr>_Toc339289999</vt:lpwstr>
      </vt:variant>
      <vt:variant>
        <vt:i4>1441851</vt:i4>
      </vt:variant>
      <vt:variant>
        <vt:i4>149</vt:i4>
      </vt:variant>
      <vt:variant>
        <vt:i4>0</vt:i4>
      </vt:variant>
      <vt:variant>
        <vt:i4>5</vt:i4>
      </vt:variant>
      <vt:variant>
        <vt:lpwstr/>
      </vt:variant>
      <vt:variant>
        <vt:lpwstr>_Toc339289998</vt:lpwstr>
      </vt:variant>
      <vt:variant>
        <vt:i4>1441851</vt:i4>
      </vt:variant>
      <vt:variant>
        <vt:i4>143</vt:i4>
      </vt:variant>
      <vt:variant>
        <vt:i4>0</vt:i4>
      </vt:variant>
      <vt:variant>
        <vt:i4>5</vt:i4>
      </vt:variant>
      <vt:variant>
        <vt:lpwstr/>
      </vt:variant>
      <vt:variant>
        <vt:lpwstr>_Toc339289997</vt:lpwstr>
      </vt:variant>
      <vt:variant>
        <vt:i4>1441851</vt:i4>
      </vt:variant>
      <vt:variant>
        <vt:i4>137</vt:i4>
      </vt:variant>
      <vt:variant>
        <vt:i4>0</vt:i4>
      </vt:variant>
      <vt:variant>
        <vt:i4>5</vt:i4>
      </vt:variant>
      <vt:variant>
        <vt:lpwstr/>
      </vt:variant>
      <vt:variant>
        <vt:lpwstr>_Toc339289996</vt:lpwstr>
      </vt:variant>
      <vt:variant>
        <vt:i4>1441851</vt:i4>
      </vt:variant>
      <vt:variant>
        <vt:i4>131</vt:i4>
      </vt:variant>
      <vt:variant>
        <vt:i4>0</vt:i4>
      </vt:variant>
      <vt:variant>
        <vt:i4>5</vt:i4>
      </vt:variant>
      <vt:variant>
        <vt:lpwstr/>
      </vt:variant>
      <vt:variant>
        <vt:lpwstr>_Toc339289995</vt:lpwstr>
      </vt:variant>
      <vt:variant>
        <vt:i4>1441851</vt:i4>
      </vt:variant>
      <vt:variant>
        <vt:i4>125</vt:i4>
      </vt:variant>
      <vt:variant>
        <vt:i4>0</vt:i4>
      </vt:variant>
      <vt:variant>
        <vt:i4>5</vt:i4>
      </vt:variant>
      <vt:variant>
        <vt:lpwstr/>
      </vt:variant>
      <vt:variant>
        <vt:lpwstr>_Toc339289994</vt:lpwstr>
      </vt:variant>
      <vt:variant>
        <vt:i4>1441851</vt:i4>
      </vt:variant>
      <vt:variant>
        <vt:i4>119</vt:i4>
      </vt:variant>
      <vt:variant>
        <vt:i4>0</vt:i4>
      </vt:variant>
      <vt:variant>
        <vt:i4>5</vt:i4>
      </vt:variant>
      <vt:variant>
        <vt:lpwstr/>
      </vt:variant>
      <vt:variant>
        <vt:lpwstr>_Toc339289993</vt:lpwstr>
      </vt:variant>
      <vt:variant>
        <vt:i4>1441851</vt:i4>
      </vt:variant>
      <vt:variant>
        <vt:i4>113</vt:i4>
      </vt:variant>
      <vt:variant>
        <vt:i4>0</vt:i4>
      </vt:variant>
      <vt:variant>
        <vt:i4>5</vt:i4>
      </vt:variant>
      <vt:variant>
        <vt:lpwstr/>
      </vt:variant>
      <vt:variant>
        <vt:lpwstr>_Toc339289992</vt:lpwstr>
      </vt:variant>
      <vt:variant>
        <vt:i4>1441851</vt:i4>
      </vt:variant>
      <vt:variant>
        <vt:i4>107</vt:i4>
      </vt:variant>
      <vt:variant>
        <vt:i4>0</vt:i4>
      </vt:variant>
      <vt:variant>
        <vt:i4>5</vt:i4>
      </vt:variant>
      <vt:variant>
        <vt:lpwstr/>
      </vt:variant>
      <vt:variant>
        <vt:lpwstr>_Toc339289991</vt:lpwstr>
      </vt:variant>
      <vt:variant>
        <vt:i4>1441851</vt:i4>
      </vt:variant>
      <vt:variant>
        <vt:i4>101</vt:i4>
      </vt:variant>
      <vt:variant>
        <vt:i4>0</vt:i4>
      </vt:variant>
      <vt:variant>
        <vt:i4>5</vt:i4>
      </vt:variant>
      <vt:variant>
        <vt:lpwstr/>
      </vt:variant>
      <vt:variant>
        <vt:lpwstr>_Toc339289990</vt:lpwstr>
      </vt:variant>
      <vt:variant>
        <vt:i4>1507387</vt:i4>
      </vt:variant>
      <vt:variant>
        <vt:i4>95</vt:i4>
      </vt:variant>
      <vt:variant>
        <vt:i4>0</vt:i4>
      </vt:variant>
      <vt:variant>
        <vt:i4>5</vt:i4>
      </vt:variant>
      <vt:variant>
        <vt:lpwstr/>
      </vt:variant>
      <vt:variant>
        <vt:lpwstr>_Toc339289989</vt:lpwstr>
      </vt:variant>
      <vt:variant>
        <vt:i4>1507387</vt:i4>
      </vt:variant>
      <vt:variant>
        <vt:i4>89</vt:i4>
      </vt:variant>
      <vt:variant>
        <vt:i4>0</vt:i4>
      </vt:variant>
      <vt:variant>
        <vt:i4>5</vt:i4>
      </vt:variant>
      <vt:variant>
        <vt:lpwstr/>
      </vt:variant>
      <vt:variant>
        <vt:lpwstr>_Toc339289988</vt:lpwstr>
      </vt:variant>
      <vt:variant>
        <vt:i4>1507387</vt:i4>
      </vt:variant>
      <vt:variant>
        <vt:i4>83</vt:i4>
      </vt:variant>
      <vt:variant>
        <vt:i4>0</vt:i4>
      </vt:variant>
      <vt:variant>
        <vt:i4>5</vt:i4>
      </vt:variant>
      <vt:variant>
        <vt:lpwstr/>
      </vt:variant>
      <vt:variant>
        <vt:lpwstr>_Toc339289987</vt:lpwstr>
      </vt:variant>
      <vt:variant>
        <vt:i4>1507387</vt:i4>
      </vt:variant>
      <vt:variant>
        <vt:i4>77</vt:i4>
      </vt:variant>
      <vt:variant>
        <vt:i4>0</vt:i4>
      </vt:variant>
      <vt:variant>
        <vt:i4>5</vt:i4>
      </vt:variant>
      <vt:variant>
        <vt:lpwstr/>
      </vt:variant>
      <vt:variant>
        <vt:lpwstr>_Toc339289986</vt:lpwstr>
      </vt:variant>
      <vt:variant>
        <vt:i4>1507387</vt:i4>
      </vt:variant>
      <vt:variant>
        <vt:i4>71</vt:i4>
      </vt:variant>
      <vt:variant>
        <vt:i4>0</vt:i4>
      </vt:variant>
      <vt:variant>
        <vt:i4>5</vt:i4>
      </vt:variant>
      <vt:variant>
        <vt:lpwstr/>
      </vt:variant>
      <vt:variant>
        <vt:lpwstr>_Toc339289985</vt:lpwstr>
      </vt:variant>
      <vt:variant>
        <vt:i4>1507387</vt:i4>
      </vt:variant>
      <vt:variant>
        <vt:i4>65</vt:i4>
      </vt:variant>
      <vt:variant>
        <vt:i4>0</vt:i4>
      </vt:variant>
      <vt:variant>
        <vt:i4>5</vt:i4>
      </vt:variant>
      <vt:variant>
        <vt:lpwstr/>
      </vt:variant>
      <vt:variant>
        <vt:lpwstr>_Toc339289984</vt:lpwstr>
      </vt:variant>
      <vt:variant>
        <vt:i4>1507387</vt:i4>
      </vt:variant>
      <vt:variant>
        <vt:i4>59</vt:i4>
      </vt:variant>
      <vt:variant>
        <vt:i4>0</vt:i4>
      </vt:variant>
      <vt:variant>
        <vt:i4>5</vt:i4>
      </vt:variant>
      <vt:variant>
        <vt:lpwstr/>
      </vt:variant>
      <vt:variant>
        <vt:lpwstr>_Toc339289983</vt:lpwstr>
      </vt:variant>
      <vt:variant>
        <vt:i4>1507387</vt:i4>
      </vt:variant>
      <vt:variant>
        <vt:i4>53</vt:i4>
      </vt:variant>
      <vt:variant>
        <vt:i4>0</vt:i4>
      </vt:variant>
      <vt:variant>
        <vt:i4>5</vt:i4>
      </vt:variant>
      <vt:variant>
        <vt:lpwstr/>
      </vt:variant>
      <vt:variant>
        <vt:lpwstr>_Toc339289982</vt:lpwstr>
      </vt:variant>
      <vt:variant>
        <vt:i4>1507387</vt:i4>
      </vt:variant>
      <vt:variant>
        <vt:i4>47</vt:i4>
      </vt:variant>
      <vt:variant>
        <vt:i4>0</vt:i4>
      </vt:variant>
      <vt:variant>
        <vt:i4>5</vt:i4>
      </vt:variant>
      <vt:variant>
        <vt:lpwstr/>
      </vt:variant>
      <vt:variant>
        <vt:lpwstr>_Toc339289981</vt:lpwstr>
      </vt:variant>
      <vt:variant>
        <vt:i4>1507387</vt:i4>
      </vt:variant>
      <vt:variant>
        <vt:i4>41</vt:i4>
      </vt:variant>
      <vt:variant>
        <vt:i4>0</vt:i4>
      </vt:variant>
      <vt:variant>
        <vt:i4>5</vt:i4>
      </vt:variant>
      <vt:variant>
        <vt:lpwstr/>
      </vt:variant>
      <vt:variant>
        <vt:lpwstr>_Toc339289980</vt:lpwstr>
      </vt:variant>
      <vt:variant>
        <vt:i4>1572923</vt:i4>
      </vt:variant>
      <vt:variant>
        <vt:i4>35</vt:i4>
      </vt:variant>
      <vt:variant>
        <vt:i4>0</vt:i4>
      </vt:variant>
      <vt:variant>
        <vt:i4>5</vt:i4>
      </vt:variant>
      <vt:variant>
        <vt:lpwstr/>
      </vt:variant>
      <vt:variant>
        <vt:lpwstr>_Toc339289979</vt:lpwstr>
      </vt:variant>
      <vt:variant>
        <vt:i4>1572923</vt:i4>
      </vt:variant>
      <vt:variant>
        <vt:i4>29</vt:i4>
      </vt:variant>
      <vt:variant>
        <vt:i4>0</vt:i4>
      </vt:variant>
      <vt:variant>
        <vt:i4>5</vt:i4>
      </vt:variant>
      <vt:variant>
        <vt:lpwstr/>
      </vt:variant>
      <vt:variant>
        <vt:lpwstr>_Toc339289978</vt:lpwstr>
      </vt:variant>
      <vt:variant>
        <vt:i4>1572923</vt:i4>
      </vt:variant>
      <vt:variant>
        <vt:i4>23</vt:i4>
      </vt:variant>
      <vt:variant>
        <vt:i4>0</vt:i4>
      </vt:variant>
      <vt:variant>
        <vt:i4>5</vt:i4>
      </vt:variant>
      <vt:variant>
        <vt:lpwstr/>
      </vt:variant>
      <vt:variant>
        <vt:lpwstr>_Toc339289977</vt:lpwstr>
      </vt:variant>
      <vt:variant>
        <vt:i4>1572923</vt:i4>
      </vt:variant>
      <vt:variant>
        <vt:i4>17</vt:i4>
      </vt:variant>
      <vt:variant>
        <vt:i4>0</vt:i4>
      </vt:variant>
      <vt:variant>
        <vt:i4>5</vt:i4>
      </vt:variant>
      <vt:variant>
        <vt:lpwstr/>
      </vt:variant>
      <vt:variant>
        <vt:lpwstr>_Toc339289976</vt:lpwstr>
      </vt:variant>
      <vt:variant>
        <vt:i4>1572923</vt:i4>
      </vt:variant>
      <vt:variant>
        <vt:i4>11</vt:i4>
      </vt:variant>
      <vt:variant>
        <vt:i4>0</vt:i4>
      </vt:variant>
      <vt:variant>
        <vt:i4>5</vt:i4>
      </vt:variant>
      <vt:variant>
        <vt:lpwstr/>
      </vt:variant>
      <vt:variant>
        <vt:lpwstr>_Toc339289975</vt:lpwstr>
      </vt:variant>
      <vt:variant>
        <vt:i4>1572923</vt:i4>
      </vt:variant>
      <vt:variant>
        <vt:i4>5</vt:i4>
      </vt:variant>
      <vt:variant>
        <vt:i4>0</vt:i4>
      </vt:variant>
      <vt:variant>
        <vt:i4>5</vt:i4>
      </vt:variant>
      <vt:variant>
        <vt:lpwstr/>
      </vt:variant>
      <vt:variant>
        <vt:lpwstr>_Toc339289974</vt:lpwstr>
      </vt:variant>
      <vt:variant>
        <vt:i4>2555972</vt:i4>
      </vt:variant>
      <vt:variant>
        <vt:i4>0</vt:i4>
      </vt:variant>
      <vt:variant>
        <vt:i4>0</vt:i4>
      </vt:variant>
      <vt:variant>
        <vt:i4>5</vt:i4>
      </vt:variant>
      <vt:variant>
        <vt:lpwstr>mailto:AERInquiry@aer.gov.au</vt:lpwstr>
      </vt:variant>
      <vt:variant>
        <vt:lpwstr/>
      </vt:variant>
      <vt:variant>
        <vt:i4>6684728</vt:i4>
      </vt:variant>
      <vt:variant>
        <vt:i4>27</vt:i4>
      </vt:variant>
      <vt:variant>
        <vt:i4>0</vt:i4>
      </vt:variant>
      <vt:variant>
        <vt:i4>5</vt:i4>
      </vt:variant>
      <vt:variant>
        <vt:lpwstr>http://www.aer.gov.au/node/2291</vt:lpwstr>
      </vt:variant>
      <vt:variant>
        <vt:lpwstr/>
      </vt:variant>
      <vt:variant>
        <vt:i4>5963788</vt:i4>
      </vt:variant>
      <vt:variant>
        <vt:i4>24</vt:i4>
      </vt:variant>
      <vt:variant>
        <vt:i4>0</vt:i4>
      </vt:variant>
      <vt:variant>
        <vt:i4>5</vt:i4>
      </vt:variant>
      <vt:variant>
        <vt:lpwstr>http://www.aer.gov.au/node/15433</vt:lpwstr>
      </vt:variant>
      <vt:variant>
        <vt:lpwstr/>
      </vt:variant>
      <vt:variant>
        <vt:i4>7143487</vt:i4>
      </vt:variant>
      <vt:variant>
        <vt:i4>21</vt:i4>
      </vt:variant>
      <vt:variant>
        <vt:i4>0</vt:i4>
      </vt:variant>
      <vt:variant>
        <vt:i4>5</vt:i4>
      </vt:variant>
      <vt:variant>
        <vt:lpwstr>http://www.aer.gov.au/node/454</vt:lpwstr>
      </vt:variant>
      <vt:variant>
        <vt:lpwstr/>
      </vt:variant>
      <vt:variant>
        <vt:i4>6553659</vt:i4>
      </vt:variant>
      <vt:variant>
        <vt:i4>18</vt:i4>
      </vt:variant>
      <vt:variant>
        <vt:i4>0</vt:i4>
      </vt:variant>
      <vt:variant>
        <vt:i4>5</vt:i4>
      </vt:variant>
      <vt:variant>
        <vt:lpwstr>http://www.aer.gov.au/node/1182</vt:lpwstr>
      </vt:variant>
      <vt:variant>
        <vt:lpwstr/>
      </vt:variant>
      <vt:variant>
        <vt:i4>6225920</vt:i4>
      </vt:variant>
      <vt:variant>
        <vt:i4>15</vt:i4>
      </vt:variant>
      <vt:variant>
        <vt:i4>0</vt:i4>
      </vt:variant>
      <vt:variant>
        <vt:i4>5</vt:i4>
      </vt:variant>
      <vt:variant>
        <vt:lpwstr>http://www.aer.gov.au/node/12182</vt:lpwstr>
      </vt:variant>
      <vt:variant>
        <vt:lpwstr/>
      </vt:variant>
      <vt:variant>
        <vt:i4>6094849</vt:i4>
      </vt:variant>
      <vt:variant>
        <vt:i4>12</vt:i4>
      </vt:variant>
      <vt:variant>
        <vt:i4>0</vt:i4>
      </vt:variant>
      <vt:variant>
        <vt:i4>5</vt:i4>
      </vt:variant>
      <vt:variant>
        <vt:lpwstr>http://www.aer.gov.au/node/18233</vt:lpwstr>
      </vt:variant>
      <vt:variant>
        <vt:lpwstr/>
      </vt:variant>
      <vt:variant>
        <vt:i4>2555953</vt:i4>
      </vt:variant>
      <vt:variant>
        <vt:i4>9</vt:i4>
      </vt:variant>
      <vt:variant>
        <vt:i4>0</vt:i4>
      </vt:variant>
      <vt:variant>
        <vt:i4>5</vt:i4>
      </vt:variant>
      <vt:variant>
        <vt:lpwstr>http://www.aemo.com.au/Consultations/Gas-Consultations/STTM/STTM-Phase-2-review_Review-of-within_day-market</vt:lpwstr>
      </vt:variant>
      <vt:variant>
        <vt:lpwstr>purpose</vt:lpwstr>
      </vt:variant>
      <vt:variant>
        <vt:i4>786506</vt:i4>
      </vt:variant>
      <vt:variant>
        <vt:i4>6</vt:i4>
      </vt:variant>
      <vt:variant>
        <vt:i4>0</vt:i4>
      </vt:variant>
      <vt:variant>
        <vt:i4>5</vt:i4>
      </vt:variant>
      <vt:variant>
        <vt:lpwstr>http://www.aer.gov.au/sites/default/files/AER compliance and enforcement%C3%A2%E2%82%AC%E2%80%9Dstatement of approach %28December 2010%29.pdf</vt:lpwstr>
      </vt:variant>
      <vt:variant>
        <vt:lpwstr/>
      </vt:variant>
      <vt:variant>
        <vt:i4>6684729</vt:i4>
      </vt:variant>
      <vt:variant>
        <vt:i4>3</vt:i4>
      </vt:variant>
      <vt:variant>
        <vt:i4>0</vt:i4>
      </vt:variant>
      <vt:variant>
        <vt:i4>5</vt:i4>
      </vt:variant>
      <vt:variant>
        <vt:lpwstr>http://www.aer.gov.au/node/2391</vt:lpwstr>
      </vt:variant>
      <vt:variant>
        <vt:lpwstr/>
      </vt:variant>
      <vt:variant>
        <vt:i4>7143487</vt:i4>
      </vt:variant>
      <vt:variant>
        <vt:i4>0</vt:i4>
      </vt:variant>
      <vt:variant>
        <vt:i4>0</vt:i4>
      </vt:variant>
      <vt:variant>
        <vt:i4>5</vt:i4>
      </vt:variant>
      <vt:variant>
        <vt:lpwstr>http://www.aer.gov.au/node/454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QCR December 2013</dc:title>
  <dc:subject/>
  <dc:creator/>
  <cp:keywords/>
  <dc:description/>
  <cp:lastModifiedBy/>
  <cp:revision>1</cp:revision>
  <dcterms:created xsi:type="dcterms:W3CDTF">2014-04-17T05:24:00Z</dcterms:created>
  <dcterms:modified xsi:type="dcterms:W3CDTF">2014-04-17T05:25:00Z</dcterms:modified>
</cp:coreProperties>
</file>